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9,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jc w:val="center"/>
              <w:ind w:right="465"/>
              <w:spacing w:after="0"/>
              <w:rPr>
                <w:sz w:val="20"/>
                <w:szCs w:val="20"/>
                <w:color w:val="auto"/>
              </w:rPr>
            </w:pPr>
            <w:r>
              <w:rPr>
                <w:rFonts w:ascii="Arial" w:cs="Arial" w:eastAsia="Arial" w:hAnsi="Arial"/>
                <w:sz w:val="14"/>
                <w:szCs w:val="14"/>
                <w:b w:val="1"/>
                <w:bCs w:val="1"/>
                <w:color w:val="auto"/>
                <w:w w:val="97"/>
              </w:rPr>
              <w:t>Maryland</w:t>
            </w:r>
          </w:p>
        </w:tc>
        <w:tc>
          <w:tcPr>
            <w:tcW w:w="28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814-00736</w:t>
            </w:r>
          </w:p>
        </w:tc>
        <w:tc>
          <w:tcPr>
            <w:tcW w:w="4100" w:type="dxa"/>
            <w:vAlign w:val="bottom"/>
          </w:tcPr>
          <w:p>
            <w:pPr>
              <w:jc w:val="right"/>
              <w:ind w:right="1462"/>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4300" w:type="dxa"/>
            <w:vAlign w:val="bottom"/>
          </w:tcPr>
          <w:p>
            <w:pPr>
              <w:jc w:val="center"/>
              <w:ind w:right="48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840" w:type="dxa"/>
            <w:vAlign w:val="bottom"/>
          </w:tcPr>
          <w:p>
            <w:pPr>
              <w:jc w:val="center"/>
              <w:ind w:right="144"/>
              <w:spacing w:after="0"/>
              <w:rPr>
                <w:sz w:val="20"/>
                <w:szCs w:val="20"/>
                <w:color w:val="auto"/>
              </w:rPr>
            </w:pPr>
            <w:r>
              <w:rPr>
                <w:rFonts w:ascii="Arial" w:cs="Arial" w:eastAsia="Arial" w:hAnsi="Arial"/>
                <w:sz w:val="12"/>
                <w:szCs w:val="12"/>
                <w:b w:val="1"/>
                <w:bCs w:val="1"/>
                <w:color w:val="auto"/>
                <w:w w:val="87"/>
              </w:rPr>
              <w:t>(Commission File Number)</w:t>
            </w:r>
          </w:p>
        </w:tc>
        <w:tc>
          <w:tcPr>
            <w:tcW w:w="4100" w:type="dxa"/>
            <w:vAlign w:val="bottom"/>
          </w:tcPr>
          <w:p>
            <w:pPr>
              <w:jc w:val="center"/>
              <w:ind w:left="242"/>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4300" w:type="dxa"/>
            <w:vAlign w:val="bottom"/>
          </w:tcPr>
          <w:p>
            <w:pPr>
              <w:jc w:val="center"/>
              <w:ind w:left="124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840" w:type="dxa"/>
            <w:vAlign w:val="bottom"/>
          </w:tcPr>
          <w:p>
            <w:pPr>
              <w:spacing w:after="0"/>
              <w:rPr>
                <w:sz w:val="24"/>
                <w:szCs w:val="24"/>
                <w:color w:val="auto"/>
              </w:rPr>
            </w:pPr>
          </w:p>
        </w:tc>
        <w:tc>
          <w:tcPr>
            <w:tcW w:w="4100" w:type="dxa"/>
            <w:vAlign w:val="bottom"/>
          </w:tcPr>
          <w:p>
            <w:pPr>
              <w:jc w:val="right"/>
              <w:ind w:right="2562"/>
              <w:spacing w:after="0"/>
              <w:rPr>
                <w:sz w:val="20"/>
                <w:szCs w:val="20"/>
                <w:color w:val="auto"/>
              </w:rPr>
            </w:pPr>
            <w:r>
              <w:rPr>
                <w:rFonts w:ascii="Arial" w:cs="Arial" w:eastAsia="Arial" w:hAnsi="Arial"/>
                <w:sz w:val="14"/>
                <w:szCs w:val="14"/>
                <w:b w:val="1"/>
                <w:bCs w:val="1"/>
                <w:color w:val="auto"/>
              </w:rPr>
              <w:t>10022</w:t>
            </w:r>
          </w:p>
        </w:tc>
      </w:tr>
      <w:tr>
        <w:trPr>
          <w:trHeight w:val="186"/>
        </w:trPr>
        <w:tc>
          <w:tcPr>
            <w:tcW w:w="4300" w:type="dxa"/>
            <w:vAlign w:val="bottom"/>
          </w:tcPr>
          <w:p>
            <w:pPr>
              <w:jc w:val="center"/>
              <w:ind w:left="124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840" w:type="dxa"/>
            <w:vAlign w:val="bottom"/>
          </w:tcPr>
          <w:p>
            <w:pPr>
              <w:spacing w:after="0"/>
              <w:rPr>
                <w:sz w:val="16"/>
                <w:szCs w:val="16"/>
                <w:color w:val="auto"/>
              </w:rPr>
            </w:pPr>
          </w:p>
        </w:tc>
        <w:tc>
          <w:tcPr>
            <w:tcW w:w="4100" w:type="dxa"/>
            <w:vAlign w:val="bottom"/>
          </w:tcPr>
          <w:p>
            <w:pPr>
              <w:jc w:val="center"/>
              <w:ind w:right="1462"/>
              <w:spacing w:after="0"/>
              <w:rPr>
                <w:sz w:val="20"/>
                <w:szCs w:val="20"/>
                <w:color w:val="auto"/>
              </w:rPr>
            </w:pPr>
            <w:r>
              <w:rPr>
                <w:rFonts w:ascii="Arial" w:cs="Arial" w:eastAsia="Arial" w:hAnsi="Arial"/>
                <w:sz w:val="14"/>
                <w:szCs w:val="14"/>
                <w:b w:val="1"/>
                <w:bCs w:val="1"/>
                <w:color w:val="auto"/>
                <w:w w:val="98"/>
              </w:rPr>
              <w:t>(Zip Code)</w:t>
            </w:r>
          </w:p>
        </w:tc>
      </w:tr>
      <w:tr>
        <w:trPr>
          <w:trHeight w:val="449"/>
        </w:trPr>
        <w:tc>
          <w:tcPr>
            <w:tcW w:w="4300" w:type="dxa"/>
            <w:vAlign w:val="bottom"/>
          </w:tcPr>
          <w:p>
            <w:pPr>
              <w:spacing w:after="0"/>
              <w:rPr>
                <w:sz w:val="24"/>
                <w:szCs w:val="24"/>
                <w:color w:val="auto"/>
              </w:rPr>
            </w:pPr>
          </w:p>
        </w:tc>
        <w:tc>
          <w:tcPr>
            <w:tcW w:w="284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212-905-1000</w:t>
            </w:r>
          </w:p>
        </w:tc>
        <w:tc>
          <w:tcPr>
            <w:tcW w:w="4100" w:type="dxa"/>
            <w:vAlign w:val="bottom"/>
          </w:tcPr>
          <w:p>
            <w:pPr>
              <w:spacing w:after="0"/>
              <w:rPr>
                <w:sz w:val="24"/>
                <w:szCs w:val="24"/>
                <w:color w:val="auto"/>
              </w:rPr>
            </w:pPr>
          </w:p>
        </w:tc>
      </w:tr>
      <w:tr>
        <w:trPr>
          <w:trHeight w:val="150"/>
        </w:trPr>
        <w:tc>
          <w:tcPr>
            <w:tcW w:w="4300" w:type="dxa"/>
            <w:vAlign w:val="bottom"/>
          </w:tcPr>
          <w:p>
            <w:pPr>
              <w:spacing w:after="0"/>
              <w:rPr>
                <w:sz w:val="13"/>
                <w:szCs w:val="13"/>
                <w:color w:val="auto"/>
              </w:rPr>
            </w:pPr>
          </w:p>
        </w:tc>
        <w:tc>
          <w:tcPr>
            <w:tcW w:w="284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4100" w:type="dxa"/>
            <w:vAlign w:val="bottom"/>
          </w:tcPr>
          <w:p>
            <w:pPr>
              <w:spacing w:after="0"/>
              <w:rPr>
                <w:sz w:val="13"/>
                <w:szCs w:val="13"/>
                <w:color w:val="auto"/>
              </w:rPr>
            </w:pPr>
          </w:p>
        </w:tc>
      </w:tr>
      <w:tr>
        <w:trPr>
          <w:trHeight w:val="209"/>
        </w:trPr>
        <w:tc>
          <w:tcPr>
            <w:tcW w:w="4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r>
        <w:trPr>
          <w:trHeight w:val="333"/>
        </w:trPr>
        <w:tc>
          <w:tcPr>
            <w:tcW w:w="43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2"/>
        </w:trPr>
        <w:tc>
          <w:tcPr>
            <w:tcW w:w="4300" w:type="dxa"/>
            <w:vAlign w:val="bottom"/>
          </w:tcPr>
          <w:p>
            <w:pPr>
              <w:jc w:val="center"/>
              <w:ind w:right="65"/>
              <w:spacing w:after="0"/>
              <w:rPr>
                <w:sz w:val="20"/>
                <w:szCs w:val="20"/>
                <w:color w:val="auto"/>
              </w:rPr>
            </w:pPr>
            <w:r>
              <w:rPr>
                <w:rFonts w:ascii="Arial" w:cs="Arial" w:eastAsia="Arial" w:hAnsi="Arial"/>
                <w:sz w:val="18"/>
                <w:szCs w:val="18"/>
                <w:b w:val="1"/>
                <w:bCs w:val="1"/>
                <w:color w:val="auto"/>
                <w:w w:val="89"/>
              </w:rPr>
              <w:t>Title of Each Class</w:t>
            </w:r>
          </w:p>
        </w:tc>
        <w:tc>
          <w:tcPr>
            <w:tcW w:w="2840" w:type="dxa"/>
            <w:vAlign w:val="bottom"/>
          </w:tcPr>
          <w:p>
            <w:pPr>
              <w:jc w:val="center"/>
              <w:ind w:right="284"/>
              <w:spacing w:after="0"/>
              <w:rPr>
                <w:sz w:val="20"/>
                <w:szCs w:val="20"/>
                <w:color w:val="auto"/>
              </w:rPr>
            </w:pPr>
            <w:r>
              <w:rPr>
                <w:rFonts w:ascii="Arial" w:cs="Arial" w:eastAsia="Arial" w:hAnsi="Arial"/>
                <w:sz w:val="18"/>
                <w:szCs w:val="18"/>
                <w:b w:val="1"/>
                <w:bCs w:val="1"/>
                <w:color w:val="auto"/>
                <w:w w:val="91"/>
              </w:rPr>
              <w:t>Trading Symbol(s)</w:t>
            </w:r>
          </w:p>
        </w:tc>
        <w:tc>
          <w:tcPr>
            <w:tcW w:w="4100" w:type="dxa"/>
            <w:vAlign w:val="bottom"/>
          </w:tcPr>
          <w:p>
            <w:pPr>
              <w:jc w:val="center"/>
              <w:ind w:right="10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7"/>
              </w:rPr>
              <w:t>PNNT</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5.50% Notes due 2024</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5"/>
              </w:rPr>
              <w:t>PNNTG</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280"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ind w:right="80" w:firstLine="510"/>
        <w:spacing w:after="0" w:line="264" w:lineRule="auto"/>
        <w:rPr>
          <w:sz w:val="20"/>
          <w:szCs w:val="20"/>
          <w:color w:val="auto"/>
        </w:rPr>
      </w:pPr>
      <w:r>
        <w:rPr>
          <w:rFonts w:ascii="Arial" w:cs="Arial" w:eastAsia="Arial" w:hAnsi="Arial"/>
          <w:sz w:val="13"/>
          <w:szCs w:val="13"/>
          <w:color w:val="auto"/>
        </w:rPr>
        <w:t>On February 9, 2021, PennantPark Investment Corporation (the “Company”) held its annual meeting of stockholders (the “Annual Meeting”) and submitted two matters to the vote of its stockholders. The proposals are described in detail in the Company’s definitive proxy statement filed with the Securities and Exchange Commission on December 8, 2020. As of December 1, 2020, the record date, 67,045,105 shares of common stock were eligible to vote. A summary of the matters voted upon by the stockholders is set forth below.</w:t>
      </w:r>
    </w:p>
    <w:p>
      <w:pPr>
        <w:spacing w:after="0" w:line="214" w:lineRule="exact"/>
        <w:rPr>
          <w:sz w:val="20"/>
          <w:szCs w:val="20"/>
          <w:color w:val="auto"/>
        </w:rPr>
      </w:pPr>
    </w:p>
    <w:p>
      <w:pPr>
        <w:ind w:left="40" w:right="400"/>
        <w:spacing w:after="0" w:line="311" w:lineRule="auto"/>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4"/>
          <w:szCs w:val="14"/>
          <w:color w:val="auto"/>
        </w:rPr>
        <w:t>The Company’s stockholders elected three directors of the Company; one Class I director who will serve until the 2023 Annual Meeting and until his successor is duly</w:t>
      </w:r>
      <w:r>
        <w:rPr>
          <w:rFonts w:ascii="Arial" w:cs="Arial" w:eastAsia="Arial" w:hAnsi="Arial"/>
          <w:sz w:val="13"/>
          <w:szCs w:val="13"/>
          <w:b w:val="1"/>
          <w:bCs w:val="1"/>
          <w:color w:val="auto"/>
        </w:rPr>
        <w:t xml:space="preserve"> </w:t>
      </w:r>
      <w:r>
        <w:rPr>
          <w:rFonts w:ascii="Arial" w:cs="Arial" w:eastAsia="Arial" w:hAnsi="Arial"/>
          <w:sz w:val="14"/>
          <w:szCs w:val="14"/>
          <w:color w:val="auto"/>
        </w:rPr>
        <w:t>elected and qualifies, and two Class II directors each of whom will serve until the 2024 Annual Meeting and until his successor is duly elected and qualifies.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9, 2021, as certified by the inspector of election,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gridSpan w:val="2"/>
          </w:tcPr>
          <w:p>
            <w:pPr>
              <w:spacing w:after="0"/>
              <w:rPr>
                <w:sz w:val="20"/>
                <w:szCs w:val="20"/>
                <w:color w:val="auto"/>
              </w:rPr>
            </w:pPr>
            <w:r>
              <w:rPr>
                <w:rFonts w:ascii="Arial" w:cs="Arial" w:eastAsia="Arial" w:hAnsi="Arial"/>
                <w:sz w:val="14"/>
                <w:szCs w:val="14"/>
                <w:color w:val="auto"/>
              </w:rPr>
              <w:t>Name</w:t>
            </w:r>
          </w:p>
        </w:tc>
        <w:tc>
          <w:tcPr>
            <w:tcW w:w="2100" w:type="dxa"/>
            <w:vAlign w:val="bottom"/>
            <w:gridSpan w:val="2"/>
          </w:tcPr>
          <w:p>
            <w:pPr>
              <w:jc w:val="right"/>
              <w:ind w:right="1200"/>
              <w:spacing w:after="0"/>
              <w:rPr>
                <w:sz w:val="20"/>
                <w:szCs w:val="20"/>
                <w:color w:val="auto"/>
              </w:rPr>
            </w:pPr>
            <w:r>
              <w:rPr>
                <w:rFonts w:ascii="Arial" w:cs="Arial" w:eastAsia="Arial" w:hAnsi="Arial"/>
                <w:sz w:val="14"/>
                <w:szCs w:val="14"/>
                <w:color w:val="auto"/>
              </w:rPr>
              <w:t>For</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Against</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Abstain</w:t>
            </w:r>
          </w:p>
        </w:tc>
        <w:tc>
          <w:tcPr>
            <w:tcW w:w="1740" w:type="dxa"/>
            <w:vAlign w:val="bottom"/>
            <w:gridSpan w:val="2"/>
          </w:tcPr>
          <w:p>
            <w:pPr>
              <w:ind w:left="320"/>
              <w:spacing w:after="0"/>
              <w:rPr>
                <w:sz w:val="20"/>
                <w:szCs w:val="20"/>
                <w:color w:val="auto"/>
              </w:rPr>
            </w:pPr>
            <w:r>
              <w:rPr>
                <w:rFonts w:ascii="Arial" w:cs="Arial" w:eastAsia="Arial" w:hAnsi="Arial"/>
                <w:sz w:val="14"/>
                <w:szCs w:val="14"/>
                <w:color w:val="auto"/>
              </w:rPr>
              <w:t>Broker Non-Vote</w:t>
            </w:r>
          </w:p>
        </w:tc>
      </w:tr>
      <w:tr>
        <w:trPr>
          <w:trHeight w:val="156"/>
        </w:trPr>
        <w:tc>
          <w:tcPr>
            <w:tcW w:w="280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i w:val="1"/>
                <w:iCs w:val="1"/>
                <w:color w:val="auto"/>
              </w:rPr>
              <w:t>Class I</w:t>
            </w:r>
          </w:p>
        </w:tc>
        <w:tc>
          <w:tcPr>
            <w:tcW w:w="360" w:type="dxa"/>
            <w:vAlign w:val="bottom"/>
            <w:tcBorders>
              <w:top w:val="single" w:sz="8" w:color="BDD7EE"/>
            </w:tcBorders>
            <w:shd w:val="clear" w:color="auto" w:fill="BDD7EE"/>
          </w:tcPr>
          <w:p>
            <w:pPr>
              <w:spacing w:after="0"/>
              <w:rPr>
                <w:sz w:val="13"/>
                <w:szCs w:val="13"/>
                <w:color w:val="auto"/>
              </w:rPr>
            </w:pPr>
          </w:p>
        </w:tc>
        <w:tc>
          <w:tcPr>
            <w:tcW w:w="1620" w:type="dxa"/>
            <w:vAlign w:val="bottom"/>
            <w:tcBorders>
              <w:top w:val="single" w:sz="8" w:color="auto"/>
            </w:tcBorders>
            <w:shd w:val="clear" w:color="auto" w:fill="BDD7EE"/>
          </w:tcPr>
          <w:p>
            <w:pPr>
              <w:spacing w:after="0"/>
              <w:rPr>
                <w:sz w:val="13"/>
                <w:szCs w:val="13"/>
                <w:color w:val="auto"/>
              </w:rPr>
            </w:pPr>
          </w:p>
        </w:tc>
        <w:tc>
          <w:tcPr>
            <w:tcW w:w="480" w:type="dxa"/>
            <w:vAlign w:val="bottom"/>
            <w:tcBorders>
              <w:top w:val="single" w:sz="8" w:color="BDD7EE"/>
            </w:tcBorders>
            <w:shd w:val="clear" w:color="auto" w:fill="BDD7EE"/>
          </w:tcPr>
          <w:p>
            <w:pPr>
              <w:spacing w:after="0"/>
              <w:rPr>
                <w:sz w:val="13"/>
                <w:szCs w:val="13"/>
                <w:color w:val="auto"/>
              </w:rPr>
            </w:pPr>
          </w:p>
        </w:tc>
        <w:tc>
          <w:tcPr>
            <w:tcW w:w="1640" w:type="dxa"/>
            <w:vAlign w:val="bottom"/>
            <w:tcBorders>
              <w:top w:val="single" w:sz="8" w:color="auto"/>
            </w:tcBorders>
            <w:shd w:val="clear" w:color="auto" w:fill="BDD7EE"/>
          </w:tcPr>
          <w:p>
            <w:pPr>
              <w:spacing w:after="0"/>
              <w:rPr>
                <w:sz w:val="13"/>
                <w:szCs w:val="13"/>
                <w:color w:val="auto"/>
              </w:rPr>
            </w:pPr>
          </w:p>
        </w:tc>
        <w:tc>
          <w:tcPr>
            <w:tcW w:w="480" w:type="dxa"/>
            <w:vAlign w:val="bottom"/>
            <w:tcBorders>
              <w:top w:val="single" w:sz="8" w:color="BDD7EE"/>
            </w:tcBorders>
            <w:shd w:val="clear" w:color="auto" w:fill="BDD7EE"/>
          </w:tcPr>
          <w:p>
            <w:pPr>
              <w:spacing w:after="0"/>
              <w:rPr>
                <w:sz w:val="13"/>
                <w:szCs w:val="13"/>
                <w:color w:val="auto"/>
              </w:rPr>
            </w:pPr>
          </w:p>
        </w:tc>
        <w:tc>
          <w:tcPr>
            <w:tcW w:w="1640" w:type="dxa"/>
            <w:vAlign w:val="bottom"/>
            <w:tcBorders>
              <w:top w:val="single" w:sz="8" w:color="auto"/>
            </w:tcBorders>
            <w:shd w:val="clear" w:color="auto" w:fill="BDD7EE"/>
          </w:tcPr>
          <w:p>
            <w:pPr>
              <w:spacing w:after="0"/>
              <w:rPr>
                <w:sz w:val="13"/>
                <w:szCs w:val="13"/>
                <w:color w:val="auto"/>
              </w:rPr>
            </w:pPr>
          </w:p>
        </w:tc>
        <w:tc>
          <w:tcPr>
            <w:tcW w:w="480" w:type="dxa"/>
            <w:vAlign w:val="bottom"/>
            <w:tcBorders>
              <w:top w:val="single" w:sz="8" w:color="BDD7EE"/>
            </w:tcBorders>
            <w:shd w:val="clear" w:color="auto" w:fill="BDD7EE"/>
          </w:tcPr>
          <w:p>
            <w:pPr>
              <w:spacing w:after="0"/>
              <w:rPr>
                <w:sz w:val="13"/>
                <w:szCs w:val="13"/>
                <w:color w:val="auto"/>
              </w:rPr>
            </w:pPr>
          </w:p>
        </w:tc>
        <w:tc>
          <w:tcPr>
            <w:tcW w:w="1640" w:type="dxa"/>
            <w:vAlign w:val="bottom"/>
            <w:tcBorders>
              <w:top w:val="single" w:sz="8" w:color="auto"/>
            </w:tcBorders>
            <w:shd w:val="clear" w:color="auto" w:fill="BDD7EE"/>
          </w:tcPr>
          <w:p>
            <w:pPr>
              <w:spacing w:after="0"/>
              <w:rPr>
                <w:sz w:val="13"/>
                <w:szCs w:val="13"/>
                <w:color w:val="auto"/>
              </w:rPr>
            </w:pPr>
          </w:p>
        </w:tc>
        <w:tc>
          <w:tcPr>
            <w:tcW w:w="100" w:type="dxa"/>
            <w:vAlign w:val="bottom"/>
            <w:tcBorders>
              <w:top w:val="single" w:sz="8" w:color="BDD7EE"/>
            </w:tcBorders>
            <w:shd w:val="clear" w:color="auto" w:fill="BDD7EE"/>
          </w:tcPr>
          <w:p>
            <w:pPr>
              <w:spacing w:after="0"/>
              <w:rPr>
                <w:sz w:val="13"/>
                <w:szCs w:val="13"/>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color w:val="auto"/>
              </w:rPr>
              <w:t>Marshall Brozost</w:t>
            </w:r>
          </w:p>
        </w:tc>
        <w:tc>
          <w:tcPr>
            <w:tcW w:w="1620" w:type="dxa"/>
            <w:vAlign w:val="bottom"/>
          </w:tcPr>
          <w:p>
            <w:pPr>
              <w:jc w:val="right"/>
              <w:spacing w:after="0"/>
              <w:rPr>
                <w:sz w:val="20"/>
                <w:szCs w:val="20"/>
                <w:color w:val="auto"/>
              </w:rPr>
            </w:pPr>
            <w:r>
              <w:rPr>
                <w:rFonts w:ascii="Arial" w:cs="Arial" w:eastAsia="Arial" w:hAnsi="Arial"/>
                <w:sz w:val="14"/>
                <w:szCs w:val="14"/>
                <w:color w:val="auto"/>
              </w:rPr>
              <w:t>17,742,456</w:t>
            </w:r>
          </w:p>
        </w:tc>
        <w:tc>
          <w:tcPr>
            <w:tcW w:w="4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11,898,470</w:t>
            </w:r>
          </w:p>
        </w:tc>
        <w:tc>
          <w:tcPr>
            <w:tcW w:w="4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445,321</w:t>
            </w:r>
          </w:p>
        </w:tc>
        <w:tc>
          <w:tcPr>
            <w:tcW w:w="4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21,005,443</w:t>
            </w:r>
          </w:p>
        </w:tc>
        <w:tc>
          <w:tcPr>
            <w:tcW w:w="100" w:type="dxa"/>
            <w:vAlign w:val="bottom"/>
          </w:tcPr>
          <w:p>
            <w:pPr>
              <w:spacing w:after="0"/>
              <w:rPr>
                <w:sz w:val="14"/>
                <w:szCs w:val="14"/>
                <w:color w:val="auto"/>
              </w:rPr>
            </w:pPr>
          </w:p>
        </w:tc>
      </w:tr>
      <w:tr>
        <w:trPr>
          <w:trHeight w:val="162"/>
        </w:trPr>
        <w:tc>
          <w:tcPr>
            <w:tcW w:w="3160" w:type="dxa"/>
            <w:vAlign w:val="bottom"/>
            <w:gridSpan w:val="2"/>
            <w:shd w:val="clear" w:color="auto" w:fill="BDD7EE"/>
          </w:tcPr>
          <w:p>
            <w:pPr>
              <w:ind w:left="860"/>
              <w:spacing w:after="0"/>
              <w:rPr>
                <w:sz w:val="20"/>
                <w:szCs w:val="20"/>
                <w:color w:val="auto"/>
              </w:rPr>
            </w:pPr>
            <w:r>
              <w:rPr>
                <w:rFonts w:ascii="Arial" w:cs="Arial" w:eastAsia="Arial" w:hAnsi="Arial"/>
                <w:sz w:val="14"/>
                <w:szCs w:val="14"/>
                <w:color w:val="auto"/>
              </w:rPr>
              <w:t>% of Shares Voted</w:t>
            </w:r>
          </w:p>
        </w:tc>
        <w:tc>
          <w:tcPr>
            <w:tcW w:w="2100" w:type="dxa"/>
            <w:vAlign w:val="bottom"/>
            <w:gridSpan w:val="2"/>
            <w:shd w:val="clear" w:color="auto" w:fill="BDD7EE"/>
          </w:tcPr>
          <w:p>
            <w:pPr>
              <w:jc w:val="right"/>
              <w:ind w:right="360"/>
              <w:spacing w:after="0"/>
              <w:rPr>
                <w:sz w:val="20"/>
                <w:szCs w:val="20"/>
                <w:color w:val="auto"/>
              </w:rPr>
            </w:pPr>
            <w:r>
              <w:rPr>
                <w:rFonts w:ascii="Arial" w:cs="Arial" w:eastAsia="Arial" w:hAnsi="Arial"/>
                <w:sz w:val="14"/>
                <w:szCs w:val="14"/>
                <w:color w:val="auto"/>
              </w:rPr>
              <w:t>58.97%</w:t>
            </w:r>
          </w:p>
        </w:tc>
        <w:tc>
          <w:tcPr>
            <w:tcW w:w="2120" w:type="dxa"/>
            <w:vAlign w:val="bottom"/>
            <w:gridSpan w:val="2"/>
            <w:shd w:val="clear" w:color="auto" w:fill="BDD7EE"/>
          </w:tcPr>
          <w:p>
            <w:pPr>
              <w:jc w:val="right"/>
              <w:ind w:right="360"/>
              <w:spacing w:after="0"/>
              <w:rPr>
                <w:sz w:val="20"/>
                <w:szCs w:val="20"/>
                <w:color w:val="auto"/>
              </w:rPr>
            </w:pPr>
            <w:r>
              <w:rPr>
                <w:rFonts w:ascii="Arial" w:cs="Arial" w:eastAsia="Arial" w:hAnsi="Arial"/>
                <w:sz w:val="14"/>
                <w:szCs w:val="14"/>
                <w:color w:val="auto"/>
              </w:rPr>
              <w:t>39.55%</w:t>
            </w:r>
          </w:p>
        </w:tc>
        <w:tc>
          <w:tcPr>
            <w:tcW w:w="2120" w:type="dxa"/>
            <w:vAlign w:val="bottom"/>
            <w:gridSpan w:val="2"/>
            <w:shd w:val="clear" w:color="auto" w:fill="BDD7EE"/>
          </w:tcPr>
          <w:p>
            <w:pPr>
              <w:jc w:val="right"/>
              <w:ind w:right="360"/>
              <w:spacing w:after="0"/>
              <w:rPr>
                <w:sz w:val="20"/>
                <w:szCs w:val="20"/>
                <w:color w:val="auto"/>
              </w:rPr>
            </w:pPr>
            <w:r>
              <w:rPr>
                <w:rFonts w:ascii="Arial" w:cs="Arial" w:eastAsia="Arial" w:hAnsi="Arial"/>
                <w:sz w:val="14"/>
                <w:szCs w:val="14"/>
                <w:color w:val="auto"/>
              </w:rPr>
              <w:t>1.48%</w:t>
            </w:r>
          </w:p>
        </w:tc>
        <w:tc>
          <w:tcPr>
            <w:tcW w:w="1740" w:type="dxa"/>
            <w:vAlign w:val="bottom"/>
            <w:gridSpan w:val="2"/>
            <w:shd w:val="clear" w:color="auto" w:fill="BDD7EE"/>
          </w:tcPr>
          <w:p>
            <w:pPr>
              <w:jc w:val="right"/>
              <w:ind w:right="120"/>
              <w:spacing w:after="0"/>
              <w:rPr>
                <w:sz w:val="20"/>
                <w:szCs w:val="20"/>
                <w:color w:val="auto"/>
              </w:rPr>
            </w:pPr>
            <w:r>
              <w:rPr>
                <w:rFonts w:ascii="Arial" w:cs="Arial" w:eastAsia="Arial" w:hAnsi="Arial"/>
                <w:sz w:val="14"/>
                <w:szCs w:val="14"/>
                <w:color w:val="auto"/>
              </w:rPr>
              <w:t>N/A</w:t>
            </w: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Class II</w:t>
            </w: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6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Adam Bernstein</w:t>
            </w:r>
          </w:p>
        </w:tc>
        <w:tc>
          <w:tcPr>
            <w:tcW w:w="16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17,349,506</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12,292,726</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444,015</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21,005,443</w:t>
            </w:r>
          </w:p>
        </w:tc>
        <w:tc>
          <w:tcPr>
            <w:tcW w:w="100" w:type="dxa"/>
            <w:vAlign w:val="bottom"/>
            <w:shd w:val="clear" w:color="auto" w:fill="BDD7EE"/>
          </w:tcPr>
          <w:p>
            <w:pPr>
              <w:spacing w:after="0"/>
              <w:rPr>
                <w:sz w:val="14"/>
                <w:szCs w:val="14"/>
                <w:color w:val="auto"/>
              </w:rPr>
            </w:pPr>
          </w:p>
        </w:tc>
      </w:tr>
      <w:tr>
        <w:trPr>
          <w:trHeight w:val="162"/>
        </w:trPr>
        <w:tc>
          <w:tcPr>
            <w:tcW w:w="3160" w:type="dxa"/>
            <w:vAlign w:val="bottom"/>
            <w:gridSpan w:val="2"/>
          </w:tcPr>
          <w:p>
            <w:pPr>
              <w:ind w:left="860"/>
              <w:spacing w:after="0"/>
              <w:rPr>
                <w:sz w:val="20"/>
                <w:szCs w:val="20"/>
                <w:color w:val="auto"/>
              </w:rPr>
            </w:pPr>
            <w:r>
              <w:rPr>
                <w:rFonts w:ascii="Arial" w:cs="Arial" w:eastAsia="Arial" w:hAnsi="Arial"/>
                <w:sz w:val="14"/>
                <w:szCs w:val="14"/>
                <w:color w:val="auto"/>
              </w:rPr>
              <w:t>% of Shares Voted</w:t>
            </w:r>
          </w:p>
        </w:tc>
        <w:tc>
          <w:tcPr>
            <w:tcW w:w="2100" w:type="dxa"/>
            <w:vAlign w:val="bottom"/>
            <w:gridSpan w:val="2"/>
          </w:tcPr>
          <w:p>
            <w:pPr>
              <w:jc w:val="right"/>
              <w:ind w:right="360"/>
              <w:spacing w:after="0"/>
              <w:rPr>
                <w:sz w:val="20"/>
                <w:szCs w:val="20"/>
                <w:color w:val="auto"/>
              </w:rPr>
            </w:pPr>
            <w:r>
              <w:rPr>
                <w:rFonts w:ascii="Arial" w:cs="Arial" w:eastAsia="Arial" w:hAnsi="Arial"/>
                <w:sz w:val="14"/>
                <w:szCs w:val="14"/>
                <w:color w:val="auto"/>
              </w:rPr>
              <w:t>57.67%</w:t>
            </w:r>
          </w:p>
        </w:tc>
        <w:tc>
          <w:tcPr>
            <w:tcW w:w="2120" w:type="dxa"/>
            <w:vAlign w:val="bottom"/>
            <w:gridSpan w:val="2"/>
          </w:tcPr>
          <w:p>
            <w:pPr>
              <w:jc w:val="right"/>
              <w:ind w:right="360"/>
              <w:spacing w:after="0"/>
              <w:rPr>
                <w:sz w:val="20"/>
                <w:szCs w:val="20"/>
                <w:color w:val="auto"/>
              </w:rPr>
            </w:pPr>
            <w:r>
              <w:rPr>
                <w:rFonts w:ascii="Arial" w:cs="Arial" w:eastAsia="Arial" w:hAnsi="Arial"/>
                <w:sz w:val="14"/>
                <w:szCs w:val="14"/>
                <w:color w:val="auto"/>
              </w:rPr>
              <w:t>40.86%</w:t>
            </w:r>
          </w:p>
        </w:tc>
        <w:tc>
          <w:tcPr>
            <w:tcW w:w="2120" w:type="dxa"/>
            <w:vAlign w:val="bottom"/>
            <w:gridSpan w:val="2"/>
          </w:tcPr>
          <w:p>
            <w:pPr>
              <w:jc w:val="right"/>
              <w:ind w:right="360"/>
              <w:spacing w:after="0"/>
              <w:rPr>
                <w:sz w:val="20"/>
                <w:szCs w:val="20"/>
                <w:color w:val="auto"/>
              </w:rPr>
            </w:pPr>
            <w:r>
              <w:rPr>
                <w:rFonts w:ascii="Arial" w:cs="Arial" w:eastAsia="Arial" w:hAnsi="Arial"/>
                <w:sz w:val="14"/>
                <w:szCs w:val="14"/>
                <w:color w:val="auto"/>
              </w:rPr>
              <w:t>1.48%</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2"/>
        </w:trPr>
        <w:tc>
          <w:tcPr>
            <w:tcW w:w="316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Jeffrey Flug</w:t>
            </w:r>
          </w:p>
        </w:tc>
        <w:tc>
          <w:tcPr>
            <w:tcW w:w="16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23,165,906</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6,495,319</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425,022</w:t>
            </w:r>
          </w:p>
        </w:tc>
        <w:tc>
          <w:tcPr>
            <w:tcW w:w="480" w:type="dxa"/>
            <w:vAlign w:val="bottom"/>
            <w:shd w:val="clear" w:color="auto" w:fill="BDD7EE"/>
          </w:tcPr>
          <w:p>
            <w:pPr>
              <w:spacing w:after="0"/>
              <w:rPr>
                <w:sz w:val="14"/>
                <w:szCs w:val="14"/>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21,005,443</w:t>
            </w:r>
          </w:p>
        </w:tc>
        <w:tc>
          <w:tcPr>
            <w:tcW w:w="100" w:type="dxa"/>
            <w:vAlign w:val="bottom"/>
            <w:shd w:val="clear" w:color="auto" w:fill="BDD7EE"/>
          </w:tcPr>
          <w:p>
            <w:pPr>
              <w:spacing w:after="0"/>
              <w:rPr>
                <w:sz w:val="14"/>
                <w:szCs w:val="14"/>
                <w:color w:val="auto"/>
              </w:rPr>
            </w:pPr>
          </w:p>
        </w:tc>
      </w:tr>
      <w:tr>
        <w:trPr>
          <w:trHeight w:val="182"/>
        </w:trPr>
        <w:tc>
          <w:tcPr>
            <w:tcW w:w="3160" w:type="dxa"/>
            <w:vAlign w:val="bottom"/>
            <w:gridSpan w:val="2"/>
          </w:tcPr>
          <w:p>
            <w:pPr>
              <w:ind w:left="860"/>
              <w:spacing w:after="0"/>
              <w:rPr>
                <w:sz w:val="20"/>
                <w:szCs w:val="20"/>
                <w:color w:val="auto"/>
              </w:rPr>
            </w:pPr>
            <w:r>
              <w:rPr>
                <w:rFonts w:ascii="Arial" w:cs="Arial" w:eastAsia="Arial" w:hAnsi="Arial"/>
                <w:sz w:val="14"/>
                <w:szCs w:val="14"/>
                <w:color w:val="auto"/>
              </w:rPr>
              <w:t>% of Shares Voted</w:t>
            </w:r>
          </w:p>
        </w:tc>
        <w:tc>
          <w:tcPr>
            <w:tcW w:w="2100" w:type="dxa"/>
            <w:vAlign w:val="bottom"/>
            <w:gridSpan w:val="2"/>
          </w:tcPr>
          <w:p>
            <w:pPr>
              <w:jc w:val="right"/>
              <w:ind w:right="360"/>
              <w:spacing w:after="0"/>
              <w:rPr>
                <w:sz w:val="20"/>
                <w:szCs w:val="20"/>
                <w:color w:val="auto"/>
              </w:rPr>
            </w:pPr>
            <w:r>
              <w:rPr>
                <w:rFonts w:ascii="Arial" w:cs="Arial" w:eastAsia="Arial" w:hAnsi="Arial"/>
                <w:sz w:val="14"/>
                <w:szCs w:val="14"/>
                <w:color w:val="auto"/>
              </w:rPr>
              <w:t>77.00%</w:t>
            </w:r>
          </w:p>
        </w:tc>
        <w:tc>
          <w:tcPr>
            <w:tcW w:w="2120" w:type="dxa"/>
            <w:vAlign w:val="bottom"/>
            <w:gridSpan w:val="2"/>
          </w:tcPr>
          <w:p>
            <w:pPr>
              <w:jc w:val="right"/>
              <w:ind w:right="360"/>
              <w:spacing w:after="0"/>
              <w:rPr>
                <w:sz w:val="20"/>
                <w:szCs w:val="20"/>
                <w:color w:val="auto"/>
              </w:rPr>
            </w:pPr>
            <w:r>
              <w:rPr>
                <w:rFonts w:ascii="Arial" w:cs="Arial" w:eastAsia="Arial" w:hAnsi="Arial"/>
                <w:sz w:val="14"/>
                <w:szCs w:val="14"/>
                <w:color w:val="auto"/>
              </w:rPr>
              <w:t>21.59%</w:t>
            </w:r>
          </w:p>
        </w:tc>
        <w:tc>
          <w:tcPr>
            <w:tcW w:w="2120" w:type="dxa"/>
            <w:vAlign w:val="bottom"/>
            <w:gridSpan w:val="2"/>
          </w:tcPr>
          <w:p>
            <w:pPr>
              <w:jc w:val="right"/>
              <w:ind w:right="360"/>
              <w:spacing w:after="0"/>
              <w:rPr>
                <w:sz w:val="20"/>
                <w:szCs w:val="20"/>
                <w:color w:val="auto"/>
              </w:rPr>
            </w:pPr>
            <w:r>
              <w:rPr>
                <w:rFonts w:ascii="Arial" w:cs="Arial" w:eastAsia="Arial" w:hAnsi="Arial"/>
                <w:sz w:val="14"/>
                <w:szCs w:val="14"/>
                <w:color w:val="auto"/>
              </w:rPr>
              <w:t>1.41%</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2021.</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9, 2021, as certified by the inspector of election,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1240" w:type="dxa"/>
            <w:vAlign w:val="bottom"/>
          </w:tcPr>
          <w:p>
            <w:pPr>
              <w:ind w:left="900"/>
              <w:spacing w:after="0"/>
              <w:rPr>
                <w:sz w:val="20"/>
                <w:szCs w:val="20"/>
                <w:color w:val="auto"/>
              </w:rPr>
            </w:pPr>
            <w:r>
              <w:rPr>
                <w:rFonts w:ascii="Arial" w:cs="Arial" w:eastAsia="Arial" w:hAnsi="Arial"/>
                <w:sz w:val="14"/>
                <w:szCs w:val="14"/>
                <w:color w:val="auto"/>
              </w:rPr>
              <w:t>For</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ind w:left="78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86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240" w:type="dxa"/>
            <w:vAlign w:val="bottom"/>
            <w:tcBorders>
              <w:top w:val="single" w:sz="8" w:color="auto"/>
            </w:tcBorders>
            <w:shd w:val="clear" w:color="auto" w:fill="BDD7EE"/>
          </w:tcPr>
          <w:p>
            <w:pPr>
              <w:spacing w:after="0"/>
              <w:rPr>
                <w:sz w:val="13"/>
                <w:szCs w:val="13"/>
                <w:color w:val="auto"/>
              </w:rPr>
            </w:pPr>
          </w:p>
        </w:tc>
        <w:tc>
          <w:tcPr>
            <w:tcW w:w="8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49,934,000</w:t>
            </w:r>
          </w:p>
        </w:tc>
        <w:tc>
          <w:tcPr>
            <w:tcW w:w="560" w:type="dxa"/>
            <w:vAlign w:val="bottom"/>
            <w:tcBorders>
              <w:top w:val="single" w:sz="8" w:color="BDD7EE"/>
            </w:tcBorders>
            <w:shd w:val="clear" w:color="auto" w:fill="BDD7EE"/>
          </w:tcPr>
          <w:p>
            <w:pPr>
              <w:spacing w:after="0"/>
              <w:rPr>
                <w:sz w:val="13"/>
                <w:szCs w:val="13"/>
                <w:color w:val="auto"/>
              </w:rPr>
            </w:pPr>
          </w:p>
        </w:tc>
        <w:tc>
          <w:tcPr>
            <w:tcW w:w="1400" w:type="dxa"/>
            <w:vAlign w:val="bottom"/>
            <w:tcBorders>
              <w:top w:val="single" w:sz="8" w:color="auto"/>
            </w:tcBorders>
            <w:shd w:val="clear" w:color="auto" w:fill="BDD7EE"/>
          </w:tcPr>
          <w:p>
            <w:pPr>
              <w:spacing w:after="0"/>
              <w:rPr>
                <w:sz w:val="13"/>
                <w:szCs w:val="13"/>
                <w:color w:val="auto"/>
              </w:rPr>
            </w:pPr>
          </w:p>
        </w:tc>
        <w:tc>
          <w:tcPr>
            <w:tcW w:w="64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675,077</w:t>
            </w:r>
          </w:p>
        </w:tc>
        <w:tc>
          <w:tcPr>
            <w:tcW w:w="560" w:type="dxa"/>
            <w:vAlign w:val="bottom"/>
            <w:tcBorders>
              <w:top w:val="single" w:sz="8" w:color="BDD7EE"/>
            </w:tcBorders>
            <w:shd w:val="clear" w:color="auto" w:fill="BDD7EE"/>
          </w:tcPr>
          <w:p>
            <w:pPr>
              <w:spacing w:after="0"/>
              <w:rPr>
                <w:sz w:val="13"/>
                <w:szCs w:val="13"/>
                <w:color w:val="auto"/>
              </w:rPr>
            </w:pPr>
          </w:p>
        </w:tc>
        <w:tc>
          <w:tcPr>
            <w:tcW w:w="204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482,613</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5100" w:type="dxa"/>
            <w:vAlign w:val="bottom"/>
            <w:gridSpan w:val="2"/>
          </w:tcPr>
          <w:p>
            <w:pPr>
              <w:ind w:left="1180"/>
              <w:spacing w:after="0"/>
              <w:rPr>
                <w:sz w:val="20"/>
                <w:szCs w:val="20"/>
                <w:color w:val="auto"/>
              </w:rPr>
            </w:pPr>
            <w:r>
              <w:rPr>
                <w:rFonts w:ascii="Arial" w:cs="Arial" w:eastAsia="Arial" w:hAnsi="Arial"/>
                <w:sz w:val="14"/>
                <w:szCs w:val="14"/>
                <w:color w:val="auto"/>
              </w:rPr>
              <w:t>% of Shares Voted</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97.73%</w:t>
            </w:r>
          </w:p>
        </w:tc>
        <w:tc>
          <w:tcPr>
            <w:tcW w:w="14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1.32%</w:t>
            </w:r>
          </w:p>
        </w:tc>
        <w:tc>
          <w:tcPr>
            <w:tcW w:w="2180" w:type="dxa"/>
            <w:vAlign w:val="bottom"/>
            <w:gridSpan w:val="2"/>
          </w:tcPr>
          <w:p>
            <w:pPr>
              <w:jc w:val="right"/>
              <w:ind w:right="20"/>
              <w:spacing w:after="0"/>
              <w:rPr>
                <w:sz w:val="20"/>
                <w:szCs w:val="20"/>
                <w:color w:val="auto"/>
              </w:rPr>
            </w:pPr>
            <w:r>
              <w:rPr>
                <w:rFonts w:ascii="Arial" w:cs="Arial" w:eastAsia="Arial" w:hAnsi="Arial"/>
                <w:sz w:val="14"/>
                <w:szCs w:val="14"/>
                <w:color w:val="auto"/>
              </w:rPr>
              <w:t>0.95%</w:t>
            </w:r>
          </w:p>
        </w:tc>
        <w:tc>
          <w:tcPr>
            <w:tcW w:w="20" w:type="dxa"/>
            <w:vAlign w:val="bottom"/>
          </w:tcPr>
          <w:p>
            <w:pPr>
              <w:spacing w:after="0"/>
              <w:rPr>
                <w:sz w:val="15"/>
                <w:szCs w:val="15"/>
                <w:color w:val="auto"/>
              </w:rPr>
            </w:pPr>
          </w:p>
        </w:tc>
      </w:tr>
      <w:tr>
        <w:trPr>
          <w:trHeight w:val="351"/>
        </w:trPr>
        <w:tc>
          <w:tcPr>
            <w:tcW w:w="3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February 12, 2021</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2021-02-12T15:22:21Z</dcterms:created>
  <dcterms:modified xsi:type="dcterms:W3CDTF">2021-02-12T15:22:21Z</dcterms:modified>
</cp:coreProperties>
</file>