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780"/>
        <w:spacing w:after="0" w:line="312" w:lineRule="auto"/>
        <w:rPr>
          <w:sz w:val="20"/>
          <w:szCs w:val="20"/>
          <w:color w:val="auto"/>
        </w:rPr>
      </w:pPr>
      <w:r>
        <w:rPr>
          <w:rFonts w:ascii="Times New Roman" w:cs="Times New Roman" w:eastAsia="Times New Roman" w:hAnsi="Times New Roman"/>
          <w:sz w:val="17"/>
          <w:szCs w:val="17"/>
          <w:color w:val="auto"/>
        </w:rPr>
        <w:t>On February 9, 2026, PennanrPark Investment Corporation issued a press release announcing its financial results for the first fiscal quarter ended December 31, 2025. A copy of the press release is furnished as Exhibit 99.1 to this report pursuant to Item 2.02 on Form 8-K and Regulation FD.</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February 9,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2026</w:t>
            </w: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First Quarter Ended December 31, 2025 and Updates Dividend Strategy Going Forward</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MIAMI, Feb. 09, 2026 (GLOBE NEWSWIRE) -- PennantPark Investment Corporation (NYSE: PNNT) (the "Company") announced today financial results for the first quarter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December 31, 2025 (unaudited)</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72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1,218.5</w:t>
            </w: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457.2</w:t>
            </w: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 value per share</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7.00</w:t>
            </w: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change in net asset value per share</w:t>
            </w:r>
          </w:p>
        </w:tc>
        <w:tc>
          <w:tcPr>
            <w:tcW w:w="2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528"/>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295.5</w:t>
            </w: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2026 Notes, net of unamortized deferred financing costs</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149.7</w:t>
            </w: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2026-2 Notes, net of unamortized deferred financing costs</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164.1</w:t>
            </w: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68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1.34x</w:t>
            </w:r>
          </w:p>
        </w:tc>
      </w:tr>
      <w:tr>
        <w:trPr>
          <w:trHeight w:val="282"/>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w:t>
            </w:r>
          </w:p>
        </w:tc>
        <w:tc>
          <w:tcPr>
            <w:tcW w:w="2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528"/>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7.0</w:t>
            </w:r>
          </w:p>
        </w:tc>
      </w:tr>
      <w:tr>
        <w:trPr>
          <w:trHeight w:val="279"/>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0.11</w:t>
            </w:r>
          </w:p>
        </w:tc>
      </w:tr>
      <w:tr>
        <w:trPr>
          <w:trHeight w:val="315"/>
        </w:trPr>
        <w:tc>
          <w:tcPr>
            <w:tcW w:w="72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(2)</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0.14</w:t>
            </w: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0.24</w:t>
            </w:r>
          </w:p>
        </w:tc>
      </w:tr>
      <w:tr>
        <w:trPr>
          <w:trHeight w:val="53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726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Purchases of investments </w:t>
            </w:r>
            <w:r>
              <w:rPr>
                <w:rFonts w:ascii="Times New Roman" w:cs="Times New Roman" w:eastAsia="Times New Roman" w:hAnsi="Times New Roman"/>
                <w:sz w:val="35"/>
                <w:szCs w:val="35"/>
                <w:color w:val="auto"/>
                <w:vertAlign w:val="superscript"/>
              </w:rPr>
              <w:t>(3)</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115.1</w:t>
            </w:r>
          </w:p>
        </w:tc>
      </w:tr>
      <w:tr>
        <w:trPr>
          <w:trHeight w:val="475"/>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Sales and repayments of investments </w:t>
            </w:r>
            <w:r>
              <w:rPr>
                <w:rFonts w:ascii="Times New Roman" w:cs="Times New Roman" w:eastAsia="Times New Roman" w:hAnsi="Times New Roman"/>
                <w:sz w:val="35"/>
                <w:szCs w:val="35"/>
                <w:color w:val="auto"/>
                <w:vertAlign w:val="superscript"/>
              </w:rPr>
              <w:t>(3)</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273.2</w:t>
            </w:r>
          </w:p>
        </w:tc>
      </w:tr>
      <w:tr>
        <w:trPr>
          <w:trHeight w:val="38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1,357.3</w:t>
            </w: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129.5</w:t>
            </w: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25.3</w:t>
            </w:r>
          </w:p>
        </w:tc>
      </w:tr>
    </w:tbl>
    <w:p>
      <w:pPr>
        <w:spacing w:after="0" w:line="200" w:lineRule="exact"/>
        <w:rPr>
          <w:sz w:val="20"/>
          <w:szCs w:val="20"/>
          <w:color w:val="auto"/>
        </w:rPr>
      </w:pPr>
    </w:p>
    <w:p>
      <w:pPr>
        <w:spacing w:after="0" w:line="260" w:lineRule="exact"/>
        <w:rPr>
          <w:sz w:val="20"/>
          <w:szCs w:val="20"/>
          <w:color w:val="auto"/>
        </w:rPr>
      </w:pPr>
    </w:p>
    <w:p>
      <w:pPr>
        <w:ind w:left="540" w:right="20" w:hanging="208"/>
        <w:spacing w:after="0" w:line="258"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$200.1 million, at fair value.</w:t>
      </w:r>
    </w:p>
    <w:p>
      <w:pPr>
        <w:spacing w:after="0" w:line="50" w:lineRule="exact"/>
        <w:rPr>
          <w:rFonts w:ascii="Times New Roman" w:cs="Times New Roman" w:eastAsia="Times New Roman" w:hAnsi="Times New Roman"/>
          <w:sz w:val="22"/>
          <w:szCs w:val="22"/>
          <w:color w:val="auto"/>
        </w:rPr>
      </w:pPr>
    </w:p>
    <w:p>
      <w:pPr>
        <w:jc w:val="both"/>
        <w:ind w:left="540" w:hanging="208"/>
        <w:spacing w:after="0" w:line="236"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2025, Core NII excluded: i) $3.9 million of debt issuance costs, and ii) $1.9 million of incentive fee expense offset..</w:t>
      </w:r>
    </w:p>
    <w:p>
      <w:pPr>
        <w:spacing w:after="0" w:line="73" w:lineRule="exact"/>
        <w:rPr>
          <w:rFonts w:ascii="Times New Roman" w:cs="Times New Roman" w:eastAsia="Times New Roman" w:hAnsi="Times New Roman"/>
          <w:sz w:val="22"/>
          <w:szCs w:val="22"/>
          <w:color w:val="auto"/>
        </w:rPr>
      </w:pPr>
    </w:p>
    <w:p>
      <w:pPr>
        <w:ind w:left="540" w:hanging="208"/>
        <w:spacing w:after="0"/>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Excludes U.S. Government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FEBRUARY 10, 2026</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also host a conference call at 12:00 p.m. (Eastern Time) on Tuesday, February 10,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#5373585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DIVIDEND STRUCTURE</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rPr>
          <w:sz w:val="20"/>
          <w:szCs w:val="20"/>
          <w:color w:val="auto"/>
        </w:rPr>
      </w:pPr>
      <w:r>
        <w:rPr>
          <w:rFonts w:ascii="Times New Roman" w:cs="Times New Roman" w:eastAsia="Times New Roman" w:hAnsi="Times New Roman"/>
          <w:sz w:val="22"/>
          <w:szCs w:val="22"/>
          <w:color w:val="auto"/>
        </w:rPr>
        <w:t>Beginning with the dividend payable in April, the total monthly dividend will remain at $0.08 per share but will be comprised of a $0.04 per share monthly base dividend and $0.04 per share monthly supplemental dividend. The base dividend is expected to be fully supported by current core net investment income and the supplemental dividend will be supported by our undistributed spillover income. We anticipate maintaining the supplemental dividend payment through December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realization of our equity investment in JF Intermediate, LLC for $67.5 million was a meaningful milestone in PNNT’s ongoing equity rotation strategy,” said Art Penn, Chairman and CEO. “We are pleased with the recent upsize of our Credit Facility which included amending the terms to have lower pricing which will benefit our shareholders.”</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December 31, 2025, our portfolio totaled $1,218.5 million and consisted of $487.9 million or 40% of first lien secured debt, $209.5 million or 17% of U.S. Government Securities, $18.2 million or 2% of second lien secured debt, $205.7 million or 17% of subordinated debt (including $140.3 million or 12% in PSLF) and $297.2 million or 24% of preferred and common equity (including $59.8 million or 5% in PSLF). Our interest bearing debt portfolio consisted of 89% variable-rate investments and 11% fixed-rate investments. As of December 31, 2025, we had four portfolio companies on non-accrual, representing 2.2% and 1.1% percent of our overall portfolio on a cost and fair value basis, respectively. Overall, the portfolio had net unrealized appreciation (depreciation) of $(6.7) million as of December 31, 2025. Our overall portfolio consisted of 158 companies with an average investment size of $6.4 million (excluding U.S. Government Securities), had a weighted average yield on interest bearing debt investments of 10.9%.</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2025, our portfolio totaled $1,287.3 million and consisted of $582.4 million or 45% of first lien secured debt, $124.8 million or 10% of U.S. Government Securities, $18.2 million or 1% of second lien secured debt, $201.2 million or 16% of subordinated debt (including $140.3 million or 11% in PSLF) and $360.7 million or 28% of preferred and common equity (including $67.5 million or 5% in PSLF). Our interest bearing debt portfolio consisted of 91% variable-rate investments and 9% fixed-rate investments. As of September 30, 2025, we had four portfolio companies on non-accrual, representing 1.3% and 0.1% of our overall portfolio on a cost and fair value basis, respectively. Overall, the portfolio had net unrealized appreciation of $50.4 million as of September 30, 2025. Our overall portfolio consisted of 166 companies with an average investment size of $7.0 million (excluding U.S. Government Securities), had a weighted average yield on interest bearing debt investments of 11.0%.</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2025, we invested $115.1 million in three new and 51 existing portfolio companies at a weighted average yield on debt investments of 9.7%. For the three months ended December 31, 2025, sales and repayments of investments totaled $273.2 million including $128.9 million of sales to PSLF. The investments, sales and repayments noted above exclude all purchases and sales of U.S. Government Securities.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we invested $295.7 million in 12 new and 61 existing portfolio companies at a weighted average yield on debt investments of 10.6%. For the three months ended December 31, 2024, sales and repayments of investments totaled $353.7 million including $286.6 million of sales to PSLF. The investments, sales and repayments noted above exclude all purchases and sales of U.S. Government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2025, PSLF’s portfolio totaled $1,357.3 million, consisted of 118 companies with an average investment size of $11.5 million and had a weighted average yield interest bearing debt investments of 9.6%.</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2025, PSLF’s portfolio totaled $1,265.9 million, consisted of 109 companies with an average investment size of $11.6 million and had a weighted average yield interest bearing debt investments of 10.1%.</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2025, PSLF invested $129.5 million, including $128.9 million purchased from the Company, in 11 new and 12 existing portfolio companies at weighted average yield interest bearing debt investments of 9.2%. PSLF’s sales and repayments of investments for the same period totaled $25.3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2024, PSLF invested $353.8 million, including $286.6 million purchased from the Company, in 15 new and 43 existing portfolio companies at weighted average yield on interest bearing debt investments of 10.5%. PSLF’s sales and repayments of investments for the same period totaled $109.1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2025, investment income was $27.3 million, which was attributable to $20.3 million from first lien secured debt, $0.4 million from second lien secured debt, $1.9 million from subordinated debt and $4.7 million from other investments, respectively. For the three months ended December 31, 2024, investment income was $34.2 million, which was attributable to $25.2 million from first lien secured debt, $2.0 million from second lien secured debt, $1.1 million from subordinated debt and $5.9 million from other investments, respectively. The decrease in investment income for three</w:t>
      </w:r>
    </w:p>
    <w:p>
      <w:pPr>
        <w:sectPr>
          <w:pgSz w:w="11900" w:h="16838" w:orient="portrait"/>
          <w:cols w:equalWidth="0" w:num="1">
            <w:col w:w="11240"/>
          </w:cols>
          <w:pgMar w:left="320" w:top="112" w:right="339" w:bottom="3" w:gutter="0" w:footer="0" w:header="0"/>
        </w:sectPr>
      </w:pPr>
    </w:p>
    <w:bookmarkStart w:id="5" w:name="page6"/>
    <w:bookmarkEnd w:id="5"/>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months ended December 31, 2025, was primarily due to a decrease in our total portfolio size and a decrease in our weighted average yield on debt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December 31, 2025, expenses totaled $20.3 million and were comprised of $14.4 million of debt related interest and expenses, $3.9 million of base management fees, $1.3 million of general and administrative expenses and $0.7 million of provision for excise taxes, respectively. For the three months ended December 31, 2024, expenses totaled $21.2 million and were comprised of $11.7 million of debt-related interest and expenses, $4.3 million of base management fees, $2.8 million of incentive fees, $1.7 million of general and administrative expenses and $0.7 million of provision for excise taxes, respectively. The decrease in expenses for the three months ended December 31, 2025, was primarily due to a decrease in incentive fees offset by one-time credit facility amendment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2025, net investment income totaled $7.0 million, or $0.11 per share, respectively. For the three months ended December 31, 2024, net investment income totaled $13.0 million, or $0.20 per share, respectively. The decrease in net investment income was primarily due to a decrease in investment income and partially offset by a decrease in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2025 and 2024, net realized gains (losses) totaled $59.0 million and $(2.6) million, respectively. The change in realized gains (losses) was primarily due to changes in the market conditions of our investments and the values at which they were realized.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2025 and 2024, we reported net change in unrealized appreciation (depreciation) on investments $(57.1) million and $2.4 million, respectively. As of December 31, 2025 and September 30, 2025, our net unrealized appreciation (depreciation) on investments totaled $(6.7) million and $50.4 million, respectively. The net change in unrealized depreciation on our investments was primarily due to changes in the capital market conditions of our investments and the values at which they were realized.</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2025 and 2024, the Truist Credit Facility had a net change in unrealized appreciation (depreciation) of less than $0.1 million and $3.3 million, respectively. As of December 31, 2025 and September 30, 2025, the net unrealized appreciation (depreciation) on the Truist Credit Facility totaled $1.0 million and $1.0 million, respectively. The net change in unrealized appreciation (depreciation) compared to the same periods in the prior period was primarily due to changes in the capital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2025 and 2024, net increase (decrease) in net assets resulting from operations totaled $9.0 million and $16.1 million or $0.14 per share and $0.25 per share, respectively. The decrease from net operations for the three months ended December 31, 2025, was primarily due to operating performance of our portfolio and changes in capital market conditions of our investments along with change in size and cost yield of our debt portfolio and cost of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December 2025, we increased the size of the Truist Credit Facility from $500 million to $535 million, extended the maturity to 2030, and reduced pricing from SOFR plus 235 bps to SOFR plus 210 bps.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of December 31, 2025 and September 30, 2025, we had $296.5 million and $426.5 million, respectively, in outstanding borrowings under the Truist Credit Facility. The Truist Credit Facility had a weighted average interest rate of 5.8% and 6.5%, respectively, exclusive of the fee on undrawn commitments. As of December 31, 2025 and September 30, 2025, we had $238.5 million and $73.5 million of unused borrowing capacity under the Truist Credit Facility, respectively, subject to leverage and borrowing base restrictions.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2025 and September 30, 2025, we had cash and cash equivalents of $45.9 million and $51.8 million, respectively, available for investing and general corporate purposes. We believe our liquidity and capital resources are sufficient to allow us to effectively operate our business.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For the three months ended December 31, 2025, our operating activities provided cash of $134.5 million and our financing activities used cash of $140.4 million. Our operating activities provided cash primarily due to our investment activities and our</w:t>
      </w:r>
    </w:p>
    <w:p>
      <w:pPr>
        <w:sectPr>
          <w:pgSz w:w="11900" w:h="16921" w:orient="portrait"/>
          <w:cols w:equalWidth="0" w:num="1">
            <w:col w:w="11240"/>
          </w:cols>
          <w:pgMar w:left="320" w:top="111" w:right="339" w:bottom="0" w:gutter="0" w:footer="0" w:header="0"/>
        </w:sectPr>
      </w:pPr>
    </w:p>
    <w:bookmarkStart w:id="6" w:name="page7"/>
    <w:bookmarkEnd w:id="6"/>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financing activities used cash primarily for repayments of our credit facility and distributions paid to stockholders.</w:t>
      </w:r>
    </w:p>
    <w:p>
      <w:pPr>
        <w:spacing w:after="0" w:line="23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our operating activities provided cash of $18.7 million and our financing activities used cash of $12.7 million. Our operating activities provided cash primarily due to our investment activities and our financing activities used cash primarily for distributions paid to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ended December 31, 2025, we declared distributions of $0.24 per share, for total distributions of $15.7 million. During the three months ended December 31, 2024, we declared distributions of $0.24 per share, for total distribution of $15.7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On January 30, 2026, the Company issued $75.0 million in aggregate principal amount of 7.0% Senior Unsecured Notes due February 1, 2029.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AND SUBSIDIARIES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STATEMENTS OF ASSETS AND LIABILITIES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500" w:type="dxa"/>
            <w:vAlign w:val="bottom"/>
          </w:tcPr>
          <w:p>
            <w:pPr>
              <w:ind w:left="4180"/>
              <w:spacing w:after="0"/>
              <w:rPr>
                <w:sz w:val="20"/>
                <w:szCs w:val="20"/>
                <w:color w:val="auto"/>
              </w:rPr>
            </w:pPr>
            <w:r>
              <w:rPr>
                <w:rFonts w:ascii="Times New Roman" w:cs="Times New Roman" w:eastAsia="Times New Roman" w:hAnsi="Times New Roman"/>
                <w:sz w:val="22"/>
                <w:szCs w:val="22"/>
                <w:color w:val="auto"/>
              </w:rPr>
              <w:t>(In thousands, except share data)</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9"/>
              </w:rPr>
              <w:t>September 30,</w:t>
            </w:r>
          </w:p>
        </w:tc>
        <w:tc>
          <w:tcPr>
            <w:tcW w:w="0" w:type="dxa"/>
            <w:vAlign w:val="bottom"/>
          </w:tcPr>
          <w:p>
            <w:pPr>
              <w:spacing w:after="0"/>
              <w:rPr>
                <w:sz w:val="1"/>
                <w:szCs w:val="1"/>
                <w:color w:val="auto"/>
              </w:rPr>
            </w:pPr>
          </w:p>
        </w:tc>
      </w:tr>
      <w:tr>
        <w:trPr>
          <w:trHeight w:val="227"/>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5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6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140" w:type="dxa"/>
            <w:vAlign w:val="bottom"/>
          </w:tcPr>
          <w:p>
            <w:pPr>
              <w:spacing w:after="0"/>
              <w:rPr>
                <w:sz w:val="24"/>
                <w:szCs w:val="24"/>
                <w:color w:val="auto"/>
              </w:rPr>
            </w:pP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7500" w:type="dxa"/>
            <w:vAlign w:val="bottom"/>
            <w:vMerge w:val="continue"/>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cost—$846,496 and</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$853,416,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852,085</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857,415</w:t>
            </w:r>
          </w:p>
        </w:tc>
        <w:tc>
          <w:tcPr>
            <w:tcW w:w="0" w:type="dxa"/>
            <w:vAlign w:val="bottom"/>
          </w:tcPr>
          <w:p>
            <w:pPr>
              <w:spacing w:after="0"/>
              <w:rPr>
                <w:sz w:val="1"/>
                <w:szCs w:val="1"/>
                <w:color w:val="auto"/>
              </w:rPr>
            </w:pPr>
          </w:p>
        </w:tc>
      </w:tr>
      <w:tr>
        <w:trPr>
          <w:trHeight w:val="243"/>
        </w:trPr>
        <w:tc>
          <w:tcPr>
            <w:tcW w:w="75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cost—$36,561 and $36,561,</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4,891</w:t>
            </w:r>
          </w:p>
        </w:tc>
        <w:tc>
          <w:tcPr>
            <w:tcW w:w="0" w:type="dxa"/>
            <w:vAlign w:val="bottom"/>
          </w:tcPr>
          <w:p>
            <w:pPr>
              <w:spacing w:after="0"/>
              <w:rPr>
                <w:sz w:val="1"/>
                <w:szCs w:val="1"/>
                <w:color w:val="auto"/>
              </w:rPr>
            </w:pPr>
          </w:p>
        </w:tc>
      </w:tr>
      <w:tr>
        <w:trPr>
          <w:trHeight w:val="243"/>
        </w:trPr>
        <w:tc>
          <w:tcPr>
            <w:tcW w:w="75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cost—$342,149 and $346,911,</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364,638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424,967</w:t>
            </w:r>
          </w:p>
        </w:tc>
        <w:tc>
          <w:tcPr>
            <w:tcW w:w="0" w:type="dxa"/>
            <w:vAlign w:val="bottom"/>
          </w:tcPr>
          <w:p>
            <w:pPr>
              <w:spacing w:after="0"/>
              <w:rPr>
                <w:sz w:val="1"/>
                <w:szCs w:val="1"/>
                <w:color w:val="auto"/>
              </w:rPr>
            </w:pPr>
          </w:p>
        </w:tc>
      </w:tr>
      <w:tr>
        <w:trPr>
          <w:trHeight w:val="251"/>
        </w:trPr>
        <w:tc>
          <w:tcPr>
            <w:tcW w:w="750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cost—$1,225,206 and $1,236,888, respectively)</w:t>
            </w:r>
          </w:p>
        </w:tc>
        <w:tc>
          <w:tcPr>
            <w:tcW w:w="160" w:type="dxa"/>
            <w:vAlign w:val="bottom"/>
          </w:tcPr>
          <w:p>
            <w:pPr>
              <w:spacing w:after="0"/>
              <w:rPr>
                <w:sz w:val="21"/>
                <w:szCs w:val="21"/>
                <w:color w:val="auto"/>
              </w:rPr>
            </w:pPr>
          </w:p>
        </w:tc>
        <w:tc>
          <w:tcPr>
            <w:tcW w:w="15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1,218,474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1,287,273</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Cash equivalents (cost—$17,660 and $30,711,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30,711</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Cash (cost—$28,091 and $21,028,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28,200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21,072</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5,182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5,261</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Receivable for investments sold</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18,915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4,694</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c>
          <w:tcPr>
            <w:tcW w:w="0" w:type="dxa"/>
            <w:vAlign w:val="bottom"/>
          </w:tcPr>
          <w:p>
            <w:pPr>
              <w:spacing w:after="0"/>
              <w:rPr>
                <w:sz w:val="1"/>
                <w:szCs w:val="1"/>
                <w:color w:val="auto"/>
              </w:rPr>
            </w:pPr>
          </w:p>
        </w:tc>
      </w:t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375</w:t>
            </w:r>
          </w:p>
        </w:tc>
        <w:tc>
          <w:tcPr>
            <w:tcW w:w="0" w:type="dxa"/>
            <w:vAlign w:val="bottom"/>
          </w:tcPr>
          <w:p>
            <w:pPr>
              <w:spacing w:after="0"/>
              <w:rPr>
                <w:sz w:val="1"/>
                <w:szCs w:val="1"/>
                <w:color w:val="auto"/>
              </w:rPr>
            </w:pPr>
          </w:p>
        </w:tc>
      </w:tr>
      <w:tr>
        <w:trPr>
          <w:trHeight w:val="265"/>
        </w:trPr>
        <w:tc>
          <w:tcPr>
            <w:tcW w:w="75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1,293,517</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1,349,554</w:t>
            </w:r>
          </w:p>
        </w:tc>
        <w:tc>
          <w:tcPr>
            <w:tcW w:w="0" w:type="dxa"/>
            <w:vAlign w:val="bottom"/>
          </w:tcPr>
          <w:p>
            <w:pPr>
              <w:spacing w:after="0"/>
              <w:rPr>
                <w:sz w:val="1"/>
                <w:szCs w:val="1"/>
                <w:color w:val="auto"/>
              </w:rPr>
            </w:pPr>
          </w:p>
        </w:tc>
      </w:tr>
      <w:tr>
        <w:trPr>
          <w:trHeight w:val="250"/>
        </w:trPr>
        <w:tc>
          <w:tcPr>
            <w:tcW w:w="75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(cost—$296,456 and $426,456,</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295,464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425,477</w:t>
            </w:r>
          </w:p>
        </w:tc>
        <w:tc>
          <w:tcPr>
            <w:tcW w:w="0" w:type="dxa"/>
            <w:vAlign w:val="bottom"/>
          </w:tcPr>
          <w:p>
            <w:pPr>
              <w:spacing w:after="0"/>
              <w:rPr>
                <w:sz w:val="1"/>
                <w:szCs w:val="1"/>
                <w:color w:val="auto"/>
              </w:rPr>
            </w:pPr>
          </w:p>
        </w:tc>
      </w:tr>
      <w:tr>
        <w:trPr>
          <w:trHeight w:val="243"/>
        </w:trPr>
        <w:tc>
          <w:tcPr>
            <w:tcW w:w="7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Notes payable (par— $150,000, unamortized deferred financing cost of $302</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and $527,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149,698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149,473</w:t>
            </w:r>
          </w:p>
        </w:tc>
        <w:tc>
          <w:tcPr>
            <w:tcW w:w="0" w:type="dxa"/>
            <w:vAlign w:val="bottom"/>
          </w:tcPr>
          <w:p>
            <w:pPr>
              <w:spacing w:after="0"/>
              <w:rPr>
                <w:sz w:val="1"/>
                <w:szCs w:val="1"/>
                <w:color w:val="auto"/>
              </w:rPr>
            </w:pPr>
          </w:p>
        </w:tc>
      </w:tr>
      <w:tr>
        <w:trPr>
          <w:trHeight w:val="243"/>
        </w:trPr>
        <w:tc>
          <w:tcPr>
            <w:tcW w:w="7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Notes-2 payable (par— $165,000, unamortized deferred financing cost of $853</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and $1,067,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164,147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163,933</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209,555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130,007</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6,281</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5,294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4,342</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4,005</w:t>
            </w:r>
          </w:p>
        </w:tc>
        <w:tc>
          <w:tcPr>
            <w:tcW w:w="0" w:type="dxa"/>
            <w:vAlign w:val="bottom"/>
          </w:tcPr>
          <w:p>
            <w:pPr>
              <w:spacing w:after="0"/>
              <w:rPr>
                <w:sz w:val="1"/>
                <w:szCs w:val="1"/>
                <w:color w:val="auto"/>
              </w:rPr>
            </w:pPr>
          </w:p>
        </w:tc>
      </w:t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160" w:type="dxa"/>
            <w:vAlign w:val="bottom"/>
          </w:tcPr>
          <w:p>
            <w:pPr>
              <w:spacing w:after="0"/>
              <w:rPr>
                <w:sz w:val="24"/>
                <w:szCs w:val="24"/>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2,086</w:t>
            </w:r>
          </w:p>
        </w:tc>
        <w:tc>
          <w:tcPr>
            <w:tcW w:w="0" w:type="dxa"/>
            <w:vAlign w:val="bottom"/>
          </w:tcPr>
          <w:p>
            <w:pPr>
              <w:spacing w:after="0"/>
              <w:rPr>
                <w:sz w:val="1"/>
                <w:szCs w:val="1"/>
                <w:color w:val="auto"/>
              </w:rPr>
            </w:pPr>
          </w:p>
        </w:tc>
      </w:tr>
      <w:tr>
        <w:trPr>
          <w:trHeight w:val="265"/>
        </w:trPr>
        <w:tc>
          <w:tcPr>
            <w:tcW w:w="75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836,283</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885,604</w:t>
            </w:r>
          </w:p>
        </w:tc>
        <w:tc>
          <w:tcPr>
            <w:tcW w:w="0" w:type="dxa"/>
            <w:vAlign w:val="bottom"/>
          </w:tcPr>
          <w:p>
            <w:pPr>
              <w:spacing w:after="0"/>
              <w:rPr>
                <w:sz w:val="1"/>
                <w:szCs w:val="1"/>
                <w:color w:val="auto"/>
              </w:rPr>
            </w:pPr>
          </w:p>
        </w:tc>
      </w:tr>
    </w:tbl>
    <w:p>
      <w:pPr>
        <w:sectPr>
          <w:pgSz w:w="11900" w:h="16864"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Commitments and contingencies</w:t>
            </w: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65,296,094 and 65,296,094 shares issued and outstanding,</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740,506</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740,506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46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(283,337)</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(276,621)</w:t>
            </w:r>
          </w:p>
        </w:tc>
        <w:tc>
          <w:tcPr>
            <w:tcW w:w="0" w:type="dxa"/>
            <w:vAlign w:val="bottom"/>
          </w:tcPr>
          <w:p>
            <w:pPr>
              <w:spacing w:after="0"/>
              <w:rPr>
                <w:sz w:val="1"/>
                <w:szCs w:val="1"/>
                <w:color w:val="auto"/>
              </w:rPr>
            </w:pPr>
          </w:p>
        </w:tc>
      </w:tr>
      <w:tr>
        <w:trPr>
          <w:trHeight w:val="265"/>
        </w:trPr>
        <w:tc>
          <w:tcPr>
            <w:tcW w:w="75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4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457,234</w:t>
            </w:r>
          </w:p>
        </w:tc>
        <w:tc>
          <w:tcPr>
            <w:tcW w:w="220" w:type="dxa"/>
            <w:vAlign w:val="bottom"/>
          </w:tcPr>
          <w:p>
            <w:pPr>
              <w:spacing w:after="0"/>
              <w:rPr>
                <w:sz w:val="23"/>
                <w:szCs w:val="23"/>
                <w:color w:val="auto"/>
              </w:rPr>
            </w:pPr>
          </w:p>
        </w:tc>
        <w:tc>
          <w:tcPr>
            <w:tcW w:w="4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463,950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1,293,517</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1,349,554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5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500" w:type="dxa"/>
            <w:vAlign w:val="bottom"/>
            <w:vMerge w:val="continue"/>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 except share data)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5"/>
          </w:tcPr>
          <w:p>
            <w:pPr>
              <w:jc w:val="right"/>
              <w:ind w:right="260"/>
              <w:spacing w:after="0"/>
              <w:rPr>
                <w:sz w:val="20"/>
                <w:szCs w:val="20"/>
                <w:color w:val="auto"/>
              </w:rPr>
            </w:pPr>
            <w:r>
              <w:rPr>
                <w:rFonts w:ascii="Times New Roman" w:cs="Times New Roman" w:eastAsia="Times New Roman" w:hAnsi="Times New Roman"/>
                <w:sz w:val="22"/>
                <w:szCs w:val="22"/>
                <w:b w:val="1"/>
                <w:bCs w:val="1"/>
                <w:color w:val="auto"/>
                <w:w w:val="98"/>
              </w:rPr>
              <w:t>Three Months Ended December 31,</w:t>
            </w:r>
          </w:p>
        </w:tc>
        <w:tc>
          <w:tcPr>
            <w:tcW w:w="0" w:type="dxa"/>
            <w:vAlign w:val="bottom"/>
          </w:tcPr>
          <w:p>
            <w:pPr>
              <w:spacing w:after="0"/>
              <w:rPr>
                <w:sz w:val="1"/>
                <w:szCs w:val="1"/>
                <w:color w:val="auto"/>
              </w:rPr>
            </w:pPr>
          </w:p>
        </w:tc>
      </w:tr>
      <w:tr>
        <w:trPr>
          <w:trHeight w:val="264"/>
        </w:trPr>
        <w:tc>
          <w:tcPr>
            <w:tcW w:w="75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13,939</w:t>
            </w:r>
          </w:p>
        </w:tc>
        <w:tc>
          <w:tcPr>
            <w:tcW w:w="2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6,271</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14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4,184</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27,253</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34,207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14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10,501</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Expenses before provision for taxes and financing costs</w:t>
            </w: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15,716</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tcPr>
          <w:p>
            <w:pPr>
              <w:ind w:left="200"/>
              <w:spacing w:after="0" w:line="249" w:lineRule="exact"/>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140" w:type="dxa"/>
            <w:vAlign w:val="bottom"/>
          </w:tcPr>
          <w:p>
            <w:pPr>
              <w:spacing w:after="0"/>
              <w:rPr>
                <w:sz w:val="21"/>
                <w:szCs w:val="21"/>
                <w:color w:val="auto"/>
              </w:rPr>
            </w:pPr>
          </w:p>
        </w:tc>
        <w:tc>
          <w:tcPr>
            <w:tcW w:w="15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660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Credit facility amendment and debt issuance costs</w:t>
            </w: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20,261</w:t>
            </w:r>
          </w:p>
        </w:tc>
        <w:tc>
          <w:tcPr>
            <w:tcW w:w="2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6,992</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40" w:type="dxa"/>
            <w:vAlign w:val="bottom"/>
          </w:tcPr>
          <w:p>
            <w:pPr>
              <w:spacing w:after="0"/>
              <w:rPr>
                <w:sz w:val="23"/>
                <w:szCs w:val="23"/>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(3,860)</w:t>
            </w:r>
          </w:p>
        </w:tc>
        <w:tc>
          <w:tcPr>
            <w:tcW w:w="36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(2,560)</w:t>
            </w: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62,875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140" w:type="dxa"/>
            <w:vAlign w:val="bottom"/>
          </w:tcPr>
          <w:p>
            <w:pPr>
              <w:spacing w:after="0"/>
              <w:rPr>
                <w:sz w:val="24"/>
                <w:szCs w:val="2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(13)</w:t>
            </w:r>
          </w:p>
        </w:tc>
        <w:tc>
          <w:tcPr>
            <w:tcW w:w="36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14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59,002</w:t>
            </w:r>
          </w:p>
        </w:tc>
        <w:tc>
          <w:tcPr>
            <w:tcW w:w="2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(2,560)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(4,777)</w:t>
            </w: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40" w:type="dxa"/>
            <w:vAlign w:val="bottom"/>
          </w:tcPr>
          <w:p>
            <w:pPr>
              <w:spacing w:after="0"/>
              <w:rPr>
                <w:sz w:val="23"/>
                <w:szCs w:val="23"/>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(58,705)</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unrealized appreciation (depreciation) on investments</w:t>
            </w:r>
          </w:p>
        </w:tc>
        <w:tc>
          <w:tcPr>
            <w:tcW w:w="14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82"/>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 investments and debt</w:t>
            </w: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(57,039)</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 and debt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1,963</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8,955</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8"/>
              </w:rPr>
              <w:t>Net increase (decrease) in net assets resulting from operations per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0.14</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0.11</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11" w:right="3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7" w:lineRule="exact"/>
        <w:rPr>
          <w:sz w:val="20"/>
          <w:szCs w:val="20"/>
          <w:color w:val="auto"/>
        </w:rPr>
      </w:pPr>
    </w:p>
    <w:p>
      <w:pPr>
        <w:ind w:left="1120" w:right="8120" w:hanging="5"/>
        <w:spacing w:after="0" w:line="296" w:lineRule="auto"/>
        <w:tabs>
          <w:tab w:leader="none" w:pos="16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2026-02-09T15:16:01Z</dcterms:created>
  <dcterms:modified xsi:type="dcterms:W3CDTF">2026-02-09T15:16:01Z</dcterms:modified>
</cp:coreProperties>
</file>