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April 15, 2011.</w:t>
      </w:r>
    </w:p>
    <w:p>
      <w:pPr>
        <w:jc w:val="center"/>
        <w:spacing w:after="0" w:line="223" w:lineRule="auto"/>
        <w:rPr>
          <w:sz w:val="20"/>
          <w:szCs w:val="20"/>
          <w:color w:val="auto"/>
        </w:rPr>
      </w:pPr>
      <w:r>
        <w:rPr>
          <w:rFonts w:ascii="Arial" w:cs="Arial" w:eastAsia="Arial" w:hAnsi="Arial"/>
          <w:sz w:val="14"/>
          <w:szCs w:val="14"/>
          <w:b w:val="1"/>
          <w:bCs w:val="1"/>
          <w:color w:val="auto"/>
        </w:rPr>
        <w:t>Securities Act Registration No. 333-172524</w:t>
      </w:r>
    </w:p>
    <w:p>
      <w:pPr>
        <w:jc w:val="center"/>
        <w:spacing w:after="0"/>
        <w:rPr>
          <w:sz w:val="20"/>
          <w:szCs w:val="20"/>
          <w:color w:val="auto"/>
        </w:rPr>
      </w:pPr>
      <w:r>
        <w:rPr>
          <w:rFonts w:ascii="Arial" w:cs="Arial" w:eastAsia="Arial" w:hAnsi="Arial"/>
          <w:sz w:val="14"/>
          <w:szCs w:val="14"/>
          <w:b w:val="1"/>
          <w:bCs w:val="1"/>
          <w:color w:val="auto"/>
        </w:rPr>
        <w:t>Investment Company Act of 1940 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6" w:lineRule="exact"/>
        <w:rPr>
          <w:sz w:val="24"/>
          <w:szCs w:val="24"/>
          <w:color w:val="auto"/>
        </w:rPr>
      </w:pPr>
    </w:p>
    <w:p>
      <w:pPr>
        <w:ind w:left="5180"/>
        <w:spacing w:after="0"/>
        <w:rPr>
          <w:sz w:val="20"/>
          <w:szCs w:val="20"/>
          <w:color w:val="auto"/>
        </w:rPr>
      </w:pPr>
      <w:r>
        <w:rPr>
          <w:rFonts w:ascii="Arial" w:cs="Arial" w:eastAsia="Arial" w:hAnsi="Arial"/>
          <w:sz w:val="22"/>
          <w:szCs w:val="22"/>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6" w:lineRule="exact"/>
        <w:rPr>
          <w:sz w:val="24"/>
          <w:szCs w:val="24"/>
          <w:color w:val="auto"/>
        </w:rPr>
      </w:pPr>
    </w:p>
    <w:p>
      <w:pPr>
        <w:ind w:left="3120"/>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 w:lineRule="exact"/>
        <w:rPr>
          <w:sz w:val="24"/>
          <w:szCs w:val="24"/>
          <w:color w:val="auto"/>
        </w:rPr>
      </w:pPr>
    </w:p>
    <w:p>
      <w:pPr>
        <w:jc w:val="center"/>
        <w:ind w:right="-19"/>
        <w:spacing w:after="0" w:line="253" w:lineRule="exact"/>
        <w:tabs>
          <w:tab w:leader="none" w:pos="180" w:val="left"/>
        </w:tabs>
        <w:rPr>
          <w:sz w:val="20"/>
          <w:szCs w:val="20"/>
          <w:color w:val="auto"/>
        </w:rPr>
      </w:pPr>
      <w:r>
        <w:rPr>
          <w:rFonts w:ascii="Arial" w:cs="Arial" w:eastAsia="Arial" w:hAnsi="Arial"/>
          <w:sz w:val="22"/>
          <w:szCs w:val="22"/>
          <w:b w:val="1"/>
          <w:bCs w:val="1"/>
          <w:color w:val="auto"/>
        </w:rPr>
        <w:t>Post-Effective Amendment</w:t>
      </w:r>
      <w:r>
        <w:rPr>
          <w:sz w:val="20"/>
          <w:szCs w:val="20"/>
          <w:color w:val="auto"/>
        </w:rPr>
        <w:tab/>
      </w:r>
      <w:r>
        <w:rPr>
          <w:rFonts w:ascii="MS PGothic" w:cs="MS PGothic" w:eastAsia="MS PGothic" w:hAnsi="MS PGothic"/>
          <w:sz w:val="19"/>
          <w:szCs w:val="19"/>
          <w:color w:val="auto"/>
        </w:rPr>
        <w:t>☐</w:t>
      </w:r>
    </w:p>
    <w:p>
      <w:pPr>
        <w:spacing w:after="0" w:line="4" w:lineRule="exact"/>
        <w:rPr>
          <w:sz w:val="24"/>
          <w:szCs w:val="24"/>
          <w:color w:val="auto"/>
        </w:rPr>
      </w:pPr>
    </w:p>
    <w:p>
      <w:pPr>
        <w:jc w:val="center"/>
        <w:spacing w:after="0" w:line="253" w:lineRule="exact"/>
        <w:tabs>
          <w:tab w:leader="none" w:pos="200" w:val="left"/>
        </w:tabs>
        <w:rPr>
          <w:sz w:val="20"/>
          <w:szCs w:val="20"/>
          <w:color w:val="auto"/>
        </w:rPr>
      </w:pPr>
      <w:r>
        <w:rPr>
          <w:rFonts w:ascii="Arial" w:cs="Arial" w:eastAsia="Arial" w:hAnsi="Arial"/>
          <w:sz w:val="22"/>
          <w:szCs w:val="22"/>
          <w:b w:val="1"/>
          <w:bCs w:val="1"/>
          <w:color w:val="auto"/>
        </w:rPr>
        <w:t>Pre-Effective Amendment No. 1</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95250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PennantPark Investment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590 Madison Avenue</w:t>
      </w:r>
    </w:p>
    <w:p>
      <w:pPr>
        <w:jc w:val="center"/>
        <w:spacing w:after="0" w:line="223" w:lineRule="auto"/>
        <w:rPr>
          <w:sz w:val="20"/>
          <w:szCs w:val="20"/>
          <w:color w:val="auto"/>
        </w:rPr>
      </w:pPr>
      <w:r>
        <w:rPr>
          <w:rFonts w:ascii="Arial" w:cs="Arial" w:eastAsia="Arial" w:hAnsi="Arial"/>
          <w:sz w:val="14"/>
          <w:szCs w:val="14"/>
          <w:b w:val="1"/>
          <w:bCs w:val="1"/>
          <w:color w:val="auto"/>
        </w:rPr>
        <w:t>15th Floor</w:t>
      </w:r>
    </w:p>
    <w:p>
      <w:pPr>
        <w:jc w:val="center"/>
        <w:spacing w:after="0" w:line="222" w:lineRule="auto"/>
        <w:rPr>
          <w:sz w:val="20"/>
          <w:szCs w:val="20"/>
          <w:color w:val="auto"/>
        </w:rPr>
      </w:pPr>
      <w:r>
        <w:rPr>
          <w:rFonts w:ascii="Arial" w:cs="Arial" w:eastAsia="Arial" w:hAnsi="Arial"/>
          <w:sz w:val="14"/>
          <w:szCs w:val="14"/>
          <w:b w:val="1"/>
          <w:bCs w:val="1"/>
          <w:color w:val="auto"/>
        </w:rPr>
        <w:t>New York, NY 10022</w:t>
      </w: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(212) 905-1000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Arthur H. Penn</w:t>
      </w:r>
    </w:p>
    <w:p>
      <w:pPr>
        <w:jc w:val="center"/>
        <w:spacing w:after="0" w:line="223" w:lineRule="auto"/>
        <w:rPr>
          <w:sz w:val="20"/>
          <w:szCs w:val="20"/>
          <w:color w:val="auto"/>
        </w:rPr>
      </w:pPr>
      <w:r>
        <w:rPr>
          <w:rFonts w:ascii="Arial" w:cs="Arial" w:eastAsia="Arial" w:hAnsi="Arial"/>
          <w:sz w:val="14"/>
          <w:szCs w:val="14"/>
          <w:b w:val="1"/>
          <w:bCs w:val="1"/>
          <w:color w:val="auto"/>
        </w:rPr>
        <w:t>c/o PennantPark Investment Corporation</w:t>
      </w:r>
    </w:p>
    <w:p>
      <w:pPr>
        <w:jc w:val="center"/>
        <w:spacing w:after="0" w:line="222" w:lineRule="auto"/>
        <w:rPr>
          <w:sz w:val="20"/>
          <w:szCs w:val="20"/>
          <w:color w:val="auto"/>
        </w:rPr>
      </w:pPr>
      <w:r>
        <w:rPr>
          <w:rFonts w:ascii="Arial" w:cs="Arial" w:eastAsia="Arial" w:hAnsi="Arial"/>
          <w:sz w:val="14"/>
          <w:szCs w:val="14"/>
          <w:b w:val="1"/>
          <w:bCs w:val="1"/>
          <w:color w:val="auto"/>
        </w:rPr>
        <w:t>590 Madison Avenue</w:t>
      </w:r>
    </w:p>
    <w:p>
      <w:pPr>
        <w:jc w:val="center"/>
        <w:spacing w:after="0" w:line="221" w:lineRule="auto"/>
        <w:rPr>
          <w:sz w:val="20"/>
          <w:szCs w:val="20"/>
          <w:color w:val="auto"/>
        </w:rPr>
      </w:pPr>
      <w:r>
        <w:rPr>
          <w:rFonts w:ascii="Arial" w:cs="Arial" w:eastAsia="Arial" w:hAnsi="Arial"/>
          <w:sz w:val="14"/>
          <w:szCs w:val="14"/>
          <w:b w:val="1"/>
          <w:bCs w:val="1"/>
          <w:color w:val="auto"/>
        </w:rPr>
        <w:t>15th Floor</w:t>
      </w:r>
    </w:p>
    <w:p>
      <w:pPr>
        <w:jc w:val="center"/>
        <w:spacing w:after="0" w:line="222" w:lineRule="auto"/>
        <w:rPr>
          <w:sz w:val="20"/>
          <w:szCs w:val="20"/>
          <w:color w:val="auto"/>
        </w:rPr>
      </w:pPr>
      <w:r>
        <w:rPr>
          <w:rFonts w:ascii="Arial" w:cs="Arial" w:eastAsia="Arial" w:hAnsi="Arial"/>
          <w:sz w:val="14"/>
          <w:szCs w:val="14"/>
          <w:b w:val="1"/>
          <w:bCs w:val="1"/>
          <w:color w:val="auto"/>
        </w:rPr>
        <w:t>New York, NY 10022</w:t>
      </w: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85725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to:</w:t>
      </w:r>
    </w:p>
    <w:p>
      <w:pPr>
        <w:jc w:val="center"/>
        <w:spacing w:after="0" w:line="221" w:lineRule="auto"/>
        <w:rPr>
          <w:sz w:val="20"/>
          <w:szCs w:val="20"/>
          <w:color w:val="auto"/>
        </w:rPr>
      </w:pPr>
      <w:r>
        <w:rPr>
          <w:rFonts w:ascii="Arial" w:cs="Arial" w:eastAsia="Arial" w:hAnsi="Arial"/>
          <w:sz w:val="14"/>
          <w:szCs w:val="14"/>
          <w:b w:val="1"/>
          <w:bCs w:val="1"/>
          <w:color w:val="auto"/>
        </w:rPr>
        <w:t>Thomas Friedmann</w:t>
      </w:r>
    </w:p>
    <w:p>
      <w:pPr>
        <w:jc w:val="center"/>
        <w:spacing w:after="0" w:line="221" w:lineRule="auto"/>
        <w:rPr>
          <w:sz w:val="20"/>
          <w:szCs w:val="20"/>
          <w:color w:val="auto"/>
        </w:rPr>
      </w:pPr>
      <w:r>
        <w:rPr>
          <w:rFonts w:ascii="Arial" w:cs="Arial" w:eastAsia="Arial" w:hAnsi="Arial"/>
          <w:sz w:val="14"/>
          <w:szCs w:val="14"/>
          <w:b w:val="1"/>
          <w:bCs w:val="1"/>
          <w:color w:val="auto"/>
        </w:rPr>
        <w:t>David Harris</w:t>
      </w:r>
    </w:p>
    <w:p>
      <w:pPr>
        <w:jc w:val="center"/>
        <w:spacing w:after="0" w:line="222" w:lineRule="auto"/>
        <w:rPr>
          <w:sz w:val="20"/>
          <w:szCs w:val="20"/>
          <w:color w:val="auto"/>
        </w:rPr>
      </w:pPr>
      <w:r>
        <w:rPr>
          <w:rFonts w:ascii="Arial" w:cs="Arial" w:eastAsia="Arial" w:hAnsi="Arial"/>
          <w:sz w:val="14"/>
          <w:szCs w:val="14"/>
          <w:b w:val="1"/>
          <w:bCs w:val="1"/>
          <w:color w:val="auto"/>
        </w:rPr>
        <w:t>Dechert, LLP</w:t>
      </w:r>
    </w:p>
    <w:p>
      <w:pPr>
        <w:jc w:val="center"/>
        <w:spacing w:after="0" w:line="221" w:lineRule="auto"/>
        <w:rPr>
          <w:sz w:val="20"/>
          <w:szCs w:val="20"/>
          <w:color w:val="auto"/>
        </w:rPr>
      </w:pPr>
      <w:r>
        <w:rPr>
          <w:rFonts w:ascii="Arial" w:cs="Arial" w:eastAsia="Arial" w:hAnsi="Arial"/>
          <w:sz w:val="14"/>
          <w:szCs w:val="14"/>
          <w:b w:val="1"/>
          <w:bCs w:val="1"/>
          <w:color w:val="auto"/>
        </w:rPr>
        <w:t>1775 I Street, N.W.</w:t>
      </w:r>
    </w:p>
    <w:p>
      <w:pPr>
        <w:jc w:val="center"/>
        <w:spacing w:after="0" w:line="222" w:lineRule="auto"/>
        <w:rPr>
          <w:sz w:val="20"/>
          <w:szCs w:val="20"/>
          <w:color w:val="auto"/>
        </w:rPr>
      </w:pPr>
      <w:r>
        <w:rPr>
          <w:rFonts w:ascii="Arial" w:cs="Arial" w:eastAsia="Arial" w:hAnsi="Arial"/>
          <w:sz w:val="14"/>
          <w:szCs w:val="14"/>
          <w:b w:val="1"/>
          <w:bCs w:val="1"/>
          <w:color w:val="auto"/>
        </w:rPr>
        <w:t>Washington, DC 20006-2401</w:t>
      </w:r>
    </w:p>
    <w:p>
      <w:pPr>
        <w:jc w:val="center"/>
        <w:spacing w:after="0" w:line="221" w:lineRule="auto"/>
        <w:rPr>
          <w:sz w:val="20"/>
          <w:szCs w:val="20"/>
          <w:color w:val="auto"/>
        </w:rPr>
      </w:pPr>
      <w:r>
        <w:rPr>
          <w:rFonts w:ascii="Arial" w:cs="Arial" w:eastAsia="Arial" w:hAnsi="Arial"/>
          <w:sz w:val="14"/>
          <w:szCs w:val="14"/>
          <w:b w:val="1"/>
          <w:bCs w:val="1"/>
          <w:color w:val="auto"/>
        </w:rPr>
        <w:t>APPROXIMATE DATE OF PROPOSED PUBLIC OFFERING:</w:t>
      </w:r>
    </w:p>
    <w:p>
      <w:pPr>
        <w:jc w:val="center"/>
        <w:spacing w:after="0"/>
        <w:rPr>
          <w:sz w:val="20"/>
          <w:szCs w:val="20"/>
          <w:color w:val="auto"/>
        </w:rPr>
      </w:pPr>
      <w:r>
        <w:rPr>
          <w:rFonts w:ascii="Arial" w:cs="Arial" w:eastAsia="Arial" w:hAnsi="Arial"/>
          <w:sz w:val="14"/>
          <w:szCs w:val="14"/>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85725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ind w:right="200" w:firstLine="342"/>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7"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2" w:lineRule="exact"/>
        <w:rPr>
          <w:sz w:val="24"/>
          <w:szCs w:val="24"/>
          <w:color w:val="auto"/>
        </w:rPr>
      </w:pPr>
    </w:p>
    <w:p>
      <w:pPr>
        <w:ind w:left="500" w:hanging="150"/>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pacing w:after="0" w:line="41" w:lineRule="exact"/>
        <w:rPr>
          <w:rFonts w:ascii="MS PGothic" w:cs="MS PGothic" w:eastAsia="MS PGothic" w:hAnsi="MS PGothic"/>
          <w:sz w:val="14"/>
          <w:szCs w:val="14"/>
          <w:color w:val="auto"/>
        </w:rPr>
      </w:pPr>
    </w:p>
    <w:p>
      <w:pPr>
        <w:ind w:left="360"/>
        <w:spacing w:after="0"/>
        <w:rPr>
          <w:rFonts w:ascii="MS PGothic" w:cs="MS PGothic" w:eastAsia="MS PGothic" w:hAnsi="MS PGothic"/>
          <w:sz w:val="14"/>
          <w:szCs w:val="14"/>
          <w:color w:val="auto"/>
        </w:rPr>
      </w:pPr>
      <w:r>
        <w:rPr>
          <w:rFonts w:ascii="Arial" w:cs="Arial" w:eastAsia="Arial" w:hAnsi="Arial"/>
          <w:sz w:val="14"/>
          <w:szCs w:val="14"/>
          <w:color w:val="auto"/>
        </w:rPr>
        <w:t>If appropriate, check the following box:</w:t>
      </w:r>
    </w:p>
    <w:p>
      <w:pPr>
        <w:spacing w:after="0" w:line="16" w:lineRule="exact"/>
        <w:rPr>
          <w:rFonts w:ascii="MS PGothic" w:cs="MS PGothic" w:eastAsia="MS PGothic" w:hAnsi="MS PGothic"/>
          <w:sz w:val="14"/>
          <w:szCs w:val="14"/>
          <w:color w:val="auto"/>
        </w:rPr>
      </w:pPr>
    </w:p>
    <w:p>
      <w:pPr>
        <w:ind w:left="36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This amendment designates a new effective date for a previously filed registration statement.</w:t>
      </w:r>
    </w:p>
    <w:p>
      <w:pPr>
        <w:spacing w:after="0" w:line="67" w:lineRule="exact"/>
        <w:rPr>
          <w:sz w:val="24"/>
          <w:szCs w:val="24"/>
          <w:color w:val="auto"/>
        </w:rPr>
      </w:pPr>
    </w:p>
    <w:p>
      <w:pPr>
        <w:ind w:right="60" w:firstLine="350"/>
        <w:spacing w:after="0" w:line="239" w:lineRule="auto"/>
        <w:tabs>
          <w:tab w:leader="none" w:pos="495"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20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2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tcPr>
          <w:p>
            <w:pPr>
              <w:jc w:val="center"/>
              <w:ind w:left="394"/>
              <w:spacing w:after="0" w:line="117" w:lineRule="exact"/>
              <w:rPr>
                <w:sz w:val="20"/>
                <w:szCs w:val="20"/>
                <w:color w:val="auto"/>
              </w:rPr>
            </w:pPr>
            <w:r>
              <w:rPr>
                <w:rFonts w:ascii="Arial" w:cs="Arial" w:eastAsia="Arial" w:hAnsi="Arial"/>
                <w:sz w:val="12"/>
                <w:szCs w:val="12"/>
                <w:b w:val="1"/>
                <w:bCs w:val="1"/>
                <w:color w:val="auto"/>
              </w:rPr>
              <w:t>Proposed Maximum</w:t>
            </w:r>
          </w:p>
        </w:tc>
        <w:tc>
          <w:tcPr>
            <w:tcW w:w="2000" w:type="dxa"/>
            <w:vAlign w:val="bottom"/>
            <w:tcBorders>
              <w:right w:val="single" w:sz="8" w:color="auto"/>
            </w:tcBorders>
            <w:gridSpan w:val="2"/>
          </w:tcPr>
          <w:p>
            <w:pPr>
              <w:jc w:val="center"/>
              <w:ind w:left="274"/>
              <w:spacing w:after="0" w:line="117" w:lineRule="exact"/>
              <w:rPr>
                <w:sz w:val="20"/>
                <w:szCs w:val="20"/>
                <w:color w:val="auto"/>
              </w:rPr>
            </w:pPr>
            <w:r>
              <w:rPr>
                <w:rFonts w:ascii="Arial" w:cs="Arial" w:eastAsia="Arial" w:hAnsi="Arial"/>
                <w:sz w:val="12"/>
                <w:szCs w:val="12"/>
                <w:b w:val="1"/>
                <w:bCs w:val="1"/>
                <w:color w:val="auto"/>
              </w:rPr>
              <w:t>Proposed Maximum</w:t>
            </w: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420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ind w:left="560"/>
              <w:spacing w:after="0" w:line="135" w:lineRule="exact"/>
              <w:rPr>
                <w:sz w:val="20"/>
                <w:szCs w:val="20"/>
                <w:color w:val="auto"/>
              </w:rPr>
            </w:pPr>
            <w:r>
              <w:rPr>
                <w:rFonts w:ascii="Arial" w:cs="Arial" w:eastAsia="Arial" w:hAnsi="Arial"/>
                <w:sz w:val="14"/>
                <w:szCs w:val="14"/>
                <w:b w:val="1"/>
                <w:bCs w:val="1"/>
                <w:color w:val="auto"/>
                <w:w w:val="91"/>
              </w:rPr>
              <w:t>Amount Being</w:t>
            </w:r>
          </w:p>
        </w:tc>
        <w:tc>
          <w:tcPr>
            <w:tcW w:w="1880" w:type="dxa"/>
            <w:vAlign w:val="bottom"/>
            <w:tcBorders>
              <w:right w:val="single" w:sz="8" w:color="auto"/>
            </w:tcBorders>
          </w:tcPr>
          <w:p>
            <w:pPr>
              <w:jc w:val="center"/>
              <w:ind w:left="394"/>
              <w:spacing w:after="0" w:line="135" w:lineRule="exact"/>
              <w:rPr>
                <w:sz w:val="20"/>
                <w:szCs w:val="20"/>
                <w:color w:val="auto"/>
              </w:rPr>
            </w:pPr>
            <w:r>
              <w:rPr>
                <w:rFonts w:ascii="Arial" w:cs="Arial" w:eastAsia="Arial" w:hAnsi="Arial"/>
                <w:sz w:val="14"/>
                <w:szCs w:val="14"/>
                <w:b w:val="1"/>
                <w:bCs w:val="1"/>
                <w:color w:val="auto"/>
                <w:w w:val="88"/>
              </w:rPr>
              <w:t>Offering Price</w:t>
            </w:r>
          </w:p>
        </w:tc>
        <w:tc>
          <w:tcPr>
            <w:tcW w:w="640" w:type="dxa"/>
            <w:vAlign w:val="bottom"/>
          </w:tcPr>
          <w:p>
            <w:pPr>
              <w:spacing w:after="0"/>
              <w:rPr>
                <w:sz w:val="11"/>
                <w:szCs w:val="11"/>
                <w:color w:val="auto"/>
              </w:rPr>
            </w:pPr>
          </w:p>
        </w:tc>
        <w:tc>
          <w:tcPr>
            <w:tcW w:w="1360" w:type="dxa"/>
            <w:vAlign w:val="bottom"/>
            <w:tcBorders>
              <w:right w:val="single" w:sz="8" w:color="auto"/>
            </w:tcBorders>
          </w:tcPr>
          <w:p>
            <w:pPr>
              <w:jc w:val="center"/>
              <w:ind w:right="238"/>
              <w:spacing w:after="0" w:line="135" w:lineRule="exact"/>
              <w:rPr>
                <w:sz w:val="20"/>
                <w:szCs w:val="20"/>
                <w:color w:val="auto"/>
              </w:rPr>
            </w:pPr>
            <w:r>
              <w:rPr>
                <w:rFonts w:ascii="Arial" w:cs="Arial" w:eastAsia="Arial" w:hAnsi="Arial"/>
                <w:sz w:val="14"/>
                <w:szCs w:val="14"/>
                <w:b w:val="1"/>
                <w:bCs w:val="1"/>
                <w:color w:val="auto"/>
                <w:w w:val="83"/>
              </w:rPr>
              <w:t>Aggregate</w:t>
            </w:r>
          </w:p>
        </w:tc>
        <w:tc>
          <w:tcPr>
            <w:tcW w:w="740" w:type="dxa"/>
            <w:vAlign w:val="bottom"/>
          </w:tcPr>
          <w:p>
            <w:pPr>
              <w:spacing w:after="0"/>
              <w:rPr>
                <w:sz w:val="11"/>
                <w:szCs w:val="11"/>
                <w:color w:val="auto"/>
              </w:rPr>
            </w:pPr>
          </w:p>
        </w:tc>
        <w:tc>
          <w:tcPr>
            <w:tcW w:w="11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Amount of</w:t>
            </w:r>
          </w:p>
        </w:tc>
      </w:tr>
      <w:tr>
        <w:trPr>
          <w:trHeight w:val="189"/>
        </w:trPr>
        <w:tc>
          <w:tcPr>
            <w:tcW w:w="20" w:type="dxa"/>
            <w:vAlign w:val="bottom"/>
          </w:tcPr>
          <w:p>
            <w:pPr>
              <w:spacing w:after="0"/>
              <w:rPr>
                <w:sz w:val="16"/>
                <w:szCs w:val="16"/>
                <w:color w:val="auto"/>
              </w:rPr>
            </w:pPr>
          </w:p>
        </w:tc>
        <w:tc>
          <w:tcPr>
            <w:tcW w:w="420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4"/>
                <w:szCs w:val="14"/>
                <w:b w:val="1"/>
                <w:bCs w:val="1"/>
                <w:color w:val="auto"/>
              </w:rPr>
              <w:t>Title of Securities Being Registered</w:t>
            </w:r>
          </w:p>
        </w:tc>
        <w:tc>
          <w:tcPr>
            <w:tcW w:w="148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4"/>
                <w:szCs w:val="14"/>
                <w:b w:val="1"/>
                <w:bCs w:val="1"/>
                <w:color w:val="auto"/>
              </w:rPr>
              <w:t>Registered</w:t>
            </w:r>
          </w:p>
        </w:tc>
        <w:tc>
          <w:tcPr>
            <w:tcW w:w="1880" w:type="dxa"/>
            <w:vAlign w:val="bottom"/>
            <w:tcBorders>
              <w:bottom w:val="single" w:sz="8" w:color="auto"/>
              <w:right w:val="single" w:sz="8" w:color="auto"/>
            </w:tcBorders>
          </w:tcPr>
          <w:p>
            <w:pPr>
              <w:jc w:val="center"/>
              <w:ind w:left="394"/>
              <w:spacing w:after="0"/>
              <w:rPr>
                <w:sz w:val="20"/>
                <w:szCs w:val="20"/>
                <w:color w:val="auto"/>
              </w:rPr>
            </w:pPr>
            <w:r>
              <w:rPr>
                <w:rFonts w:ascii="Arial" w:cs="Arial" w:eastAsia="Arial" w:hAnsi="Arial"/>
                <w:sz w:val="14"/>
                <w:szCs w:val="14"/>
                <w:b w:val="1"/>
                <w:bCs w:val="1"/>
                <w:color w:val="auto"/>
                <w:w w:val="93"/>
              </w:rPr>
              <w:t>Per Unit</w:t>
            </w:r>
          </w:p>
        </w:tc>
        <w:tc>
          <w:tcPr>
            <w:tcW w:w="64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ind w:right="258"/>
              <w:spacing w:after="0" w:line="189"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1"/>
                <w:szCs w:val="21"/>
                <w:b w:val="1"/>
                <w:bCs w:val="1"/>
                <w:color w:val="auto"/>
                <w:w w:val="93"/>
                <w:vertAlign w:val="superscript"/>
              </w:rPr>
              <w:t>(1)</w:t>
            </w:r>
          </w:p>
        </w:tc>
        <w:tc>
          <w:tcPr>
            <w:tcW w:w="1840" w:type="dxa"/>
            <w:vAlign w:val="bottom"/>
            <w:tcBorders>
              <w:bottom w:val="single" w:sz="8" w:color="auto"/>
            </w:tcBorders>
            <w:gridSpan w:val="3"/>
          </w:tcPr>
          <w:p>
            <w:pPr>
              <w:ind w:left="560"/>
              <w:spacing w:after="0" w:line="189" w:lineRule="exact"/>
              <w:rPr>
                <w:sz w:val="20"/>
                <w:szCs w:val="20"/>
                <w:color w:val="auto"/>
              </w:rPr>
            </w:pPr>
            <w:r>
              <w:rPr>
                <w:rFonts w:ascii="Arial" w:cs="Arial" w:eastAsia="Arial" w:hAnsi="Arial"/>
                <w:sz w:val="13"/>
                <w:szCs w:val="13"/>
                <w:b w:val="1"/>
                <w:bCs w:val="1"/>
                <w:color w:val="auto"/>
                <w:w w:val="92"/>
              </w:rPr>
              <w:t>Registration Fee</w:t>
            </w:r>
            <w:r>
              <w:rPr>
                <w:rFonts w:ascii="Arial" w:cs="Arial" w:eastAsia="Arial" w:hAnsi="Arial"/>
                <w:sz w:val="21"/>
                <w:szCs w:val="21"/>
                <w:b w:val="1"/>
                <w:bCs w:val="1"/>
                <w:color w:val="auto"/>
                <w:w w:val="92"/>
                <w:vertAlign w:val="superscript"/>
              </w:rPr>
              <w:t>(1)(7)</w:t>
            </w:r>
          </w:p>
        </w:tc>
      </w:tr>
      <w:tr>
        <w:trPr>
          <w:trHeight w:val="142"/>
        </w:trPr>
        <w:tc>
          <w:tcPr>
            <w:tcW w:w="20" w:type="dxa"/>
            <w:vAlign w:val="bottom"/>
            <w:tcBorders>
              <w:bottom w:val="single" w:sz="8" w:color="auto"/>
            </w:tcBorders>
          </w:tcPr>
          <w:p>
            <w:pPr>
              <w:spacing w:after="0"/>
              <w:rPr>
                <w:sz w:val="12"/>
                <w:szCs w:val="12"/>
                <w:color w:val="auto"/>
              </w:rPr>
            </w:pPr>
          </w:p>
        </w:tc>
        <w:tc>
          <w:tcPr>
            <w:tcW w:w="42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1"/>
                <w:szCs w:val="11"/>
                <w:color w:val="auto"/>
              </w:rPr>
              <w:t>Common Stock, $0.001 par value</w:t>
            </w:r>
            <w:r>
              <w:rPr>
                <w:rFonts w:ascii="Arial" w:cs="Arial" w:eastAsia="Arial" w:hAnsi="Arial"/>
                <w:sz w:val="16"/>
                <w:szCs w:val="16"/>
                <w:color w:val="auto"/>
                <w:vertAlign w:val="superscript"/>
              </w:rPr>
              <w:t>(2)</w:t>
            </w:r>
          </w:p>
        </w:tc>
        <w:tc>
          <w:tcPr>
            <w:tcW w:w="1480" w:type="dxa"/>
            <w:vAlign w:val="bottom"/>
            <w:tcBorders>
              <w:bottom w:val="single" w:sz="8" w:color="auto"/>
              <w:right w:val="single" w:sz="8" w:color="auto"/>
            </w:tcBorders>
          </w:tcPr>
          <w:p>
            <w:pPr>
              <w:ind w:left="560"/>
              <w:spacing w:after="0" w:line="142" w:lineRule="exact"/>
              <w:rPr>
                <w:sz w:val="20"/>
                <w:szCs w:val="20"/>
                <w:color w:val="auto"/>
              </w:rPr>
            </w:pPr>
            <w:r>
              <w:rPr>
                <w:rFonts w:ascii="Arial" w:cs="Arial" w:eastAsia="Arial" w:hAnsi="Arial"/>
                <w:sz w:val="14"/>
                <w:szCs w:val="14"/>
                <w:color w:val="auto"/>
              </w:rPr>
              <w:t>$</w:t>
            </w:r>
          </w:p>
        </w:tc>
        <w:tc>
          <w:tcPr>
            <w:tcW w:w="1880" w:type="dxa"/>
            <w:vAlign w:val="bottom"/>
            <w:tcBorders>
              <w:bottom w:val="single" w:sz="8" w:color="auto"/>
              <w:right w:val="single" w:sz="8" w:color="auto"/>
            </w:tcBorders>
          </w:tcPr>
          <w:p>
            <w:pPr>
              <w:jc w:val="right"/>
              <w:ind w:right="1194"/>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ind w:left="560"/>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r>
      <w:tr>
        <w:trPr>
          <w:trHeight w:val="142"/>
        </w:trPr>
        <w:tc>
          <w:tcPr>
            <w:tcW w:w="422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Preferred Stock, $0.001 par value</w:t>
            </w:r>
            <w:r>
              <w:rPr>
                <w:rFonts w:ascii="Arial" w:cs="Arial" w:eastAsia="Arial" w:hAnsi="Arial"/>
                <w:sz w:val="16"/>
                <w:szCs w:val="16"/>
                <w:color w:val="auto"/>
                <w:vertAlign w:val="superscript"/>
              </w:rPr>
              <w:t>(2)</w:t>
            </w:r>
          </w:p>
        </w:tc>
        <w:tc>
          <w:tcPr>
            <w:tcW w:w="148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r>
      <w:tr>
        <w:trPr>
          <w:trHeight w:val="142"/>
        </w:trPr>
        <w:tc>
          <w:tcPr>
            <w:tcW w:w="422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Warrants</w:t>
            </w:r>
            <w:r>
              <w:rPr>
                <w:rFonts w:ascii="Arial" w:cs="Arial" w:eastAsia="Arial" w:hAnsi="Arial"/>
                <w:sz w:val="16"/>
                <w:szCs w:val="16"/>
                <w:color w:val="auto"/>
                <w:vertAlign w:val="superscript"/>
              </w:rPr>
              <w:t>(2)</w:t>
            </w:r>
          </w:p>
        </w:tc>
        <w:tc>
          <w:tcPr>
            <w:tcW w:w="148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r>
      <w:tr>
        <w:trPr>
          <w:trHeight w:val="142"/>
        </w:trPr>
        <w:tc>
          <w:tcPr>
            <w:tcW w:w="422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Subscription Rights</w:t>
            </w:r>
            <w:r>
              <w:rPr>
                <w:rFonts w:ascii="Arial" w:cs="Arial" w:eastAsia="Arial" w:hAnsi="Arial"/>
                <w:sz w:val="16"/>
                <w:szCs w:val="16"/>
                <w:color w:val="auto"/>
                <w:vertAlign w:val="superscript"/>
              </w:rPr>
              <w:t>(3)</w:t>
            </w:r>
          </w:p>
        </w:tc>
        <w:tc>
          <w:tcPr>
            <w:tcW w:w="148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r>
      <w:tr>
        <w:trPr>
          <w:trHeight w:val="142"/>
        </w:trPr>
        <w:tc>
          <w:tcPr>
            <w:tcW w:w="422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Debt Securities</w:t>
            </w:r>
            <w:r>
              <w:rPr>
                <w:rFonts w:ascii="Arial" w:cs="Arial" w:eastAsia="Arial" w:hAnsi="Arial"/>
                <w:sz w:val="16"/>
                <w:szCs w:val="16"/>
                <w:color w:val="auto"/>
                <w:vertAlign w:val="superscript"/>
              </w:rPr>
              <w:t>(4)</w:t>
            </w:r>
          </w:p>
        </w:tc>
        <w:tc>
          <w:tcPr>
            <w:tcW w:w="148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r>
      <w:tr>
        <w:trPr>
          <w:trHeight w:val="142"/>
        </w:trPr>
        <w:tc>
          <w:tcPr>
            <w:tcW w:w="422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Units</w:t>
            </w:r>
            <w:r>
              <w:rPr>
                <w:rFonts w:ascii="Arial" w:cs="Arial" w:eastAsia="Arial" w:hAnsi="Arial"/>
                <w:sz w:val="16"/>
                <w:szCs w:val="16"/>
                <w:color w:val="auto"/>
                <w:vertAlign w:val="superscript"/>
              </w:rPr>
              <w:t>(5)</w:t>
            </w:r>
          </w:p>
        </w:tc>
        <w:tc>
          <w:tcPr>
            <w:tcW w:w="148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r>
      <w:tr>
        <w:trPr>
          <w:trHeight w:val="142"/>
        </w:trPr>
        <w:tc>
          <w:tcPr>
            <w:tcW w:w="4220" w:type="dxa"/>
            <w:vAlign w:val="bottom"/>
            <w:tcBorders>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Total</w:t>
            </w:r>
          </w:p>
        </w:tc>
        <w:tc>
          <w:tcPr>
            <w:tcW w:w="1480" w:type="dxa"/>
            <w:vAlign w:val="bottom"/>
            <w:tcBorders>
              <w:right w:val="single" w:sz="8" w:color="auto"/>
            </w:tcBorders>
          </w:tcPr>
          <w:p>
            <w:pPr>
              <w:ind w:left="560"/>
              <w:spacing w:after="0" w:line="142" w:lineRule="exact"/>
              <w:rPr>
                <w:sz w:val="20"/>
                <w:szCs w:val="20"/>
                <w:color w:val="auto"/>
              </w:rPr>
            </w:pPr>
            <w:r>
              <w:rPr>
                <w:rFonts w:ascii="Arial" w:cs="Arial" w:eastAsia="Arial" w:hAnsi="Arial"/>
                <w:sz w:val="14"/>
                <w:szCs w:val="14"/>
                <w:color w:val="auto"/>
              </w:rPr>
              <w:t>$</w:t>
            </w:r>
          </w:p>
        </w:tc>
        <w:tc>
          <w:tcPr>
            <w:tcW w:w="1880" w:type="dxa"/>
            <w:vAlign w:val="bottom"/>
            <w:tcBorders>
              <w:right w:val="single" w:sz="8" w:color="auto"/>
            </w:tcBorders>
          </w:tcPr>
          <w:p>
            <w:pPr>
              <w:jc w:val="right"/>
              <w:ind w:right="1194"/>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360" w:type="dxa"/>
            <w:vAlign w:val="bottom"/>
            <w:tcBorders>
              <w:right w:val="single" w:sz="8" w:color="auto"/>
            </w:tcBorders>
          </w:tcPr>
          <w:p>
            <w:pPr>
              <w:jc w:val="right"/>
              <w:ind w:right="18"/>
              <w:spacing w:after="0" w:line="142" w:lineRule="exact"/>
              <w:rPr>
                <w:sz w:val="20"/>
                <w:szCs w:val="20"/>
                <w:color w:val="auto"/>
              </w:rPr>
            </w:pPr>
            <w:r>
              <w:rPr>
                <w:rFonts w:ascii="Arial" w:cs="Arial" w:eastAsia="Arial" w:hAnsi="Arial"/>
                <w:sz w:val="11"/>
                <w:szCs w:val="11"/>
                <w:color w:val="auto"/>
              </w:rPr>
              <w:t>1,000,000,000</w:t>
            </w:r>
            <w:r>
              <w:rPr>
                <w:rFonts w:ascii="Arial" w:cs="Arial" w:eastAsia="Arial" w:hAnsi="Arial"/>
                <w:sz w:val="16"/>
                <w:szCs w:val="16"/>
                <w:color w:val="auto"/>
                <w:vertAlign w:val="superscript"/>
              </w:rPr>
              <w:t>(6)</w:t>
            </w:r>
          </w:p>
        </w:tc>
        <w:tc>
          <w:tcPr>
            <w:tcW w:w="740" w:type="dxa"/>
            <w:vAlign w:val="bottom"/>
          </w:tcPr>
          <w:p>
            <w:pPr>
              <w:ind w:left="560"/>
              <w:spacing w:after="0" w:line="142"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116,100</w:t>
            </w:r>
          </w:p>
        </w:tc>
        <w:tc>
          <w:tcPr>
            <w:tcW w:w="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0" w:lineRule="exact"/>
        <w:rPr>
          <w:sz w:val="24"/>
          <w:szCs w:val="24"/>
          <w:color w:val="auto"/>
        </w:rPr>
      </w:pPr>
    </w:p>
    <w:p>
      <w:pPr>
        <w:ind w:left="340" w:right="220" w:hanging="332"/>
        <w:spacing w:after="0" w:line="230"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number of shares of common stock, preferred stock, or warrants as may be sold, from time to time. Warrants represent rights to purchase common stock, preferred stock or debt securities.</w:t>
      </w: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number of subscription rights as may be sold, from time to time, representing rights to purchase common stock.</w:t>
      </w:r>
    </w:p>
    <w:p>
      <w:pPr>
        <w:spacing w:after="0" w:line="10" w:lineRule="exact"/>
        <w:rPr>
          <w:rFonts w:ascii="Arial" w:cs="Arial" w:eastAsia="Arial" w:hAnsi="Arial"/>
          <w:sz w:val="12"/>
          <w:szCs w:val="12"/>
          <w:color w:val="auto"/>
        </w:rPr>
      </w:pPr>
    </w:p>
    <w:p>
      <w:pPr>
        <w:ind w:left="340" w:right="320" w:hanging="332"/>
        <w:spacing w:after="0" w:line="25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$1,000,000,000.</w:t>
      </w:r>
    </w:p>
    <w:p>
      <w:pPr>
        <w:ind w:left="340" w:right="46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principal amount of units. Each unit may consist of a combination of any one or more of the securities being registered hereunder or debt obligations of third parties, including U.S. Treasuries.</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$1,000,000,000.</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55" w:lineRule="exact"/>
        <w:rPr>
          <w:sz w:val="24"/>
          <w:szCs w:val="24"/>
          <w:color w:val="auto"/>
        </w:rPr>
      </w:pPr>
    </w:p>
    <w:p>
      <w:pPr>
        <w:ind w:right="38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127000</wp:posOffset>
            </wp:positionV>
            <wp:extent cx="1414780" cy="33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78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Securities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or BDC, under the Investment Company Act of 1940 (the “1940 Act”).</w:t>
      </w:r>
    </w:p>
    <w:p>
      <w:pPr>
        <w:spacing w:after="0" w:line="132"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senior secured loans, mezzanine debt, and equity investments. We can offer no assurances that we will achieve our investment objectives.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$1,000,000,000 of our common stock, preferred stock, warrants representing rights to purchase shares of our common stock, preferred stock or debt securities, subscription rights, debt securities, or units,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(the “SEC”), may permit. See “Risk Factors” on page 8 and “Sales of Common Stock Below Net Asset Value” on page 53 of this prospectus for more information.</w:t>
      </w:r>
    </w:p>
    <w:p>
      <w:pPr>
        <w:spacing w:after="0" w:line="12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common stock has been approved for quotation on the NASDAQ Global Select Market under the symbol “PNNT.” The last reported closing price for our common stock on February 23, 2011 was $12.39 per share, and our net asset value on December 31, 2010 was $11.14 per share.</w:t>
      </w:r>
    </w:p>
    <w:p>
      <w:pPr>
        <w:spacing w:after="0" w:line="8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Securities and Exchange Commission. This information is available free of charge by contacting us in writing at 590 Madison Avenue, New York, NY 10022 by calling us collect at (212) 905-1000 or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0"/>
          <w:szCs w:val="20"/>
          <w:color w:val="auto"/>
        </w:rPr>
      </w:pPr>
    </w:p>
    <w:p>
      <w:pPr>
        <w:ind w:right="280"/>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12">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dated</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00" w:type="dxa"/>
            <w:vAlign w:val="bottom"/>
            <w:gridSpan w:val="35"/>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1000" w:type="dxa"/>
            <w:vAlign w:val="bottom"/>
            <w:gridSpan w:val="35"/>
            <w:vMerge w:val="continue"/>
          </w:tcPr>
          <w:p>
            <w:pPr>
              <w:spacing w:after="0"/>
              <w:rPr>
                <w:sz w:val="14"/>
                <w:szCs w:val="14"/>
                <w:color w:val="auto"/>
              </w:rPr>
            </w:pPr>
          </w:p>
        </w:tc>
        <w:tc>
          <w:tcPr>
            <w:tcW w:w="32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17"/>
                <w:szCs w:val="17"/>
                <w:color w:val="auto"/>
              </w:rPr>
            </w:pPr>
          </w:p>
        </w:tc>
        <w:tc>
          <w:tcPr>
            <w:tcW w:w="896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USE OF PROCEEDS</w:t>
              </w:r>
            </w:hyperlink>
          </w:p>
        </w:tc>
        <w:tc>
          <w:tcPr>
            <w:tcW w:w="814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SELECTED FINANCIAL DATA</w:t>
              </w:r>
            </w:hyperlink>
          </w:p>
        </w:tc>
        <w:tc>
          <w:tcPr>
            <w:tcW w:w="862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SENIOR SECURITIES</w:t>
              </w:r>
            </w:hyperlink>
          </w:p>
        </w:tc>
        <w:tc>
          <w:tcPr>
            <w:tcW w:w="23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PRICE RANGE OF COMMON STOCK</w:t>
              </w:r>
            </w:hyperlink>
          </w:p>
        </w:tc>
        <w:tc>
          <w:tcPr>
            <w:tcW w:w="810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30"/>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SALES OF COMMON STOCK BELOW NET ASSET VALUE</w:t>
              </w:r>
            </w:hyperlink>
          </w:p>
        </w:tc>
        <w:tc>
          <w:tcPr>
            <w:tcW w:w="64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62">
              <w:r>
                <w:rPr>
                  <w:rFonts w:ascii="Arial" w:cs="Arial" w:eastAsia="Arial" w:hAnsi="Arial"/>
                  <w:sz w:val="18"/>
                  <w:szCs w:val="18"/>
                  <w:color w:val="0000EE"/>
                  <w:w w:val="94"/>
                </w:rPr>
                <w:t>DISTRIBUTIONS</w:t>
              </w:r>
            </w:hyperlink>
          </w:p>
        </w:tc>
        <w:tc>
          <w:tcPr>
            <w:tcW w:w="9660" w:type="dxa"/>
            <w:vAlign w:val="bottom"/>
            <w:gridSpan w:val="2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BUSINESS</w:t>
              </w:r>
            </w:hyperlink>
          </w:p>
        </w:tc>
        <w:tc>
          <w:tcPr>
            <w:tcW w:w="10160" w:type="dxa"/>
            <w:vAlign w:val="bottom"/>
            <w:gridSpan w:val="3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INVESTMENT OBJECTIVES AND POLICIES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PORTFOLIO COMPANIES</w:t>
              </w:r>
            </w:hyperlink>
          </w:p>
        </w:tc>
        <w:tc>
          <w:tcPr>
            <w:tcW w:w="756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79">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17"/>
                <w:szCs w:val="17"/>
                <w:color w:val="auto"/>
              </w:rPr>
            </w:pPr>
          </w:p>
        </w:tc>
        <w:tc>
          <w:tcPr>
            <w:tcW w:w="9000" w:type="dxa"/>
            <w:vAlign w:val="bottom"/>
            <w:gridSpan w:val="2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9"/>
          </w:tcPr>
          <w:p>
            <w:pPr>
              <w:spacing w:after="0" w:line="182"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CONTROL PERSONS AND PRINCIPAL STOCKHOLDERS</w:t>
              </w:r>
            </w:hyperlink>
          </w:p>
        </w:tc>
        <w:tc>
          <w:tcPr>
            <w:tcW w:w="6560" w:type="dxa"/>
            <w:vAlign w:val="bottom"/>
            <w:gridSpan w:val="6"/>
          </w:tcPr>
          <w:p>
            <w:pPr>
              <w:spacing w:after="0"/>
              <w:rPr>
                <w:sz w:val="17"/>
                <w:szCs w:val="17"/>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11000" w:type="dxa"/>
            <w:vAlign w:val="bottom"/>
            <w:gridSpan w:val="35"/>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CERTAIN RELATIONSHIPS AND TRANSACTIONS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4"/>
              </w:rPr>
            </w:pPr>
            <w:hyperlink w:anchor="page93">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5"/>
          </w:tcPr>
          <w:p>
            <w:pPr>
              <w:spacing w:after="0"/>
              <w:rPr>
                <w:sz w:val="17"/>
                <w:szCs w:val="17"/>
                <w:color w:val="auto"/>
              </w:rPr>
            </w:pPr>
          </w:p>
        </w:tc>
        <w:tc>
          <w:tcPr>
            <w:tcW w:w="708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96">
              <w:r>
                <w:rPr>
                  <w:rFonts w:ascii="Arial" w:cs="Arial" w:eastAsia="Arial" w:hAnsi="Arial"/>
                  <w:sz w:val="18"/>
                  <w:szCs w:val="18"/>
                  <w:color w:val="0000EE"/>
                  <w:w w:val="96"/>
                </w:rPr>
                <w:t>DIVIDEND REINVESTMENT PLAN</w:t>
              </w:r>
            </w:hyperlink>
          </w:p>
        </w:tc>
        <w:tc>
          <w:tcPr>
            <w:tcW w:w="824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98">
              <w:r>
                <w:rPr>
                  <w:rFonts w:ascii="Arial" w:cs="Arial" w:eastAsia="Arial" w:hAnsi="Arial"/>
                  <w:sz w:val="18"/>
                  <w:szCs w:val="18"/>
                  <w:color w:val="0000EE"/>
                  <w:w w:val="92"/>
                </w:rPr>
                <w:t>DESCRIPTION OF OUR CAPITAL STOCK</w:t>
              </w:r>
            </w:hyperlink>
          </w:p>
        </w:tc>
        <w:tc>
          <w:tcPr>
            <w:tcW w:w="778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DESCRIPTION OF OUR PREFERRED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DESCRIPTION OF OUR WARRANTS</w:t>
              </w:r>
            </w:hyperlink>
          </w:p>
        </w:tc>
        <w:tc>
          <w:tcPr>
            <w:tcW w:w="752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DESCRIPTION OF OUR SUBSCRIPTION RIGHTS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2"/>
              </w:rPr>
            </w:pPr>
            <w:hyperlink w:anchor="page108">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0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21">
              <w:r>
                <w:rPr>
                  <w:rFonts w:ascii="Arial" w:cs="Arial" w:eastAsia="Arial" w:hAnsi="Arial"/>
                  <w:sz w:val="18"/>
                  <w:szCs w:val="18"/>
                  <w:color w:val="0000EE"/>
                  <w:w w:val="92"/>
                </w:rPr>
                <w:t>DESCRIPTION OF OUR UNITS</w:t>
              </w:r>
            </w:hyperlink>
          </w:p>
        </w:tc>
        <w:tc>
          <w:tcPr>
            <w:tcW w:w="860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22">
              <w:r>
                <w:rPr>
                  <w:rFonts w:ascii="Arial" w:cs="Arial" w:eastAsia="Arial" w:hAnsi="Arial"/>
                  <w:sz w:val="18"/>
                  <w:szCs w:val="18"/>
                  <w:color w:val="0000EE"/>
                  <w:w w:val="93"/>
                </w:rPr>
                <w:t>REGULATION</w:t>
              </w:r>
            </w:hyperlink>
          </w:p>
        </w:tc>
        <w:tc>
          <w:tcPr>
            <w:tcW w:w="9880" w:type="dxa"/>
            <w:vAlign w:val="bottom"/>
            <w:gridSpan w:val="3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w:anchor="page128">
              <w:r>
                <w:rPr>
                  <w:rFonts w:ascii="Arial" w:cs="Arial" w:eastAsia="Arial" w:hAnsi="Arial"/>
                  <w:sz w:val="18"/>
                  <w:szCs w:val="18"/>
                  <w:color w:val="0000EE"/>
                  <w:w w:val="93"/>
                </w:rPr>
                <w:t>BROKERAGE ALLOCATIONS AND OTHER PRACTICES</w:t>
              </w:r>
            </w:hyperlink>
          </w:p>
        </w:tc>
        <w:tc>
          <w:tcPr>
            <w:tcW w:w="662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2"/>
          </w:tcPr>
          <w:p>
            <w:pPr>
              <w:spacing w:after="0" w:line="196" w:lineRule="exact"/>
              <w:rPr>
                <w:rFonts w:ascii="Arial" w:cs="Arial" w:eastAsia="Arial" w:hAnsi="Arial"/>
                <w:sz w:val="18"/>
                <w:szCs w:val="18"/>
                <w:color w:val="0000EE"/>
                <w:w w:val="94"/>
              </w:rPr>
            </w:pPr>
            <w:hyperlink w:anchor="page129">
              <w:r>
                <w:rPr>
                  <w:rFonts w:ascii="Arial" w:cs="Arial" w:eastAsia="Arial" w:hAnsi="Arial"/>
                  <w:sz w:val="18"/>
                  <w:szCs w:val="18"/>
                  <w:color w:val="0000EE"/>
                  <w:w w:val="94"/>
                </w:rPr>
                <w:t>MATERIAL U.S. FEDERAL INCOME TAX CONSIDERATIONS</w:t>
              </w:r>
            </w:hyperlink>
          </w:p>
        </w:tc>
        <w:tc>
          <w:tcPr>
            <w:tcW w:w="624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PLAN OF DISTRIBUTION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700" w:type="dxa"/>
            <w:vAlign w:val="bottom"/>
            <w:gridSpan w:val="11"/>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SUB-ADMINISTRATOR, CUSTODIAN, TRANSFER AGENT AND TRUSTEE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580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LEGAL MATTERS</w:t>
              </w:r>
            </w:hyperlink>
          </w:p>
        </w:tc>
        <w:tc>
          <w:tcPr>
            <w:tcW w:w="52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700" w:type="dxa"/>
            <w:vAlign w:val="bottom"/>
            <w:gridSpan w:val="11"/>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29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5"/>
              </w:rPr>
            </w:pPr>
            <w:hyperlink w:anchor="page138">
              <w:r>
                <w:rPr>
                  <w:rFonts w:ascii="Arial" w:cs="Arial" w:eastAsia="Arial" w:hAnsi="Arial"/>
                  <w:sz w:val="18"/>
                  <w:szCs w:val="18"/>
                  <w:color w:val="0000EE"/>
                  <w:w w:val="95"/>
                </w:rPr>
                <w:t>INDEX TO FINANCIAL STATEMENTS</w:t>
              </w:r>
            </w:hyperlink>
          </w:p>
        </w:tc>
        <w:tc>
          <w:tcPr>
            <w:tcW w:w="1700" w:type="dxa"/>
            <w:vAlign w:val="bottom"/>
            <w:tcBorders>
              <w:top w:val="single" w:sz="8" w:color="0000EE"/>
            </w:tcBorders>
            <w:gridSpan w:val="11"/>
          </w:tcPr>
          <w:p>
            <w:pPr>
              <w:spacing w:after="0"/>
              <w:rPr>
                <w:sz w:val="17"/>
                <w:szCs w:val="17"/>
                <w:color w:val="auto"/>
              </w:rPr>
            </w:pPr>
          </w:p>
        </w:tc>
        <w:tc>
          <w:tcPr>
            <w:tcW w:w="63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96">
              <w:r>
                <w:rPr>
                  <w:rFonts w:ascii="Arial" w:cs="Arial" w:eastAsia="Arial" w:hAnsi="Arial"/>
                  <w:sz w:val="18"/>
                  <w:szCs w:val="18"/>
                  <w:color w:val="0000EE"/>
                  <w:w w:val="92"/>
                </w:rPr>
                <w:t>PART C OTHER INFORMATION</w:t>
              </w:r>
            </w:hyperlink>
          </w:p>
        </w:tc>
        <w:tc>
          <w:tcPr>
            <w:tcW w:w="852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SIGNATURES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debt securities, or units on the terms to be determined at the time of the offering.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our consolidated Small Business Investment Company “SBIC” subsidiary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 “Company” and “PennantPark Investment” refer to PennantPark Investment Corporation and its consolidated subsidiaries; “SBIC LP” refers to our consolidated subsidiary, PennantPark SBIC LP; “PennantPark Investment Advisers” or the “Investment Adviser” refers to PennantPark Investment Advisers, LLC; and “PennantPark Investment Administration” or the “Administrator” refers to PennantPark Investment Administration, LLC.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96"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PennantPark Investment seeks to create a diversified portfolio that includes senior secured loans, mezzanine debt and equity investments by investing approximately $10 million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the Small Business Administration (“SBA”) debentures, proceeds from the rotation of our portfolio and proceeds from public and private offerings of securities to finance our investment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PennantPark Investment Corporation, a Maryland corporation organized on January 11, 2007, is a closed-end, externally managed, non-diversified investment company that has elected to be treated as a business development company under the 1940 Act. In addition, for tax purposes we have elected to be treated as a regulated investment company (“RIC”), under the Internal Revenue Code of 1986, as amended (the “Code”).</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wholly owned SBIC subsidiary, PennantPark SBIC LP, was organized as a Delaware limited partnership on May 7, 2010 and received a license from the SBA to operate as an SBIC under Section 301(c)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Small Business Investment Act of 1958 (the “1958 Act”) on July 30, 2010. Our SBIC’s objective is to generate both current income and capital appreciation through debt and equity investments. SBIC LP, generally, invests with us in SBA eligible businesses that meet the investment criteria used by PennantPark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to develop what we believe to be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inception in 2007, we have raised nearly $1 billion in debt and equity capital, and have invested over $1 billion in more than 100 companies with 54 different financial sponsors.</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Related to our Business and Structure” for more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believe that the limited amount of capital available to the middle-market companies, coupled with the desire of these companies for flexible sources of capital, creates an attractive investment environment for PennantPark Investment.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capital investments. See “Business” for more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believe that we have competitive advantages over other capital providers in middle-market companies such as, a management team with an average of 20 years of experience, a disciplined investment approach with strong value orientation, an ability to source and evaluate transactions through our Investment Adviser’s research capability and established network, flexible transaction structuring that allows for us to invest across the capital structure coupled with a longer investment horizon with an attractive publicly traded model. See “Business” for more information.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Our primary competitors provide financing to middle-market companies and include other business development companies,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with middle-market companies can be intense. However, we believe that there has been a reduction in the amount of debt capital available to middle market companies since the downturn in the credit markets, which began in mid-2007. We believe this has resulted in a less competitive environment for making new investments.</w:t>
      </w:r>
    </w:p>
    <w:p>
      <w:pPr>
        <w:spacing w:after="0" w:line="100"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w:t>
      </w:r>
    </w:p>
    <w:p>
      <w:pPr>
        <w:spacing w:after="0" w:line="1" w:lineRule="exact"/>
        <w:rPr>
          <w:sz w:val="20"/>
          <w:szCs w:val="20"/>
          <w:color w:val="auto"/>
        </w:rPr>
      </w:pPr>
    </w:p>
    <w:p>
      <w:pPr>
        <w:ind w:right="220"/>
        <w:spacing w:after="0" w:line="361" w:lineRule="auto"/>
        <w:rPr>
          <w:sz w:val="20"/>
          <w:szCs w:val="20"/>
          <w:color w:val="auto"/>
        </w:rPr>
      </w:pPr>
      <w:r>
        <w:rPr>
          <w:rFonts w:ascii="Arial" w:cs="Arial" w:eastAsia="Arial" w:hAnsi="Arial"/>
          <w:sz w:val="15"/>
          <w:szCs w:val="15"/>
          <w:color w:val="auto"/>
        </w:rPr>
        <w:t>Furthermore, many of our competitors are not subject to the regulatory restrictions that the 1940 Act imposes on us as a business development company. See “Risk Factors—Risks Relating to our Business and Structure—We operate in a highly competitive market for investment opportunities” for more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maintain a five-year, multi-currency $300.0 million senior secured credit facility (the “credit facility”), which matures on June 25, 2012, and is secured by substantially all of our investment portfolio assets (excluding the assets of SBIC LP) with a group of lenders, under which we had $255.8 million outstanding with a weighted average interest rate at the time of 1.28% and had $44.2 million of unused borrowing capacity, which is subject to maintenance of the applicable total assets to debt ratio of 200%, as of December 31, 2010. Pricing of borrowings under our credit facility is set at 100 basis points over the London InterBank Offered Rate (“LIBOR”). We believe that our capital resources will provide us with the flexibility to take advantage of market opportunities when they arise. In addition, any future additional debt capital we incur, including refinancing the debt outstanding under our credit facility, to the extent it is available under current credit market conditions, may be issued at a higher cost and on less favorable terms and conditions than our current credit facility. See “Recent Developments” in “Management’s Discussion and Analysis of Financial Condition and Results of Operations” for more information.</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2010, SBIC LP had a debenture commitment from the SBA in the amount of $100.0 million, had $30.0 million outstanding (including $29.5 million of temporary draws) with a weighted average interest rate of 0.96%, exclusive of 3.43% of upfront fees, and had $70 million remaining unused borrowing capacity subject to customary regulatory requirements.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superior claim over such assets. See “Regulation” for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PennantPark Investment. Under our investment management agreement (the “Investment Management Agreement”), we have agreed to pay our Investment Adviser an annual base management fee based on our average adjusted gross assets as well as an incentive fee based on our investment performance. See “Business—Investment Management Agreement” for more information.</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have also entered into an administration agreement (the “Administration Agreement”) with the Administrator. Under our Administration Agreement, we have agreed to reimburse the Administrator for our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“Business—Administration Agreement” for more information.</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a business development company, we are required to comply with certain regulatory requirements. Also, while we are permitted to finance investments using debt, our ability to use debt is limited in certain significant respects. See “Regulation” for more information. We have elected to be treated for federal income tax purposes under the Code as a RIC. See “Material U.S. Federal Income Tax Considerations” for more information.</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wholly owned subsidiary, SBIC LP, received a license from the SBA to operate as an SBIC under Section 301(c) of the 1958 Act. The SBA regulates SBIC LP’s investing activities and periodically examines its operations. We serve as the investment adviser and administrator to SBIC LP.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capitalize a subsidiary or for other general corporate purposes. Any supplements to this prospectus relating to an offering will more fully identify the use of the proceeds from such offering. See “Use of Proceeds” for information regarding our outstanding borrowings as of December 31, 2010, the corresponding interest rate charged on such borrowings as of that date and the length of time that it may take us to invest any proceeds in new or existing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See “Distributions”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Related To Our Business and Structure” for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for more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offer, from time to time, up to $1 billion of our securities, on terms to be determined at the time of each such offering and set forth in a supplement to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common stock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administrative and principal executive offices are located at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NY 10022. Our common stock is quoted on NASDAQ Global Select Market under the symbol “PNNT”.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Securities and Exchange Commission.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Sales load</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0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1"/>
                <w:szCs w:val="11"/>
                <w:color w:val="auto"/>
              </w:rPr>
              <w:t>(3)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Management fees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3.52%</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2.82%</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1.14%</w:t>
            </w:r>
            <w:r>
              <w:rPr>
                <w:rFonts w:ascii="Arial" w:cs="Arial" w:eastAsia="Arial" w:hAnsi="Arial"/>
                <w:sz w:val="11"/>
                <w:szCs w:val="11"/>
                <w:color w:val="auto"/>
                <w:w w:val="96"/>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1.27%</w:t>
            </w:r>
            <w:r>
              <w:rPr>
                <w:rFonts w:ascii="Arial" w:cs="Arial" w:eastAsia="Arial" w:hAnsi="Arial"/>
                <w:sz w:val="11"/>
                <w:szCs w:val="11"/>
                <w:color w:val="auto"/>
                <w:w w:val="96"/>
              </w:rPr>
              <w:t>(7)</w:t>
            </w:r>
          </w:p>
        </w:tc>
        <w:tc>
          <w:tcPr>
            <w:tcW w:w="0" w:type="dxa"/>
            <w:vAlign w:val="bottom"/>
          </w:tcPr>
          <w:p>
            <w:pPr>
              <w:spacing w:after="0"/>
              <w:rPr>
                <w:sz w:val="1"/>
                <w:szCs w:val="1"/>
                <w:color w:val="auto"/>
              </w:rPr>
            </w:pPr>
          </w:p>
        </w:tc>
      </w:tr>
      <w:tr>
        <w:trPr>
          <w:trHeight w:val="20"/>
        </w:trPr>
        <w:tc>
          <w:tcPr>
            <w:tcW w:w="10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40" w:type="dxa"/>
            <w:vAlign w:val="bottom"/>
            <w:gridSpan w:val="2"/>
            <w:vMerge w:val="continue"/>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8.75%</w:t>
            </w:r>
            <w:r>
              <w:rPr>
                <w:rFonts w:ascii="Arial" w:cs="Arial" w:eastAsia="Arial" w:hAnsi="Arial"/>
                <w:sz w:val="11"/>
                <w:szCs w:val="11"/>
                <w:color w:val="auto"/>
                <w:w w:val="96"/>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60" w:hanging="452"/>
        <w:spacing w:after="0" w:line="25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ind w:left="460" w:right="2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December 31, 2010.</w:t>
      </w:r>
    </w:p>
    <w:p>
      <w:pPr>
        <w:spacing w:after="0" w:line="9" w:lineRule="exact"/>
        <w:rPr>
          <w:rFonts w:ascii="Arial" w:cs="Arial" w:eastAsia="Arial" w:hAnsi="Arial"/>
          <w:sz w:val="18"/>
          <w:szCs w:val="18"/>
          <w:color w:val="auto"/>
        </w:rPr>
      </w:pPr>
    </w:p>
    <w:p>
      <w:pPr>
        <w:ind w:left="460" w:right="6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on December 31, 2010. See “Certain Relationships and Transactions—Investment Management Agreement” for more information.</w:t>
      </w:r>
    </w:p>
    <w:p>
      <w:pPr>
        <w:ind w:left="46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December 31, 2010,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December 31, 2010,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December 31, 2010. For more detailed information about the incentive fee, please see “Certain Relationships and Transactions—Investment Management Agreement” in this prospectus.</w:t>
      </w:r>
    </w:p>
    <w:p>
      <w:pPr>
        <w:spacing w:after="0" w:line="6" w:lineRule="exact"/>
        <w:rPr>
          <w:rFonts w:ascii="Arial" w:cs="Arial" w:eastAsia="Arial" w:hAnsi="Arial"/>
          <w:sz w:val="16"/>
          <w:szCs w:val="16"/>
          <w:color w:val="auto"/>
        </w:rPr>
      </w:pPr>
    </w:p>
    <w:p>
      <w:pPr>
        <w:ind w:left="460" w:right="40" w:hanging="452"/>
        <w:spacing w:after="0" w:line="288"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of December 31, 2010, we had $44.2 million unused borrowing capacity, subject to maintenance of the applicable total assets to debt ratio of 200%, and $255.8 million in borrowings outstanding under our $300.0 million credit facility. As of December 31, 2010, SBIC LP had a debenture commitment from the SBA in the amount of $100.0 million, had $30.0 million outstanding (including $29.5 million of temporary draws) with a weighted average interest rate of 0.96%, exclusive of the 3.43% of upfront fees, and had $70 million remaining unused borrowing capacity subject to customary regulatory requirements. We may use proceeds of an offering of securities under this registration statement to repay outstanding obligations under our credit facility. After completing any such offering, we may continue to borrow under our credit facility or SBIC LP’s SBA commitment to finance our investment objectives under the terms of our credit facility and SBA debenture program, respectively. We have estimated the annual interest expense on borrowed funds and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00"/>
        <w:spacing w:after="0" w:line="253" w:lineRule="auto"/>
        <w:rPr>
          <w:sz w:val="20"/>
          <w:szCs w:val="20"/>
          <w:color w:val="auto"/>
        </w:rPr>
      </w:pPr>
      <w:r>
        <w:rPr>
          <w:rFonts w:ascii="Arial" w:cs="Arial" w:eastAsia="Arial" w:hAnsi="Arial"/>
          <w:sz w:val="18"/>
          <w:szCs w:val="18"/>
          <w:color w:val="auto"/>
        </w:rPr>
        <w:t>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ind w:left="460" w:right="46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December 31, 2010 annualized for a full year. See the Consolidated Statement of Operations in our consolidated financial statements.</w:t>
      </w:r>
    </w:p>
    <w:p>
      <w:pPr>
        <w:spacing w:after="0" w:line="2" w:lineRule="exact"/>
        <w:rPr>
          <w:rFonts w:ascii="Arial" w:cs="Arial" w:eastAsia="Arial" w:hAnsi="Arial"/>
          <w:sz w:val="16"/>
          <w:szCs w:val="16"/>
          <w:color w:val="auto"/>
        </w:rPr>
      </w:pPr>
    </w:p>
    <w:p>
      <w:pPr>
        <w:ind w:left="460" w:right="140" w:hanging="452"/>
        <w:spacing w:after="0" w:line="290"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“Total annual expenses” as a percentage of average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average net assets (defined as total assets less indebtedness) rather than total assets, which include assets that have been funded with borrowed money. If the “total annual expenses” percentage were calculated instead as a percentage of average total assets, our “total annual expenses” would be 4.94% of average total assets. For a presentation and calculation of total annual expenses based on total assets, see page 38 of this prospectus.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4.75% sales load (underwriting discounts and commissions) and offering expenses totaling 0.28%, (2) total net annual expenses of 5.94%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5"/>
              </w:rPr>
              <w:t>1 Year</w:t>
            </w:r>
          </w:p>
        </w:tc>
        <w:tc>
          <w:tcPr>
            <w:tcW w:w="5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20"/>
        </w:trPr>
        <w:tc>
          <w:tcPr>
            <w:tcW w:w="48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$ 106</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$ 217</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$ 326</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5"/>
              </w:rPr>
              <w:t>$  589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debt securities, or units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ind w:right="120"/>
        <w:spacing w:after="0" w:line="361" w:lineRule="auto"/>
        <w:rPr>
          <w:sz w:val="20"/>
          <w:szCs w:val="20"/>
          <w:color w:val="auto"/>
        </w:rPr>
      </w:pPr>
      <w:r>
        <w:rPr>
          <w:rFonts w:ascii="Arial" w:cs="Arial" w:eastAsia="Arial" w:hAnsi="Arial"/>
          <w:sz w:val="15"/>
          <w:szCs w:val="15"/>
          <w:b w:val="1"/>
          <w:bCs w:val="1"/>
          <w:color w:val="auto"/>
        </w:rPr>
        <w:t>Global capital markets could enter a period of severe disruption and instability. These market conditions have historically and could again materially and adversely affect debt and equity capital markets in the United States, which could have a material negative impact on our business and operations.</w:t>
      </w:r>
    </w:p>
    <w:p>
      <w:pPr>
        <w:ind w:firstLine="456"/>
        <w:spacing w:after="0" w:line="253" w:lineRule="auto"/>
        <w:rPr>
          <w:sz w:val="20"/>
          <w:szCs w:val="20"/>
          <w:color w:val="auto"/>
        </w:rPr>
      </w:pPr>
      <w:r>
        <w:rPr>
          <w:rFonts w:ascii="Arial" w:cs="Arial" w:eastAsia="Arial" w:hAnsi="Arial"/>
          <w:sz w:val="18"/>
          <w:szCs w:val="18"/>
          <w:color w:val="auto"/>
        </w:rPr>
        <w:t>During the past three years, the U.S. capital markets have experienced a period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could and may reoccur for a prolonged period of time again or even materially worsen in the future. While current conditions have improved, we may have difficulty accessing debt and equity capital in order to grow. A return of severe disruption and instability in the global financial markets or deterioration in credit and financing conditions could have a material adverse effect on our business, financial condition and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business development company, we are generally not able to issue additional shares of our common stock at a price less than net asset value without first obtaining approval for such issuance from our stockholders and our independent directors. Additionally, our ability to incur indebtedness is limited by applicable regulations such that our asset coverage under the 1940 Act must equal at least 200% of total indebtedness immediately after each time we incur indebtedness. Shrinking portfolio values negatively impact our ability to borrow additional funds under our credit facility because our net asset value is reduced for purposes of the 200% asset leverage test. If the fair value of our assets declines substantially, we may fail to maintain the asset coverage ratio stipulated by the 1940 Act, which could, in turn, cause us to lose our status as a business development company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significant disruption in the capital markets experienced in the past had and may in the future have a negative effect on the valuations of our investments, and on the potential for liquidity events involving our investments. The debt capital that will be available to us in the future, if at all, is likely to have a higher cost and less favorable terms and conditions. If our financing costs increase and we have no increase in interest income,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then our net investment income will decrease. A prolonged inability to raise capital will require us to reduce the volume of loans we originate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w:t>
      </w:r>
    </w:p>
    <w:p>
      <w:pPr>
        <w:spacing w:after="0" w:line="173"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Market developments may adversely affect our business and results of operations by reducing availability under our credit facility and SBIC LP’s debentures.</w:t>
      </w:r>
    </w:p>
    <w:p>
      <w:pPr>
        <w:spacing w:after="0" w:line="4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to the applicable asset coverage test that restricts our ability to borrow under our credit facility, the credit facility contains various covenants which, if not complied with, could accelerate repayment under the facility, thereby materially and adversely affecting our liquidity, financial condition and results of operations. Our borrowings under our credit facility are collateralized by the assets in our investment portfolio, excluding those portfolio investments held by SBIC LP. The agreements governing the credit facility require us to comply with certain financial and operational covenants. These covenants include:</w:t>
      </w:r>
    </w:p>
    <w:p>
      <w:pPr>
        <w:spacing w:after="0" w:line="32"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In addition to the credit facility, SBIC LP has issued SBA debentures that require it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debentures. Our borrowings under our SBA debentures are collateralized by the assets of SBIC LP.</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 and SBA debentures.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wholly owned SBIC subsidiary may be unable to make distributions to us that will enable us to meet or maintain RIC status.</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In order for us to continue to qualify for RIC tax treatment and to minimize corporate-level taxes, we will be required to distribute substantially all of our consolidated net ordinary income and net capital gain income, including income from our SBIC subsidiary. We will be partially dependent on our SBIC subsidiary for cash distributions to enable us to meet the RIC distribution requirements. Our SBIC subsidiary may be limited by SBA regulations governing SBICs from making certain distributions to us that may be necessary to maintain our status as a RIC. We may have to request a waiver of the SBA’s restrictions for our SBIC subsidiary to make certain distributions to maintain our RIC status. We cannot assure you that the SBA will grant such waiver and if our SBIC subsidiary is unable to obtain a waiver, compliance with the SBA regulations may result in an entity-level tax on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incurs credit risk when it loans money or commits to loan money to a portfolio company.</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will have a significant impact on our earnings. Credit risk is a component part of our fair valuation of our portfolio companies. Negative credit events will lead to a decrease in the fair value of our portfolio companies.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addition, adverse market conditions may affected consumer confidence levels which may harm the business of our portfolio companies and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18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business development company, we are required to carry our investments at fair value. Decreases in the fair values of our investments will be recorded as unrealized depreciation.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218"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our stock price fluctuates significantly, we may be the target of securities litigation in the future. Securities litigation could result in substantial costs and divert management’s attention and resources from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make long-term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98" w:lineRule="exact"/>
        <w:rPr>
          <w:sz w:val="20"/>
          <w:szCs w:val="20"/>
          <w:color w:val="auto"/>
        </w:rPr>
      </w:pPr>
    </w:p>
    <w:p>
      <w:pPr>
        <w:ind w:right="6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80" w:firstLine="456"/>
        <w:spacing w:after="0" w:line="291"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managerial assistance to portfolio companies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business development companies,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status would substantially reduce net assets and income available for debt service and dividends.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operated so as to qualify as a RIC under Subchapter M of the Code. If we meet source of income, quarterly asset diversification, and distribution requirements, we generally will not be subject to corporate-level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 month period ending on October 31), we generally will be required to pay an excise tax on amounts carried over and distributed to shareholders in the next year equal to 4% of the undistributed amount.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218"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Market conditions may make it difficult to extend the maturity of or refinance our existing indebtedness and any failure to do so could have a material adverse effect on our business.</w:t>
      </w:r>
    </w:p>
    <w:p>
      <w:pPr>
        <w:spacing w:after="0" w:line="4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utilize a revolving five-year credit facility to make investments in our portfolio companies. Our credit facility expires in June 2012.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under current market conditions, we believe it may be unlikely that we could renew or refinance our credit facility on terms as favorable as those in our existing credit facility. In particular, market interest rates have increased for borrowers such as us since we entered into our credit facility in June 2007.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or through SBIC LP’s SBA debentures. However, we may not be able to raise additional capital in the future on favorable terms or at all. We may issue debt securities or preferred securities, which we refer to collectively as “senior securities,” and we may borrow money from banks, through our SBIC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140" w:hanging="446"/>
        <w:spacing w:after="0" w:line="291"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Senior Securities. </w:t>
      </w:r>
      <w:r>
        <w:rPr>
          <w:rFonts w:ascii="Arial" w:cs="Arial" w:eastAsia="Arial" w:hAnsi="Arial"/>
          <w:sz w:val="16"/>
          <w:szCs w:val="16"/>
          <w:color w:val="auto"/>
        </w:rPr>
        <w:t>As a result of issuing senior securities, we would also be exposed to typical risks associated with leverage, including an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39" w:lineRule="exact"/>
        <w:rPr>
          <w:rFonts w:ascii="Arial" w:cs="Arial" w:eastAsia="Arial" w:hAnsi="Arial"/>
          <w:sz w:val="16"/>
          <w:szCs w:val="16"/>
          <w:color w:val="auto"/>
        </w:rPr>
      </w:pPr>
    </w:p>
    <w:p>
      <w:pPr>
        <w:ind w:left="900" w:right="100" w:hanging="446"/>
        <w:spacing w:after="0" w:line="28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business development company, we are generally not able 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on Form S-3, which is filed on a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39"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treated as if it were issued by us for purposes of the asset coverage test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would not treat the debt issued by such a subsidiary as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46" w:lineRule="exact"/>
        <w:rPr>
          <w:sz w:val="20"/>
          <w:szCs w:val="20"/>
          <w:color w:val="auto"/>
        </w:rPr>
      </w:pPr>
    </w:p>
    <w:p>
      <w:pPr>
        <w:ind w:left="900" w:right="40" w:hanging="446"/>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SBA Debentures. </w:t>
      </w:r>
      <w:r>
        <w:rPr>
          <w:rFonts w:ascii="Arial" w:cs="Arial" w:eastAsia="Arial" w:hAnsi="Arial"/>
          <w:sz w:val="16"/>
          <w:szCs w:val="16"/>
          <w:color w:val="auto"/>
        </w:rPr>
        <w:t>In addition to issuing securities and using securitizations to raise capital as described above, we have issued and may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issue, as permitted under SBA regulations and through our wholly owned subsidiary SBIC LP, SBA debentures to generate cash for funding new investments. To issue SBA debentures, we may request commitments for debt capital from the SBA. SBIC LP would be exposed to any losses on its portfolio of loans, however, such debentures are non-recourse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 the future issue securities for which there is no public market and for which we expect no public market to develop.</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registered on this registration statement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professionals of our Investment Adviser and Administrator may serve as officers, directors or principals of entities that operate in the same or a related line of business as we do or of investment funds managed by affiliates of PennantPark Investment that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Officers of our Investment Adviser and Administrator are currently providing managerial assistance to our controlled affiliate.</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have entered into a license agreement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1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Our Investment Adviser, its officers and employees and its investment committee serve or may serve as officers, directors or principals of entities or investment funds that operate in the same or a related line of business as us. Accordingly, these individuals may have obligations to investors in those entities or funds, the fulfillment of which might not be in our best interests or the best interests of our stockholders. In addition, we note that any affiliated investment vehicle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that is consistent with applicable allocation procedures, it is possible that, in the future, we may not be given the opportunity to participate in investments made by investment funds managed by the Investment Adviser or an investment manager affiliated with the Investment Adviser. In any such case, if our Investment Adviser forms other affiliates in the future, we may co-invest on a concurrent basis with such other affiliates, subject to compliance with applicable regulations and regulatory guidance, as well as applicable allocation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wholly owned SBIC subsidiary is licensed by the SBA and is subject to SBA regulations.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Effective July 30, 2010, our wholly owned subsidiary, SBIC LP, received a license from the SBA to operate as an SBIC under the 1958 Act and is regulated by the SBA. The SBA places certain limitations on the financing terms of investments by SBICs in portfolio companies and regulates the types of financings and prohibits investing in certain industries. Compliance with SBIC requirements may cause our SBIC subsidiary to invest at less competitive rates according to applicable SBA regulations.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Further, SBA regulations require that a licensed SBIC be periodically examined and audited by the SBA to determine its compliance with the relevant SBA regulations. If our SBIC subsidiary fails to comply with applicable SBA regulations, the SBA could, depending on the severity of the violation, limit or prohibit its use of debentures, declare outstanding debentures immediately due and payable, and/or limit it from making new investments. In addition, the SBA can revoke or suspend a license for willful or repeated violation of, or willful or repeated failure to observe, any provision of the Small Business Investment Act of 1958 or any rule or regulation promulgated thereunder. These actions by the SBA would, in turn, negatively affect us because our SBIC subsidiary is our wholly owned subsidiary.</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 This means that SBIC LP may access the maximum borrowing if it has $75 million in regulatory capital, which generally equates to the amount of its equity capital, which is subject to SBA approval. However, we have capitalized SBIC LP with a lesser amount.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current debt is governed by the terms of our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Additionally, our subsidiary, SBIC LP, has received borrowed funds from the SBA through its debenture program and has received commitments for additional SBA debentures. In connection with the filing of its SBA license application, PennantPark Investment applied for exemptive relief from the SEC to permit us to exclude the debt of SBIC LP from our consolidated asset coverage ratio.</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There can be no assurance that we will be able to capitalize SBIC LP with sufficient regulatory capital to access the maximum borrowing amount available or that we will receive an exemptive relief from the SEC with respect to the SBA debentures. If we are granted exemptive relief, our ratio of total assets on a consolidated basis to outstanding to indebtedness may be greater than 200%, which while providing increased investment flexibility, would also increase our exposure to risks associated with leverage.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indebtedness outstanding pursuant to our credit facility and the SBA debentures. We expect in the future to borrow additional amounts, subject to market and regulatory availability, and may increase the size of our credit facility, refinance our credit facility, and/or increase the SBA debenture commitment. Lenders have fixed dollar claims on our assets that are superior to the claims of our common stockholders or preferred stockholders, if any, and we have granted a security interest in our assets, excluding those of SBIC LP, in connection with our credit facility borrowings. In the case of a liquidation event, those lenders would receive proceeds before our stockholders. Additionally, the SBA as a lender and an administrative agent, has a superior claim over the assets of our SBIC in relation to our lender. In addition, borrowings and SBA debentures, also a form of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leveraged.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of December 31, 2010, we had outstanding borrowings of $255.8 million under our credit facility and $30.0 million outstanding under the SBA debentures (including temporary financings of $29.5 million that will reset in March 2011). Our consolidated debt outstanding was $ 285.8 million and had a weighted average annual interest rate at the time of 1.25% exclusive of the fee on undrawn commitment of 0.20% and 3.43% upfront fees on the SBA debentures. Accordingly, to cover the annual interest on our borrowings outstanding at December 31, 2010, at the then current rate, we would have to receive an annual yield of at least 0.49%. This example is for illustrative purposes only, and actual interest rates on our credit facility borrowings and SBA debentures are likely to fluctuate. The costs associated with our borrowings, including any increase in the management fee payable to our Investment Adviser, will be borne by our common stockholders.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a business development company, we generally are required to meet a coverage ratio of total assets to total borrowings and other senior securities, which include all of our borrowings and any preferred stock we may issue in the future, of at least 200% of total indebtedness. If this ratio declines below 200%, we may not be able to incur additional debt and may need to sell a portion of our investments to repay some debt when it is disadvantageous to do so, and we may not be able to make distributions.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December 31, 2010 of 39% of total assets (including such borrowed funds), at a weighted average rate at the time of 1.25%, and assuming hypothetical annual returns on our portfolio of minus 10 to plus 10 percent. The table also assumes that we will maintain a constant level and weighted average rate of leverage. The amount of leverage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860" w:type="dxa"/>
            <w:vAlign w:val="bottom"/>
          </w:tcPr>
          <w:p>
            <w:pPr>
              <w:jc w:val="right"/>
              <w:ind w:right="92"/>
              <w:spacing w:after="0"/>
              <w:rPr>
                <w:sz w:val="20"/>
                <w:szCs w:val="20"/>
                <w:color w:val="auto"/>
              </w:rPr>
            </w:pPr>
            <w:r>
              <w:rPr>
                <w:rFonts w:ascii="Arial" w:cs="Arial" w:eastAsia="Arial" w:hAnsi="Arial"/>
                <w:sz w:val="18"/>
                <w:szCs w:val="18"/>
                <w:color w:val="auto"/>
              </w:rPr>
              <w:t>-18.7%</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-9.8%</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-0.9%</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8.0%</w:t>
            </w:r>
          </w:p>
        </w:tc>
        <w:tc>
          <w:tcPr>
            <w:tcW w:w="640" w:type="dxa"/>
            <w:vAlign w:val="bottom"/>
          </w:tcPr>
          <w:p>
            <w:pPr>
              <w:jc w:val="right"/>
              <w:spacing w:after="0"/>
              <w:rPr>
                <w:sz w:val="20"/>
                <w:szCs w:val="20"/>
                <w:color w:val="auto"/>
              </w:rPr>
            </w:pPr>
            <w:r>
              <w:rPr>
                <w:rFonts w:ascii="Arial" w:cs="Arial" w:eastAsia="Arial" w:hAnsi="Arial"/>
                <w:sz w:val="18"/>
                <w:szCs w:val="18"/>
                <w:color w:val="auto"/>
              </w:rPr>
              <w:t>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38" w:lineRule="exact"/>
        <w:rPr>
          <w:rFonts w:ascii="Arial" w:cs="Arial" w:eastAsia="Arial" w:hAnsi="Arial"/>
          <w:sz w:val="16"/>
          <w:szCs w:val="16"/>
          <w:color w:val="auto"/>
        </w:rPr>
      </w:pPr>
    </w:p>
    <w:p>
      <w:pPr>
        <w:jc w:val="both"/>
        <w:ind w:left="460" w:right="60" w:hanging="452"/>
        <w:spacing w:after="0" w:line="295"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December 31, 2010, the applicable LIBOR rate has decreased from 5.3% to 0.3%. In periods of rising interest rates, our cost of funds will increase, which could reduce our net investment income.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Conditions and Results of Operations—Quantitative and Qualitative Disclosures about Market Risk” for more information.</w:t>
      </w:r>
    </w:p>
    <w:p>
      <w:pPr>
        <w:spacing w:after="0" w:line="12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Furthermore, the initial rate on SBIC LP’s temporary SBA debentures will be reset in March 2011, the next pooling date, at a spread above the 10-year U.S. Treasury Bond rate and will remain fixed for 10 years from such date. Thus, while the rate is fixed from September 30, 2010 until March 2011, we are exposed to risks associated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with changes in interest rates until March 2011 on any current and future temporary borrowings. In addition, SBA debentures incurred in the future may bear significantly less attractive borrowing terms depending upon the then-applicable fixed rates.</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 Our preferred stock may include conversion features that cause them to bear risks more closely associated with an investment in our common stock.</w:t>
      </w:r>
    </w:p>
    <w:p>
      <w:pPr>
        <w:spacing w:after="0" w:line="193"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including SBA debentures,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issue preferred stock, debt securities, convertible debt securities or units, the net asset value and market value of our common stock may become more volatile.</w:t>
      </w:r>
    </w:p>
    <w:p>
      <w:pPr>
        <w:spacing w:after="0" w:line="4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convertible debt or units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debt securities, convertible debt or units or of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affairs.</w:t>
      </w:r>
    </w:p>
    <w:p>
      <w:pPr>
        <w:spacing w:after="0" w:line="19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or convertible debt securities may be volatile.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we publicly issue debt or convertible debt securities, they may or may not have an established trading market. We cannot assure investors that a trading market for our publicly issued debt or convertible debt securities would develop or be maintained if developed. In addition to our creditworthiness, many factors may materially adversely affect the trading market for, and market value of, our publicly issued debt or convertible debt securities. These factors include the following:</w:t>
      </w:r>
    </w:p>
    <w:p>
      <w:pPr>
        <w:spacing w:after="0" w:line="6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 Our debt securities may include convertible features that cause them to more closely bear risks associated with an investment in our common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or convertible debt securities.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issue debt or convertible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1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If we issue subscription rights, warrants or convertible debt that are exchangeable for our common stock, your interest in us may be diluted as a result of such rights, warrants or convertible debt offering.</w:t>
      </w:r>
    </w:p>
    <w:p>
      <w:pPr>
        <w:spacing w:after="0" w:line="4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Stockholders who do not fully exercise rights, warrants or convertible debt issued to them in an offering of subscription rights, warrants or convertible debt to purchase our common stock should expect that they will, at the completion of the offering, own a smaller proportional interest in us than would otherwise be the case if they fully exercised their rights, warrants or convertible debt. We cannot state precisely the amount of any such dilution in share ownership because we do not know what proportion of the common stock would be purchased as a result of any such offering.</w:t>
      </w:r>
    </w:p>
    <w:p>
      <w:pPr>
        <w:spacing w:after="0" w:line="113"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color w:val="auto"/>
        </w:rPr>
        <w:t>In addition, if the subscription price, warrant price or convertible debt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convertible debt price or net asset value per share will be on the expiration date of such offering or what proportion of our common stock will be purchased as a result of any such offering.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All of our investments are recorded using broker or dealer quotes, or at fair value as determined in good faith by our board of directors. We expect that primarily most, if not all, of our investments (other than cash and cash equivalents) and credit facility borrowings will be classified as Level 3 under ASC 820, Fair Value Measurements.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18"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4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adjust quarterly the valuation of our portfolio to reflect our board of directors’ determination of the fair value of each investment in our portfolio. Any changes in fair value are recorded in the statement of operations as net change in unrealized appreciation or depreciation.</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December 31, 2010, most of our portfolio assets were recorded at fair value as determined in good faith by our board of directors. As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recent market developments in which investor appetite for illiquid securities was substantially diminished.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18"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rely in part on our over-the-counter securities to provide us with adequate liquidity, but even these securities did face liquidity constraints under recent market conditions.</w:t>
      </w:r>
    </w:p>
    <w:p>
      <w:pPr>
        <w:spacing w:after="0" w:line="4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senior secured loans, mezzanine debt and selected equity investments issued by U.S. middle-market companies.</w:t>
      </w:r>
    </w:p>
    <w:p>
      <w:pPr>
        <w:spacing w:after="0" w:line="113" w:lineRule="exact"/>
        <w:rPr>
          <w:sz w:val="20"/>
          <w:szCs w:val="20"/>
          <w:color w:val="auto"/>
        </w:rPr>
      </w:pPr>
    </w:p>
    <w:p>
      <w:pPr>
        <w:ind w:left="900" w:right="28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Senior Secured Loans: </w:t>
      </w:r>
      <w:r>
        <w:rPr>
          <w:rFonts w:ascii="Arial" w:cs="Arial" w:eastAsia="Arial" w:hAnsi="Arial"/>
          <w:sz w:val="18"/>
          <w:szCs w:val="18"/>
          <w:color w:val="auto"/>
        </w:rPr>
        <w:t>When we extend senior secured loans, we will generally take a security interest in the available assets of these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including the equity interests of their subsidiaries, although this will not always be the case. We expect this security interest, if any, to help mitigate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290" w:lineRule="auto"/>
        <w:rPr>
          <w:sz w:val="20"/>
          <w:szCs w:val="20"/>
          <w:color w:val="auto"/>
        </w:rPr>
      </w:pPr>
      <w:r>
        <w:rPr>
          <w:rFonts w:ascii="Arial" w:cs="Arial" w:eastAsia="Arial" w:hAnsi="Arial"/>
          <w:sz w:val="16"/>
          <w:szCs w:val="16"/>
          <w:color w:val="auto"/>
        </w:rPr>
        <w:t>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37" w:lineRule="exact"/>
        <w:rPr>
          <w:sz w:val="20"/>
          <w:szCs w:val="20"/>
          <w:color w:val="auto"/>
        </w:rPr>
      </w:pPr>
    </w:p>
    <w:p>
      <w:pPr>
        <w:ind w:left="900" w:right="60" w:hanging="446"/>
        <w:spacing w:after="0" w:line="294"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Mezzanine Debt: </w:t>
      </w:r>
      <w:r>
        <w:rPr>
          <w:rFonts w:ascii="Arial" w:cs="Arial" w:eastAsia="Arial" w:hAnsi="Arial"/>
          <w:sz w:val="16"/>
          <w:szCs w:val="16"/>
          <w:color w:val="auto"/>
        </w:rPr>
        <w:t>Our mezzanine debt investments will generally be subordinated to senior secured loans and will generally be unsecured. This may</w:t>
      </w:r>
      <w:r>
        <w:rPr>
          <w:rFonts w:ascii="Arial" w:cs="Arial" w:eastAsia="Arial" w:hAnsi="Arial"/>
          <w:sz w:val="16"/>
          <w:szCs w:val="16"/>
          <w:i w:val="1"/>
          <w:iCs w:val="1"/>
          <w:color w:val="auto"/>
        </w:rPr>
        <w:t xml:space="preserve"> </w:t>
      </w:r>
      <w:r>
        <w:rPr>
          <w:rFonts w:ascii="Arial" w:cs="Arial" w:eastAsia="Arial" w:hAnsi="Arial"/>
          <w:sz w:val="16"/>
          <w:szCs w:val="16"/>
          <w:color w:val="auto"/>
        </w:rPr>
        <w:t>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34" w:lineRule="exact"/>
        <w:rPr>
          <w:rFonts w:ascii="Arial" w:cs="Arial" w:eastAsia="Arial" w:hAnsi="Arial"/>
          <w:sz w:val="16"/>
          <w:szCs w:val="16"/>
          <w:color w:val="auto"/>
        </w:rPr>
      </w:pPr>
    </w:p>
    <w:p>
      <w:pPr>
        <w:ind w:left="900" w:right="80" w:hanging="446"/>
        <w:spacing w:after="0" w:line="294"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Equity Investments</w:t>
      </w:r>
      <w:r>
        <w:rPr>
          <w:rFonts w:ascii="Arial" w:cs="Arial" w:eastAsia="Arial" w:hAnsi="Arial"/>
          <w:sz w:val="16"/>
          <w:szCs w:val="16"/>
          <w:color w:val="auto"/>
        </w:rPr>
        <w:t>: We have made and expect to continue to make selected equity investments. In addition, when we invest in senior secured loans</w:t>
      </w:r>
      <w:r>
        <w:rPr>
          <w:rFonts w:ascii="Arial" w:cs="Arial" w:eastAsia="Arial" w:hAnsi="Arial"/>
          <w:sz w:val="16"/>
          <w:szCs w:val="16"/>
          <w:i w:val="1"/>
          <w:iCs w:val="1"/>
          <w:color w:val="auto"/>
        </w:rPr>
        <w:t xml:space="preserve"> </w:t>
      </w:r>
      <w:r>
        <w:rPr>
          <w:rFonts w:ascii="Arial" w:cs="Arial" w:eastAsia="Arial" w:hAnsi="Arial"/>
          <w:sz w:val="16"/>
          <w:szCs w:val="16"/>
          <w:color w:val="auto"/>
        </w:rPr>
        <w:t>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 but not limited to:</w:t>
      </w:r>
    </w:p>
    <w:p>
      <w:pPr>
        <w:spacing w:after="0" w:line="90" w:lineRule="exact"/>
        <w:rPr>
          <w:sz w:val="20"/>
          <w:szCs w:val="20"/>
          <w:color w:val="auto"/>
        </w:rPr>
      </w:pPr>
    </w:p>
    <w:p>
      <w:pPr>
        <w:ind w:left="9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6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40" w:hanging="446"/>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80"/>
        <w:spacing w:after="0" w:line="361" w:lineRule="auto"/>
        <w:rPr>
          <w:sz w:val="20"/>
          <w:szCs w:val="20"/>
          <w:color w:val="auto"/>
        </w:rPr>
      </w:pPr>
      <w:r>
        <w:rPr>
          <w:rFonts w:ascii="Arial" w:cs="Arial" w:eastAsia="Arial" w:hAnsi="Arial"/>
          <w:sz w:val="15"/>
          <w:szCs w:val="15"/>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ind w:right="480" w:firstLine="456"/>
        <w:spacing w:after="0" w:line="268" w:lineRule="auto"/>
        <w:rPr>
          <w:sz w:val="20"/>
          <w:szCs w:val="20"/>
          <w:color w:val="auto"/>
        </w:rPr>
      </w:pPr>
      <w:r>
        <w:rPr>
          <w:rFonts w:ascii="Arial" w:cs="Arial" w:eastAsia="Arial" w:hAnsi="Arial"/>
          <w:sz w:val="18"/>
          <w:szCs w:val="18"/>
          <w:color w:val="auto"/>
        </w:rPr>
        <w:t>As a business development company, we may not acquire any asset other than qualifying assets, as defined under the 1940 Act, unless at the time the acquisition is made such qualifying assets represent at least 70%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 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even though we may have structured our investment as a senior secured loan.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219" w:lineRule="exact"/>
        <w:rPr>
          <w:sz w:val="20"/>
          <w:szCs w:val="20"/>
          <w:color w:val="auto"/>
        </w:rPr>
      </w:pPr>
    </w:p>
    <w:p>
      <w:pPr>
        <w:ind w:right="2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8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invest primarily in senior secured loans, mezzanine debt and equity investments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part of our incentive fee payable to PennantPark Investment Advisers that relates to net investment income is computed and paid on income that has been accrued but that may not have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18"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Investment Adviser incentive compensation for a fiscal quarter even if there is a decline in the value of our portfolio or we incur a net loss for that quarter.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to the extent permitted under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4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jc w:val="both"/>
        <w:ind w:right="460"/>
        <w:spacing w:after="0" w:line="361" w:lineRule="auto"/>
        <w:rPr>
          <w:sz w:val="20"/>
          <w:szCs w:val="20"/>
          <w:color w:val="auto"/>
        </w:rPr>
      </w:pPr>
      <w:r>
        <w:rPr>
          <w:rFonts w:ascii="Arial" w:cs="Arial" w:eastAsia="Arial" w:hAnsi="Arial"/>
          <w:sz w:val="15"/>
          <w:szCs w:val="15"/>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firstLine="456"/>
        <w:spacing w:after="0" w:line="312" w:lineRule="auto"/>
        <w:rPr>
          <w:sz w:val="20"/>
          <w:szCs w:val="20"/>
          <w:color w:val="auto"/>
        </w:rPr>
      </w:pPr>
      <w:r>
        <w:rPr>
          <w:rFonts w:ascii="Arial" w:cs="Arial" w:eastAsia="Arial" w:hAnsi="Arial"/>
          <w:sz w:val="15"/>
          <w:szCs w:val="15"/>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business development company, we generally are required to meet a coverage ratio of total assets to total senior securities, which includes all of our borrowings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05"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color w:val="auto"/>
        </w:rPr>
        <w:t>We will be partially dependent on our SBIC subsidiary for cash distributions to enable us to meet the RIC distribution requirements. Our SBIC subsidiary may be limited by the SBA regulations governing SBICs, from making certain distributions to us that may be necessary to maintain our status as a RIC. We may have to request a waiver of the SBA’s restrictions for our SBIC subsidiary to make certain distributions to maintain our RIC status. We cannot assure you that the SBA will grant such waiver and if our SBIC subsidiary is unable to obtain a waiver, compliance with the SBA regulations may result in an entity-level tax on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 See “Market for Registrant’s Common Equity, Related Stockholder Matters and Issuer Purchases of Equity Securities” for more information.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b w:val="1"/>
          <w:bCs w:val="1"/>
          <w:color w:val="auto"/>
        </w:rPr>
        <w:t>We may again obtain the approval of our stockholders to issue shares of our common stock at prices below the then current net asset value per share of our common stock. If we receive such approval from the stockholders, we may again issue shares of our common stock at a price below the then current net asset value per share of common stock. Any such issuance could materially dilute your interest in our common stock and reduce our net asset value per share.</w:t>
      </w:r>
    </w:p>
    <w:p>
      <w:pPr>
        <w:spacing w:after="0" w:line="6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may again obtain the approval of our stockholders to issue shares of our common stock at prices below the then current net asset value per share of our common stock. Such approval has allowed and may again allow us to access the capital markets in a way that we typically are unable to do as a result of restrictions that, absent stockholder approval, apply to business development companies under the 1940 Act. Any decision to sell shares of our common stock below the then current net asset value per share of our common stock is subject to the determination by our board of directors that such issuance and sale is in our and our stockholders’ best interests.</w:t>
      </w:r>
    </w:p>
    <w:p>
      <w:pPr>
        <w:spacing w:after="0" w:line="14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Any sale or other issuance of shares of our common stock at a price below net asset value per share has resulted and will continue to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Global Select Market at $12.25 and $10.61 as of December 31, 2010 and September 30, 2010, respectively. Our NAV was $11.14 and $10.69, as of December 31, 2010 and September 30, 2010,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business development companies or SBICs;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loss of RIC or SBIC status;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SBA also limits an SBIC from investing idle funds to the following types of securities:</w:t>
      </w:r>
    </w:p>
    <w:p>
      <w:pPr>
        <w:spacing w:after="0" w:line="90" w:lineRule="exact"/>
        <w:rPr>
          <w:sz w:val="20"/>
          <w:szCs w:val="20"/>
          <w:color w:val="auto"/>
        </w:rPr>
      </w:pPr>
    </w:p>
    <w:p>
      <w:pPr>
        <w:ind w:left="900" w:right="3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U.S. government, which mature 15 months from the date of the investment;</w:t>
      </w:r>
    </w:p>
    <w:p>
      <w:pPr>
        <w:spacing w:after="0" w:line="5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Investment Corporation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2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20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There is a risk that our common stockholders may receive our stock as dividends, in which case they may be required to pay tax in excess of the cash they receive.</w:t>
      </w:r>
    </w:p>
    <w:p>
      <w:pPr>
        <w:spacing w:after="0" w:line="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in the United States, (2) the distribution is declared with respect to a taxable year ending on or before December 31, 2011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11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If we distribute our common stock as a dividend of our taxable income, a shareholder could receive up to 90% of the amount of the dividend declared in shares of our common stock with the remaining amount in cash. The total dividend declared would be taxable income to a shareholder although he or she may only receive 10% of the dividend in cash to pay any taxes due on the dividend.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This prospectus contains statements that constitute forward-looking statements, which relate to both us and our consolidated SBIC subsidiary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for both us and our consolidated SBIC subsidiary, including statements as to:</w:t>
      </w:r>
    </w:p>
    <w:p>
      <w:pPr>
        <w:spacing w:after="0" w:line="3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fluctuation in interest rates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reliance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the Securities and Exchange Commission, or the SEC, including annual reports on Form 10-K, quarterly reports on Form 10-Q and current reports on Form 8-K.</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You should understand that, under Sections 27A(b)(2)(B) of the Securities Act and Section 21E(b)(2)(B) of the Exchange Act, the “safe harbor” provisions of the Private Securities Litigation Reform Act of 1995, do not apply to statements made in connection with any offering of securities pursuant to this prospectus or in periodic reports we file under the Exchange Act.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purposes. Any supplements to this prospectus relating to an offering may more fully identify the use of the proceeds from such offering.</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December 31, 2010, we had $44.2 million unused borrowing capacity, subject to maintenance of the applicable total assets to debt ratio of 200%, and $255.8 million in borrowings outstanding under our $300.0 million credit facility. Borrowings under our credit facility bear interest at an annual rate equal to LIBOR plus 100 basis points per annum. At December 31, 2010, the interest rate at that time was 1.28%. The credit facility is a five-year revolving facility with a stated maturity date of June 25, 2012 and is secured by substantially all of the assets in our investment portfolio, excluding assets of SBIC LP. Amounts repaid under our credit facility remain available for future borrowings. See “Recent Developments” in “Management’s Discussion and Analysis of Financial Condition and Results of Operations” for more information.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assets.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Statement of operations data, Per share data and Balance sheet data for the years ended September 30, 2010, 2009 and 2008, and for the period from January 11, 2007 (inception) through September 30, 2007 are derived from our financial statements which have been audited by KPMG LLP, our independent registered public accounting firm. The selected financial data should be read in conjunction with the respective consolidated financial statements and related notes thereto in this prospectus or as previously filed by us with the SEC and “Management’s Discussion and Analysis of Financial Condition and Results of Operations” and “Regulation—Senior Securities” in this prospectus. Interim results as of and for the three months ended December 31, 2010, are not necessarily indicative of the results that may be expected for the year ending September 30, 2011. The selected financial data for the three months ended December 31, 2010 should be read in conjunction with our consolidated financial statements and related notes thereto and “Management’s Discussion and Analysis of Financial Condition and Results of Operations” and “Regulation—Senior Securities” in this prospectus.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For the period from</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9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Three months ended</w:t>
            </w:r>
          </w:p>
        </w:tc>
        <w:tc>
          <w:tcPr>
            <w:tcW w:w="80" w:type="dxa"/>
            <w:vAlign w:val="bottom"/>
          </w:tcPr>
          <w:p>
            <w:pPr>
              <w:spacing w:after="0"/>
              <w:rPr>
                <w:sz w:val="12"/>
                <w:szCs w:val="12"/>
                <w:color w:val="auto"/>
              </w:rPr>
            </w:pPr>
          </w:p>
        </w:tc>
        <w:tc>
          <w:tcPr>
            <w:tcW w:w="14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5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5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Year ended</w:t>
            </w:r>
          </w:p>
        </w:tc>
        <w:tc>
          <w:tcPr>
            <w:tcW w:w="8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9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5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5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5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3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(inception) through</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2009</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2008</w:t>
            </w:r>
          </w:p>
        </w:tc>
        <w:tc>
          <w:tcPr>
            <w:tcW w:w="760" w:type="dxa"/>
            <w:vAlign w:val="bottom"/>
          </w:tcPr>
          <w:p>
            <w:pPr>
              <w:spacing w:after="0"/>
              <w:rPr>
                <w:sz w:val="14"/>
                <w:szCs w:val="14"/>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September 30, 2007</w:t>
            </w:r>
          </w:p>
        </w:tc>
        <w:tc>
          <w:tcPr>
            <w:tcW w:w="0" w:type="dxa"/>
            <w:vAlign w:val="bottom"/>
          </w:tcPr>
          <w:p>
            <w:pPr>
              <w:spacing w:after="0"/>
              <w:rPr>
                <w:sz w:val="1"/>
                <w:szCs w:val="1"/>
                <w:color w:val="auto"/>
              </w:rPr>
            </w:pPr>
          </w:p>
        </w:tc>
      </w:tr>
      <w:tr>
        <w:trPr>
          <w:trHeight w:val="129"/>
        </w:trPr>
        <w:tc>
          <w:tcPr>
            <w:tcW w:w="3420" w:type="dxa"/>
            <w:vAlign w:val="bottom"/>
            <w:vMerge w:val="continue"/>
          </w:tcPr>
          <w:p>
            <w:pPr>
              <w:spacing w:after="0"/>
              <w:rPr>
                <w:sz w:val="11"/>
                <w:szCs w:val="11"/>
                <w:color w:val="auto"/>
              </w:rPr>
            </w:pPr>
          </w:p>
        </w:tc>
        <w:tc>
          <w:tcPr>
            <w:tcW w:w="11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Unaudited</w:t>
            </w:r>
          </w:p>
        </w:tc>
        <w:tc>
          <w:tcPr>
            <w:tcW w:w="7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13"/>
              <w:spacing w:after="0" w:line="129" w:lineRule="exact"/>
              <w:rPr>
                <w:sz w:val="20"/>
                <w:szCs w:val="20"/>
                <w:color w:val="auto"/>
              </w:rPr>
            </w:pPr>
            <w:r>
              <w:rPr>
                <w:rFonts w:ascii="Arial" w:cs="Arial" w:eastAsia="Arial" w:hAnsi="Arial"/>
                <w:sz w:val="14"/>
                <w:szCs w:val="14"/>
                <w:b w:val="1"/>
                <w:bCs w:val="1"/>
                <w:color w:val="auto"/>
                <w:w w:val="88"/>
              </w:rPr>
              <w:t>Audited</w:t>
            </w:r>
          </w:p>
        </w:tc>
        <w:tc>
          <w:tcPr>
            <w:tcW w:w="7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13"/>
              <w:spacing w:after="0" w:line="129" w:lineRule="exact"/>
              <w:rPr>
                <w:sz w:val="20"/>
                <w:szCs w:val="20"/>
                <w:color w:val="auto"/>
              </w:rPr>
            </w:pPr>
            <w:r>
              <w:rPr>
                <w:rFonts w:ascii="Arial" w:cs="Arial" w:eastAsia="Arial" w:hAnsi="Arial"/>
                <w:sz w:val="14"/>
                <w:szCs w:val="14"/>
                <w:b w:val="1"/>
                <w:bCs w:val="1"/>
                <w:color w:val="auto"/>
                <w:w w:val="92"/>
              </w:rPr>
              <w:t>Audited</w:t>
            </w:r>
          </w:p>
        </w:tc>
        <w:tc>
          <w:tcPr>
            <w:tcW w:w="7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12"/>
              <w:spacing w:after="0" w:line="129" w:lineRule="exact"/>
              <w:rPr>
                <w:sz w:val="20"/>
                <w:szCs w:val="20"/>
                <w:color w:val="auto"/>
              </w:rPr>
            </w:pPr>
            <w:r>
              <w:rPr>
                <w:rFonts w:ascii="Arial" w:cs="Arial" w:eastAsia="Arial" w:hAnsi="Arial"/>
                <w:sz w:val="14"/>
                <w:szCs w:val="14"/>
                <w:b w:val="1"/>
                <w:bCs w:val="1"/>
                <w:color w:val="auto"/>
                <w:w w:val="88"/>
              </w:rPr>
              <w:t>Audited</w:t>
            </w:r>
          </w:p>
        </w:tc>
        <w:tc>
          <w:tcPr>
            <w:tcW w:w="7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Audited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20" w:type="dxa"/>
            <w:vAlign w:val="bottom"/>
          </w:tcPr>
          <w:p>
            <w:pPr>
              <w:spacing w:after="0"/>
              <w:rPr>
                <w:sz w:val="20"/>
                <w:szCs w:val="20"/>
                <w:color w:val="auto"/>
              </w:rPr>
            </w:pPr>
            <w:r>
              <w:rPr>
                <w:rFonts w:ascii="Arial" w:cs="Arial" w:eastAsia="Arial" w:hAnsi="Arial"/>
                <w:sz w:val="14"/>
                <w:szCs w:val="14"/>
                <w:b w:val="1"/>
                <w:bCs w:val="1"/>
                <w:color w:val="auto"/>
              </w:rPr>
              <w:t>share data)</w:t>
            </w: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1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Total investment income</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19,979</w:t>
            </w:r>
          </w:p>
        </w:tc>
        <w:tc>
          <w:tcPr>
            <w:tcW w:w="7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60,140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45,119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39,811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13,107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8,808</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28,065</w:t>
            </w: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22,400</w:t>
            </w: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21,676</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11,171</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32,075</w:t>
            </w:r>
          </w:p>
        </w:tc>
        <w:tc>
          <w:tcPr>
            <w:tcW w:w="80" w:type="dxa"/>
            <w:vAlign w:val="bottom"/>
          </w:tcPr>
          <w:p>
            <w:pPr>
              <w:spacing w:after="0"/>
              <w:rPr>
                <w:sz w:val="12"/>
                <w:szCs w:val="12"/>
                <w:color w:val="auto"/>
              </w:rPr>
            </w:pPr>
          </w:p>
        </w:tc>
        <w:tc>
          <w:tcPr>
            <w:tcW w:w="15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22,719</w:t>
            </w:r>
          </w:p>
        </w:tc>
        <w:tc>
          <w:tcPr>
            <w:tcW w:w="80" w:type="dxa"/>
            <w:vAlign w:val="bottom"/>
          </w:tcPr>
          <w:p>
            <w:pPr>
              <w:spacing w:after="0"/>
              <w:rPr>
                <w:sz w:val="12"/>
                <w:szCs w:val="12"/>
                <w:color w:val="auto"/>
              </w:rPr>
            </w:pPr>
          </w:p>
        </w:tc>
        <w:tc>
          <w:tcPr>
            <w:tcW w:w="150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18,556</w:t>
            </w: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7,304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14,351</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(15,539)</w:t>
            </w: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13,083</w:t>
            </w: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(59,259)</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(24,004)</w:t>
            </w:r>
          </w:p>
        </w:tc>
        <w:tc>
          <w:tcPr>
            <w:tcW w:w="0" w:type="dxa"/>
            <w:vAlign w:val="bottom"/>
          </w:tcPr>
          <w:p>
            <w:pPr>
              <w:spacing w:after="0"/>
              <w:rPr>
                <w:sz w:val="1"/>
                <w:szCs w:val="1"/>
                <w:color w:val="auto"/>
              </w:rPr>
            </w:pPr>
          </w:p>
        </w:tc>
      </w:tr>
      <w:tr>
        <w:trPr>
          <w:trHeight w:val="138"/>
        </w:trPr>
        <w:tc>
          <w:tcPr>
            <w:tcW w:w="3420" w:type="dxa"/>
            <w:vAlign w:val="bottom"/>
          </w:tcPr>
          <w:p>
            <w:pPr>
              <w:spacing w:after="0" w:line="138" w:lineRule="exact"/>
              <w:rPr>
                <w:sz w:val="20"/>
                <w:szCs w:val="20"/>
                <w:color w:val="auto"/>
              </w:rPr>
            </w:pPr>
            <w:r>
              <w:rPr>
                <w:rFonts w:ascii="Arial" w:cs="Arial" w:eastAsia="Arial" w:hAnsi="Arial"/>
                <w:sz w:val="14"/>
                <w:szCs w:val="14"/>
                <w:color w:val="auto"/>
              </w:rPr>
              <w:t>Net increase (decrease) in net assets resulting from</w:t>
            </w: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20" w:type="dxa"/>
            <w:vAlign w:val="bottom"/>
          </w:tcPr>
          <w:p>
            <w:pPr>
              <w:ind w:left="220"/>
              <w:spacing w:after="0" w:line="159" w:lineRule="exact"/>
              <w:rPr>
                <w:sz w:val="20"/>
                <w:szCs w:val="20"/>
                <w:color w:val="auto"/>
              </w:rPr>
            </w:pPr>
            <w:r>
              <w:rPr>
                <w:rFonts w:ascii="Arial" w:cs="Arial" w:eastAsia="Arial" w:hAnsi="Arial"/>
                <w:sz w:val="14"/>
                <w:szCs w:val="14"/>
                <w:color w:val="auto"/>
              </w:rPr>
              <w:t>operations</w:t>
            </w:r>
          </w:p>
        </w:tc>
        <w:tc>
          <w:tcPr>
            <w:tcW w:w="1180" w:type="dxa"/>
            <w:vAlign w:val="bottom"/>
          </w:tcPr>
          <w:p>
            <w:pPr>
              <w:jc w:val="right"/>
              <w:spacing w:after="0" w:line="159" w:lineRule="exact"/>
              <w:rPr>
                <w:sz w:val="20"/>
                <w:szCs w:val="20"/>
                <w:color w:val="auto"/>
              </w:rPr>
            </w:pPr>
            <w:r>
              <w:rPr>
                <w:rFonts w:ascii="Arial" w:cs="Arial" w:eastAsia="Arial" w:hAnsi="Arial"/>
                <w:sz w:val="14"/>
                <w:szCs w:val="14"/>
                <w:color w:val="auto"/>
              </w:rPr>
              <w:t>25,522</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right"/>
              <w:ind w:right="740"/>
              <w:spacing w:after="0" w:line="159" w:lineRule="exact"/>
              <w:rPr>
                <w:sz w:val="20"/>
                <w:szCs w:val="20"/>
                <w:color w:val="auto"/>
              </w:rPr>
            </w:pPr>
            <w:r>
              <w:rPr>
                <w:rFonts w:ascii="Arial" w:cs="Arial" w:eastAsia="Arial" w:hAnsi="Arial"/>
                <w:sz w:val="14"/>
                <w:szCs w:val="14"/>
                <w:color w:val="auto"/>
              </w:rPr>
              <w:t>16,535</w:t>
            </w:r>
          </w:p>
        </w:tc>
        <w:tc>
          <w:tcPr>
            <w:tcW w:w="80" w:type="dxa"/>
            <w:vAlign w:val="bottom"/>
          </w:tcPr>
          <w:p>
            <w:pPr>
              <w:spacing w:after="0"/>
              <w:rPr>
                <w:sz w:val="13"/>
                <w:szCs w:val="13"/>
                <w:color w:val="auto"/>
              </w:rPr>
            </w:pPr>
          </w:p>
        </w:tc>
        <w:tc>
          <w:tcPr>
            <w:tcW w:w="1500" w:type="dxa"/>
            <w:vAlign w:val="bottom"/>
            <w:gridSpan w:val="2"/>
          </w:tcPr>
          <w:p>
            <w:pPr>
              <w:jc w:val="right"/>
              <w:ind w:right="740"/>
              <w:spacing w:after="0" w:line="159" w:lineRule="exact"/>
              <w:rPr>
                <w:sz w:val="20"/>
                <w:szCs w:val="20"/>
                <w:color w:val="auto"/>
              </w:rPr>
            </w:pPr>
            <w:r>
              <w:rPr>
                <w:rFonts w:ascii="Arial" w:cs="Arial" w:eastAsia="Arial" w:hAnsi="Arial"/>
                <w:sz w:val="14"/>
                <w:szCs w:val="14"/>
                <w:color w:val="auto"/>
              </w:rPr>
              <w:t>35,802</w:t>
            </w:r>
          </w:p>
        </w:tc>
        <w:tc>
          <w:tcPr>
            <w:tcW w:w="80" w:type="dxa"/>
            <w:vAlign w:val="bottom"/>
          </w:tcPr>
          <w:p>
            <w:pPr>
              <w:spacing w:after="0"/>
              <w:rPr>
                <w:sz w:val="13"/>
                <w:szCs w:val="13"/>
                <w:color w:val="auto"/>
              </w:rPr>
            </w:pPr>
          </w:p>
        </w:tc>
        <w:tc>
          <w:tcPr>
            <w:tcW w:w="1500" w:type="dxa"/>
            <w:vAlign w:val="bottom"/>
            <w:gridSpan w:val="2"/>
          </w:tcPr>
          <w:p>
            <w:pPr>
              <w:jc w:val="right"/>
              <w:ind w:right="720"/>
              <w:spacing w:after="0" w:line="159" w:lineRule="exact"/>
              <w:rPr>
                <w:sz w:val="20"/>
                <w:szCs w:val="20"/>
                <w:color w:val="auto"/>
              </w:rPr>
            </w:pPr>
            <w:r>
              <w:rPr>
                <w:rFonts w:ascii="Arial" w:cs="Arial" w:eastAsia="Arial" w:hAnsi="Arial"/>
                <w:sz w:val="14"/>
                <w:szCs w:val="14"/>
                <w:color w:val="auto"/>
              </w:rPr>
              <w:t>(40,703)</w:t>
            </w:r>
          </w:p>
        </w:tc>
        <w:tc>
          <w:tcPr>
            <w:tcW w:w="80" w:type="dxa"/>
            <w:vAlign w:val="bottom"/>
          </w:tcPr>
          <w:p>
            <w:pPr>
              <w:spacing w:after="0"/>
              <w:rPr>
                <w:sz w:val="13"/>
                <w:szCs w:val="13"/>
                <w:color w:val="auto"/>
              </w:rPr>
            </w:pPr>
          </w:p>
        </w:tc>
        <w:tc>
          <w:tcPr>
            <w:tcW w:w="12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(16,699)</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1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Net asset value (at period end)</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11.14</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10.69</w:t>
            </w:r>
          </w:p>
        </w:tc>
        <w:tc>
          <w:tcPr>
            <w:tcW w:w="80" w:type="dxa"/>
            <w:vAlign w:val="bottom"/>
          </w:tcPr>
          <w:p>
            <w:pPr>
              <w:spacing w:after="0"/>
              <w:rPr>
                <w:sz w:val="12"/>
                <w:szCs w:val="12"/>
                <w:color w:val="auto"/>
              </w:rPr>
            </w:pPr>
          </w:p>
        </w:tc>
        <w:tc>
          <w:tcPr>
            <w:tcW w:w="15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11.85</w:t>
            </w:r>
          </w:p>
        </w:tc>
        <w:tc>
          <w:tcPr>
            <w:tcW w:w="80" w:type="dxa"/>
            <w:vAlign w:val="bottom"/>
          </w:tcPr>
          <w:p>
            <w:pPr>
              <w:spacing w:after="0"/>
              <w:rPr>
                <w:sz w:val="12"/>
                <w:szCs w:val="12"/>
                <w:color w:val="auto"/>
              </w:rPr>
            </w:pPr>
          </w:p>
        </w:tc>
        <w:tc>
          <w:tcPr>
            <w:tcW w:w="150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10.00</w:t>
            </w: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12.83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investment income</w:t>
            </w:r>
            <w:r>
              <w:rPr>
                <w:rFonts w:ascii="Arial" w:cs="Arial" w:eastAsia="Arial" w:hAnsi="Arial"/>
                <w:sz w:val="17"/>
                <w:szCs w:val="17"/>
                <w:color w:val="auto"/>
                <w:vertAlign w:val="superscript"/>
              </w:rPr>
              <w:t>(1)</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0.88</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1"/>
                <w:szCs w:val="11"/>
                <w:color w:val="auto"/>
              </w:rPr>
              <w:t>Net realized and unrealized gain (loss)</w:t>
            </w:r>
            <w:r>
              <w:rPr>
                <w:rFonts w:ascii="Arial" w:cs="Arial" w:eastAsia="Arial" w:hAnsi="Arial"/>
                <w:sz w:val="17"/>
                <w:szCs w:val="17"/>
                <w:color w:val="auto"/>
                <w:vertAlign w:val="superscript"/>
              </w:rPr>
              <w:t>(1)</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0.40</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(0.53)</w:t>
            </w:r>
          </w:p>
        </w:tc>
        <w:tc>
          <w:tcPr>
            <w:tcW w:w="80" w:type="dxa"/>
            <w:vAlign w:val="bottom"/>
          </w:tcPr>
          <w:p>
            <w:pPr>
              <w:spacing w:after="0"/>
              <w:rPr>
                <w:sz w:val="12"/>
                <w:szCs w:val="12"/>
                <w:color w:val="auto"/>
              </w:rPr>
            </w:pPr>
          </w:p>
        </w:tc>
        <w:tc>
          <w:tcPr>
            <w:tcW w:w="15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0.62</w:t>
            </w:r>
          </w:p>
        </w:tc>
        <w:tc>
          <w:tcPr>
            <w:tcW w:w="80" w:type="dxa"/>
            <w:vAlign w:val="bottom"/>
          </w:tcPr>
          <w:p>
            <w:pPr>
              <w:spacing w:after="0"/>
              <w:rPr>
                <w:sz w:val="12"/>
                <w:szCs w:val="12"/>
                <w:color w:val="auto"/>
              </w:rPr>
            </w:pP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(2.81)</w:t>
            </w:r>
          </w:p>
        </w:tc>
        <w:tc>
          <w:tcPr>
            <w:tcW w:w="8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22"/>
        </w:trPr>
        <w:tc>
          <w:tcPr>
            <w:tcW w:w="342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Net increase (decrease) in net assets resulting from</w:t>
            </w:r>
          </w:p>
        </w:tc>
        <w:tc>
          <w:tcPr>
            <w:tcW w:w="1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420" w:type="dxa"/>
            <w:vAlign w:val="bottom"/>
            <w:shd w:val="clear" w:color="auto" w:fill="CCEEFF"/>
          </w:tcPr>
          <w:p>
            <w:pPr>
              <w:ind w:left="220"/>
              <w:spacing w:after="0" w:line="176" w:lineRule="exact"/>
              <w:rPr>
                <w:sz w:val="20"/>
                <w:szCs w:val="20"/>
                <w:color w:val="auto"/>
              </w:rPr>
            </w:pPr>
            <w:r>
              <w:rPr>
                <w:rFonts w:ascii="Arial" w:cs="Arial" w:eastAsia="Arial" w:hAnsi="Arial"/>
                <w:sz w:val="13"/>
                <w:szCs w:val="13"/>
                <w:color w:val="auto"/>
              </w:rPr>
              <w:t>operations</w:t>
            </w:r>
            <w:r>
              <w:rPr>
                <w:rFonts w:ascii="Arial" w:cs="Arial" w:eastAsia="Arial" w:hAnsi="Arial"/>
                <w:sz w:val="20"/>
                <w:szCs w:val="20"/>
                <w:color w:val="auto"/>
                <w:vertAlign w:val="superscript"/>
              </w:rPr>
              <w:t>(1)</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0.71</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4"/>
                <w:szCs w:val="14"/>
                <w:color w:val="auto"/>
              </w:rPr>
              <w:t>0.56</w:t>
            </w: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4"/>
                <w:szCs w:val="14"/>
                <w:color w:val="auto"/>
              </w:rPr>
              <w:t>1.70</w:t>
            </w: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1"/>
                <w:szCs w:val="11"/>
                <w:color w:val="auto"/>
              </w:rPr>
              <w:t>Distributions declared</w:t>
            </w:r>
            <w:r>
              <w:rPr>
                <w:rFonts w:ascii="Arial" w:cs="Arial" w:eastAsia="Arial" w:hAnsi="Arial"/>
                <w:sz w:val="17"/>
                <w:szCs w:val="17"/>
                <w:color w:val="auto"/>
                <w:vertAlign w:val="superscript"/>
              </w:rPr>
              <w:t>(1),(5)</w:t>
            </w:r>
          </w:p>
        </w:tc>
        <w:tc>
          <w:tcPr>
            <w:tcW w:w="19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(0.26)</w:t>
            </w:r>
          </w:p>
        </w:tc>
        <w:tc>
          <w:tcPr>
            <w:tcW w:w="80" w:type="dxa"/>
            <w:vAlign w:val="bottom"/>
          </w:tcPr>
          <w:p>
            <w:pPr>
              <w:spacing w:after="0"/>
              <w:rPr>
                <w:sz w:val="12"/>
                <w:szCs w:val="12"/>
                <w:color w:val="auto"/>
              </w:rPr>
            </w:pPr>
          </w:p>
        </w:tc>
        <w:tc>
          <w:tcPr>
            <w:tcW w:w="14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(1.09)</w:t>
            </w:r>
          </w:p>
        </w:tc>
        <w:tc>
          <w:tcPr>
            <w:tcW w:w="80" w:type="dxa"/>
            <w:vAlign w:val="bottom"/>
          </w:tcPr>
          <w:p>
            <w:pPr>
              <w:spacing w:after="0"/>
              <w:rPr>
                <w:sz w:val="12"/>
                <w:szCs w:val="12"/>
                <w:color w:val="auto"/>
              </w:rPr>
            </w:pPr>
          </w:p>
        </w:tc>
        <w:tc>
          <w:tcPr>
            <w:tcW w:w="15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(0.96)</w:t>
            </w:r>
          </w:p>
        </w:tc>
        <w:tc>
          <w:tcPr>
            <w:tcW w:w="80" w:type="dxa"/>
            <w:vAlign w:val="bottom"/>
          </w:tcPr>
          <w:p>
            <w:pPr>
              <w:spacing w:after="0"/>
              <w:rPr>
                <w:sz w:val="12"/>
                <w:szCs w:val="12"/>
                <w:color w:val="auto"/>
              </w:rPr>
            </w:pP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(0.90)</w:t>
            </w:r>
          </w:p>
        </w:tc>
        <w:tc>
          <w:tcPr>
            <w:tcW w:w="8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 (at period end):</w:t>
            </w:r>
          </w:p>
        </w:tc>
        <w:tc>
          <w:tcPr>
            <w:tcW w:w="1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717,319</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711,494</w:t>
            </w:r>
          </w:p>
        </w:tc>
        <w:tc>
          <w:tcPr>
            <w:tcW w:w="80" w:type="dxa"/>
            <w:vAlign w:val="bottom"/>
          </w:tcPr>
          <w:p>
            <w:pPr>
              <w:spacing w:after="0"/>
              <w:rPr>
                <w:sz w:val="12"/>
                <w:szCs w:val="12"/>
                <w:color w:val="auto"/>
              </w:rPr>
            </w:pPr>
          </w:p>
        </w:tc>
        <w:tc>
          <w:tcPr>
            <w:tcW w:w="15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512,381</w:t>
            </w:r>
          </w:p>
        </w:tc>
        <w:tc>
          <w:tcPr>
            <w:tcW w:w="80" w:type="dxa"/>
            <w:vAlign w:val="bottom"/>
          </w:tcPr>
          <w:p>
            <w:pPr>
              <w:spacing w:after="0"/>
              <w:rPr>
                <w:sz w:val="12"/>
                <w:szCs w:val="12"/>
                <w:color w:val="auto"/>
              </w:rPr>
            </w:pPr>
          </w:p>
        </w:tc>
        <w:tc>
          <w:tcPr>
            <w:tcW w:w="150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419,811</w:t>
            </w: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555,008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portfolio</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704,268</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664,724</w:t>
            </w: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469,760</w:t>
            </w: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372,148</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291,017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Borrowings outstanding</w:t>
            </w:r>
          </w:p>
        </w:tc>
        <w:tc>
          <w:tcPr>
            <w:tcW w:w="1960" w:type="dxa"/>
            <w:vAlign w:val="bottom"/>
            <w:gridSpan w:val="2"/>
          </w:tcPr>
          <w:p>
            <w:pPr>
              <w:jc w:val="right"/>
              <w:ind w:right="640"/>
              <w:spacing w:after="0" w:line="149" w:lineRule="exact"/>
              <w:rPr>
                <w:sz w:val="20"/>
                <w:szCs w:val="20"/>
                <w:color w:val="auto"/>
              </w:rPr>
            </w:pPr>
            <w:r>
              <w:rPr>
                <w:rFonts w:ascii="Arial" w:cs="Arial" w:eastAsia="Arial" w:hAnsi="Arial"/>
                <w:sz w:val="11"/>
                <w:szCs w:val="11"/>
                <w:color w:val="auto"/>
              </w:rPr>
              <w:t>278,446</w:t>
            </w:r>
            <w:r>
              <w:rPr>
                <w:rFonts w:ascii="Arial" w:cs="Arial" w:eastAsia="Arial" w:hAnsi="Arial"/>
                <w:sz w:val="17"/>
                <w:szCs w:val="17"/>
                <w:color w:val="auto"/>
                <w:vertAlign w:val="superscript"/>
              </w:rPr>
              <w:t>(4)</w:t>
            </w:r>
          </w:p>
        </w:tc>
        <w:tc>
          <w:tcPr>
            <w:tcW w:w="80" w:type="dxa"/>
            <w:vAlign w:val="bottom"/>
          </w:tcPr>
          <w:p>
            <w:pPr>
              <w:spacing w:after="0"/>
              <w:rPr>
                <w:sz w:val="12"/>
                <w:szCs w:val="12"/>
                <w:color w:val="auto"/>
              </w:rPr>
            </w:pPr>
          </w:p>
        </w:tc>
        <w:tc>
          <w:tcPr>
            <w:tcW w:w="1480" w:type="dxa"/>
            <w:vAlign w:val="bottom"/>
            <w:gridSpan w:val="2"/>
          </w:tcPr>
          <w:p>
            <w:pPr>
              <w:jc w:val="right"/>
              <w:ind w:right="600"/>
              <w:spacing w:after="0" w:line="149" w:lineRule="exact"/>
              <w:rPr>
                <w:sz w:val="20"/>
                <w:szCs w:val="20"/>
                <w:color w:val="auto"/>
              </w:rPr>
            </w:pPr>
            <w:r>
              <w:rPr>
                <w:rFonts w:ascii="Arial" w:cs="Arial" w:eastAsia="Arial" w:hAnsi="Arial"/>
                <w:sz w:val="11"/>
                <w:szCs w:val="11"/>
                <w:color w:val="auto"/>
              </w:rPr>
              <w:t>233,641</w:t>
            </w:r>
            <w:r>
              <w:rPr>
                <w:rFonts w:ascii="Arial" w:cs="Arial" w:eastAsia="Arial" w:hAnsi="Arial"/>
                <w:sz w:val="17"/>
                <w:szCs w:val="17"/>
                <w:color w:val="auto"/>
                <w:vertAlign w:val="superscript"/>
              </w:rPr>
              <w:t>(4)</w:t>
            </w:r>
          </w:p>
        </w:tc>
        <w:tc>
          <w:tcPr>
            <w:tcW w:w="80" w:type="dxa"/>
            <w:vAlign w:val="bottom"/>
          </w:tcPr>
          <w:p>
            <w:pPr>
              <w:spacing w:after="0"/>
              <w:rPr>
                <w:sz w:val="12"/>
                <w:szCs w:val="12"/>
                <w:color w:val="auto"/>
              </w:rPr>
            </w:pPr>
          </w:p>
        </w:tc>
        <w:tc>
          <w:tcPr>
            <w:tcW w:w="1500" w:type="dxa"/>
            <w:vAlign w:val="bottom"/>
            <w:gridSpan w:val="2"/>
          </w:tcPr>
          <w:p>
            <w:pPr>
              <w:jc w:val="right"/>
              <w:ind w:right="620"/>
              <w:spacing w:after="0" w:line="149" w:lineRule="exact"/>
              <w:rPr>
                <w:sz w:val="20"/>
                <w:szCs w:val="20"/>
                <w:color w:val="auto"/>
              </w:rPr>
            </w:pPr>
            <w:r>
              <w:rPr>
                <w:rFonts w:ascii="Arial" w:cs="Arial" w:eastAsia="Arial" w:hAnsi="Arial"/>
                <w:sz w:val="11"/>
                <w:szCs w:val="11"/>
                <w:color w:val="auto"/>
              </w:rPr>
              <w:t>175,475</w:t>
            </w:r>
            <w:r>
              <w:rPr>
                <w:rFonts w:ascii="Arial" w:cs="Arial" w:eastAsia="Arial" w:hAnsi="Arial"/>
                <w:sz w:val="17"/>
                <w:szCs w:val="17"/>
                <w:color w:val="auto"/>
                <w:vertAlign w:val="superscript"/>
              </w:rPr>
              <w:t>(4)</w:t>
            </w:r>
          </w:p>
        </w:tc>
        <w:tc>
          <w:tcPr>
            <w:tcW w:w="80" w:type="dxa"/>
            <w:vAlign w:val="bottom"/>
          </w:tcPr>
          <w:p>
            <w:pPr>
              <w:spacing w:after="0"/>
              <w:rPr>
                <w:sz w:val="12"/>
                <w:szCs w:val="12"/>
                <w:color w:val="auto"/>
              </w:rPr>
            </w:pPr>
          </w:p>
        </w:tc>
        <w:tc>
          <w:tcPr>
            <w:tcW w:w="150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202,000</w:t>
            </w: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and unfunded investments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18,580</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74,988</w:t>
            </w: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25,821</w:t>
            </w: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273,339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Total net asset value</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403,391</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386,575</w:t>
            </w:r>
          </w:p>
        </w:tc>
        <w:tc>
          <w:tcPr>
            <w:tcW w:w="80" w:type="dxa"/>
            <w:vAlign w:val="bottom"/>
          </w:tcPr>
          <w:p>
            <w:pPr>
              <w:spacing w:after="0"/>
              <w:rPr>
                <w:sz w:val="12"/>
                <w:szCs w:val="12"/>
                <w:color w:val="auto"/>
              </w:rPr>
            </w:pPr>
          </w:p>
        </w:tc>
        <w:tc>
          <w:tcPr>
            <w:tcW w:w="15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300,580</w:t>
            </w:r>
          </w:p>
        </w:tc>
        <w:tc>
          <w:tcPr>
            <w:tcW w:w="80" w:type="dxa"/>
            <w:vAlign w:val="bottom"/>
          </w:tcPr>
          <w:p>
            <w:pPr>
              <w:spacing w:after="0"/>
              <w:rPr>
                <w:sz w:val="12"/>
                <w:szCs w:val="12"/>
                <w:color w:val="auto"/>
              </w:rPr>
            </w:pPr>
          </w:p>
        </w:tc>
        <w:tc>
          <w:tcPr>
            <w:tcW w:w="150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210,728</w:t>
            </w: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270,393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1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1"/>
                <w:szCs w:val="11"/>
                <w:color w:val="auto"/>
              </w:rPr>
              <w:t>Total return</w:t>
            </w:r>
            <w:r>
              <w:rPr>
                <w:rFonts w:ascii="Arial" w:cs="Arial" w:eastAsia="Arial" w:hAnsi="Arial"/>
                <w:sz w:val="17"/>
                <w:szCs w:val="17"/>
                <w:color w:val="auto"/>
                <w:vertAlign w:val="superscript"/>
              </w:rPr>
              <w:t>(2)</w:t>
            </w:r>
          </w:p>
        </w:tc>
        <w:tc>
          <w:tcPr>
            <w:tcW w:w="19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17.91%</w:t>
            </w:r>
          </w:p>
        </w:tc>
        <w:tc>
          <w:tcPr>
            <w:tcW w:w="80" w:type="dxa"/>
            <w:vAlign w:val="bottom"/>
          </w:tcPr>
          <w:p>
            <w:pPr>
              <w:spacing w:after="0"/>
              <w:rPr>
                <w:sz w:val="12"/>
                <w:szCs w:val="12"/>
                <w:color w:val="auto"/>
              </w:rPr>
            </w:pPr>
          </w:p>
        </w:tc>
        <w:tc>
          <w:tcPr>
            <w:tcW w:w="14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44.79%</w:t>
            </w:r>
          </w:p>
        </w:tc>
        <w:tc>
          <w:tcPr>
            <w:tcW w:w="80" w:type="dxa"/>
            <w:vAlign w:val="bottom"/>
          </w:tcPr>
          <w:p>
            <w:pPr>
              <w:spacing w:after="0"/>
              <w:rPr>
                <w:sz w:val="12"/>
                <w:szCs w:val="12"/>
                <w:color w:val="auto"/>
              </w:rPr>
            </w:pPr>
          </w:p>
        </w:tc>
        <w:tc>
          <w:tcPr>
            <w:tcW w:w="15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30.39%</w:t>
            </w:r>
          </w:p>
        </w:tc>
        <w:tc>
          <w:tcPr>
            <w:tcW w:w="80" w:type="dxa"/>
            <w:vAlign w:val="bottom"/>
          </w:tcPr>
          <w:p>
            <w:pPr>
              <w:spacing w:after="0"/>
              <w:rPr>
                <w:sz w:val="12"/>
                <w:szCs w:val="12"/>
                <w:color w:val="auto"/>
              </w:rPr>
            </w:pPr>
          </w:p>
        </w:tc>
        <w:tc>
          <w:tcPr>
            <w:tcW w:w="15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(38.58)%</w:t>
            </w:r>
          </w:p>
        </w:tc>
        <w:tc>
          <w:tcPr>
            <w:tcW w:w="8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Number of portfolio companies (at period end)</w:t>
            </w:r>
            <w:r>
              <w:rPr>
                <w:rFonts w:ascii="Arial" w:cs="Arial" w:eastAsia="Arial" w:hAnsi="Arial"/>
                <w:sz w:val="17"/>
                <w:szCs w:val="17"/>
                <w:color w:val="auto"/>
                <w:vertAlign w:val="superscript"/>
              </w:rPr>
              <w:t>(3)</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3420" w:type="dxa"/>
            <w:vAlign w:val="bottom"/>
          </w:tcPr>
          <w:p>
            <w:pPr>
              <w:spacing w:after="0"/>
              <w:rPr>
                <w:sz w:val="20"/>
                <w:szCs w:val="20"/>
                <w:color w:val="auto"/>
              </w:rPr>
            </w:pPr>
            <w:r>
              <w:rPr>
                <w:rFonts w:ascii="Arial" w:cs="Arial" w:eastAsia="Arial" w:hAnsi="Arial"/>
                <w:sz w:val="14"/>
                <w:szCs w:val="14"/>
                <w:color w:val="auto"/>
              </w:rPr>
              <w:t>Yield on debt portfolio (at period end)</w:t>
            </w:r>
            <w:r>
              <w:rPr>
                <w:rFonts w:ascii="Arial" w:cs="Arial" w:eastAsia="Arial" w:hAnsi="Arial"/>
                <w:sz w:val="22"/>
                <w:szCs w:val="22"/>
                <w:color w:val="auto"/>
                <w:vertAlign w:val="superscript"/>
              </w:rPr>
              <w:t>(3)</w:t>
            </w:r>
          </w:p>
        </w:tc>
        <w:tc>
          <w:tcPr>
            <w:tcW w:w="1960" w:type="dxa"/>
            <w:vAlign w:val="bottom"/>
            <w:gridSpan w:val="2"/>
          </w:tcPr>
          <w:p>
            <w:pPr>
              <w:jc w:val="right"/>
              <w:ind w:right="660"/>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24"/>
                <w:szCs w:val="2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24"/>
                <w:szCs w:val="2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24"/>
                <w:szCs w:val="2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340" w:hanging="332"/>
        <w:spacing w:after="0" w:line="230"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ind w:left="340" w:right="18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taking into account dividends and distributions, if any, reinvested in accordance with our dividend reinvestment plan. Total return is not annualized for a period less than one year.</w:t>
      </w:r>
    </w:p>
    <w:p>
      <w:pPr>
        <w:ind w:left="3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Unaudited.</w:t>
      </w:r>
    </w:p>
    <w:p>
      <w:pPr>
        <w:ind w:left="3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At fair value in the case of our credit facility.</w:t>
      </w:r>
    </w:p>
    <w:p>
      <w:pPr>
        <w:ind w:left="340" w:hanging="332"/>
        <w:spacing w:after="0"/>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Determined based on taxable income calculated in accordance with income tax regulations which may differ from amounts determined under U.S. generally accepted accounting principles.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2011</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6"/>
              </w:rPr>
              <w:t>Q1</w:t>
            </w:r>
          </w:p>
        </w:tc>
        <w:tc>
          <w:tcPr>
            <w:tcW w:w="80" w:type="dxa"/>
            <w:vAlign w:val="bottom"/>
          </w:tcPr>
          <w:p>
            <w:pPr>
              <w:spacing w:after="0"/>
              <w:rPr>
                <w:sz w:val="12"/>
                <w:szCs w:val="12"/>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$19,979</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investment income</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7"/>
          </w:tcPr>
          <w:p>
            <w:pPr>
              <w:jc w:val="right"/>
              <w:ind w:right="20"/>
              <w:spacing w:after="0"/>
              <w:rPr>
                <w:sz w:val="20"/>
                <w:szCs w:val="20"/>
                <w:color w:val="auto"/>
              </w:rPr>
            </w:pPr>
            <w:r>
              <w:rPr>
                <w:rFonts w:ascii="Arial" w:cs="Arial" w:eastAsia="Arial" w:hAnsi="Arial"/>
                <w:sz w:val="18"/>
                <w:szCs w:val="18"/>
                <w:color w:val="auto"/>
              </w:rPr>
              <w:t>$11,171</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$14,351</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7"/>
          </w:tcPr>
          <w:p>
            <w:pPr>
              <w:jc w:val="right"/>
              <w:ind w:right="20"/>
              <w:spacing w:after="0"/>
              <w:rPr>
                <w:sz w:val="20"/>
                <w:szCs w:val="20"/>
                <w:color w:val="auto"/>
              </w:rPr>
            </w:pPr>
            <w:r>
              <w:rPr>
                <w:rFonts w:ascii="Arial" w:cs="Arial" w:eastAsia="Arial" w:hAnsi="Arial"/>
                <w:sz w:val="18"/>
                <w:szCs w:val="18"/>
                <w:color w:val="auto"/>
              </w:rPr>
              <w:t>$25,522</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11.14</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12.25</w:t>
            </w:r>
          </w:p>
        </w:tc>
        <w:tc>
          <w:tcPr>
            <w:tcW w:w="80" w:type="dxa"/>
            <w:vAlign w:val="bottom"/>
            <w:shd w:val="clear" w:color="auto" w:fill="CCEEFF"/>
          </w:tcPr>
          <w:p>
            <w:pPr>
              <w:spacing w:after="0"/>
              <w:rPr>
                <w:sz w:val="18"/>
                <w:szCs w:val="18"/>
                <w:color w:val="auto"/>
              </w:rPr>
            </w:pPr>
          </w:p>
        </w:tc>
      </w:tr>
      <w:tr>
        <w:trPr>
          <w:trHeight w:val="270"/>
        </w:trPr>
        <w:tc>
          <w:tcPr>
            <w:tcW w:w="5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142"/>
        </w:trPr>
        <w:tc>
          <w:tcPr>
            <w:tcW w:w="5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Q4</w:t>
            </w:r>
          </w:p>
        </w:tc>
        <w:tc>
          <w:tcPr>
            <w:tcW w:w="400" w:type="dxa"/>
            <w:vAlign w:val="bottom"/>
            <w:gridSpan w:val="3"/>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118"/>
              <w:spacing w:after="0" w:line="142" w:lineRule="exact"/>
              <w:rPr>
                <w:sz w:val="20"/>
                <w:szCs w:val="20"/>
                <w:color w:val="auto"/>
              </w:rPr>
            </w:pPr>
            <w:r>
              <w:rPr>
                <w:rFonts w:ascii="Arial" w:cs="Arial" w:eastAsia="Arial" w:hAnsi="Arial"/>
                <w:sz w:val="14"/>
                <w:szCs w:val="14"/>
                <w:b w:val="1"/>
                <w:bCs w:val="1"/>
                <w:color w:val="auto"/>
              </w:rPr>
              <w:t>Q3</w:t>
            </w:r>
          </w:p>
        </w:tc>
        <w:tc>
          <w:tcPr>
            <w:tcW w:w="600" w:type="dxa"/>
            <w:vAlign w:val="bottom"/>
            <w:gridSpan w:val="4"/>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Q2</w:t>
            </w:r>
          </w:p>
        </w:tc>
        <w:tc>
          <w:tcPr>
            <w:tcW w:w="320" w:type="dxa"/>
            <w:vAlign w:val="bottom"/>
            <w:gridSpan w:val="3"/>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6"/>
              </w:rPr>
              <w:t>Q1</w:t>
            </w:r>
          </w:p>
        </w:tc>
        <w:tc>
          <w:tcPr>
            <w:tcW w:w="80" w:type="dxa"/>
            <w:vAlign w:val="bottom"/>
          </w:tcPr>
          <w:p>
            <w:pPr>
              <w:spacing w:after="0"/>
              <w:rPr>
                <w:sz w:val="12"/>
                <w:szCs w:val="12"/>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580" w:type="dxa"/>
            <w:vAlign w:val="bottom"/>
            <w:gridSpan w:val="6"/>
            <w:shd w:val="clear" w:color="auto" w:fill="CCEEFF"/>
          </w:tcPr>
          <w:p>
            <w:pPr>
              <w:ind w:left="920"/>
              <w:spacing w:after="0"/>
              <w:rPr>
                <w:sz w:val="20"/>
                <w:szCs w:val="20"/>
                <w:color w:val="auto"/>
              </w:rPr>
            </w:pPr>
            <w:r>
              <w:rPr>
                <w:rFonts w:ascii="Arial" w:cs="Arial" w:eastAsia="Arial" w:hAnsi="Arial"/>
                <w:sz w:val="18"/>
                <w:szCs w:val="18"/>
                <w:color w:val="auto"/>
                <w:w w:val="98"/>
              </w:rPr>
              <w:t>$16,681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7"/>
            <w:shd w:val="clear" w:color="auto" w:fill="CCEEFF"/>
          </w:tcPr>
          <w:p>
            <w:pPr>
              <w:ind w:left="200"/>
              <w:spacing w:after="0"/>
              <w:rPr>
                <w:sz w:val="20"/>
                <w:szCs w:val="20"/>
                <w:color w:val="auto"/>
              </w:rPr>
            </w:pPr>
            <w:r>
              <w:rPr>
                <w:rFonts w:ascii="Arial" w:cs="Arial" w:eastAsia="Arial" w:hAnsi="Arial"/>
                <w:sz w:val="18"/>
                <w:szCs w:val="18"/>
                <w:color w:val="auto"/>
                <w:w w:val="89"/>
              </w:rPr>
              <w:t>$16,335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4"/>
              </w:rPr>
              <w:t>$ 13,525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$13,599</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0" w:type="dxa"/>
            <w:vAlign w:val="bottom"/>
            <w:gridSpan w:val="3"/>
          </w:tcPr>
          <w:p>
            <w:pPr>
              <w:ind w:left="92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8,957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4"/>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8,821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7,059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7,238</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580" w:type="dxa"/>
            <w:vAlign w:val="bottom"/>
            <w:gridSpan w:val="6"/>
            <w:shd w:val="clear" w:color="auto" w:fill="CCEEFF"/>
          </w:tcPr>
          <w:p>
            <w:pPr>
              <w:ind w:left="920"/>
              <w:spacing w:after="0"/>
              <w:rPr>
                <w:sz w:val="20"/>
                <w:szCs w:val="20"/>
                <w:color w:val="auto"/>
              </w:rPr>
            </w:pPr>
            <w:r>
              <w:rPr>
                <w:rFonts w:ascii="Arial" w:cs="Arial" w:eastAsia="Arial" w:hAnsi="Arial"/>
                <w:sz w:val="18"/>
                <w:szCs w:val="18"/>
                <w:color w:val="auto"/>
                <w:w w:val="88"/>
              </w:rPr>
              <w:t>$ (2,326)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w w:val="88"/>
              </w:rPr>
              <w:t>$ (4,561)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85"/>
              </w:rPr>
              <w:t>$ (10,090)</w:t>
            </w:r>
          </w:p>
        </w:tc>
        <w:tc>
          <w:tcPr>
            <w:tcW w:w="26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1,438</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0" w:type="dxa"/>
            <w:vAlign w:val="bottom"/>
            <w:gridSpan w:val="3"/>
          </w:tcPr>
          <w:p>
            <w:pPr>
              <w:ind w:left="92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6,630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4"/>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4,260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gridSpan w:val="5"/>
          </w:tcPr>
          <w:p>
            <w:pPr>
              <w:jc w:val="right"/>
              <w:spacing w:after="0"/>
              <w:rPr>
                <w:sz w:val="20"/>
                <w:szCs w:val="20"/>
                <w:color w:val="auto"/>
              </w:rPr>
            </w:pPr>
            <w:r>
              <w:rPr>
                <w:rFonts w:ascii="Arial" w:cs="Arial" w:eastAsia="Arial" w:hAnsi="Arial"/>
                <w:sz w:val="18"/>
                <w:szCs w:val="18"/>
                <w:color w:val="auto"/>
                <w:w w:val="91"/>
              </w:rPr>
              <w:t>(3,031)</w:t>
            </w:r>
          </w:p>
        </w:tc>
        <w:tc>
          <w:tcPr>
            <w:tcW w:w="260" w:type="dxa"/>
            <w:vAlign w:val="bottom"/>
          </w:tcPr>
          <w:p>
            <w:pPr>
              <w:spacing w:after="0"/>
              <w:rPr>
                <w:sz w:val="18"/>
                <w:szCs w:val="18"/>
                <w:color w:val="auto"/>
              </w:rPr>
            </w:pPr>
          </w:p>
        </w:tc>
        <w:tc>
          <w:tcPr>
            <w:tcW w:w="4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8,676</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0" w:type="dxa"/>
            <w:vAlign w:val="bottom"/>
            <w:gridSpan w:val="3"/>
            <w:shd w:val="clear" w:color="auto" w:fill="CCEEFF"/>
          </w:tcPr>
          <w:p>
            <w:pPr>
              <w:ind w:left="92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0.13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(0.11)</w:t>
            </w:r>
          </w:p>
        </w:tc>
        <w:tc>
          <w:tcPr>
            <w:tcW w:w="26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0" w:type="dxa"/>
            <w:vAlign w:val="bottom"/>
            <w:gridSpan w:val="3"/>
          </w:tcPr>
          <w:p>
            <w:pPr>
              <w:ind w:left="92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10.69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4"/>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10.94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11.07</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11.86</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0" w:type="dxa"/>
            <w:vAlign w:val="bottom"/>
            <w:gridSpan w:val="3"/>
            <w:shd w:val="clear" w:color="auto" w:fill="CCEEFF"/>
          </w:tcPr>
          <w:p>
            <w:pPr>
              <w:ind w:left="92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10.61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9.55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10.37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CEEFF"/>
          </w:tcPr>
          <w:p>
            <w:pPr>
              <w:spacing w:after="0"/>
              <w:rPr>
                <w:sz w:val="18"/>
                <w:szCs w:val="18"/>
                <w:color w:val="auto"/>
              </w:rPr>
            </w:pPr>
          </w:p>
        </w:tc>
      </w:tr>
      <w:tr>
        <w:trPr>
          <w:trHeight w:val="270"/>
        </w:trPr>
        <w:tc>
          <w:tcPr>
            <w:tcW w:w="5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42"/>
        </w:trPr>
        <w:tc>
          <w:tcPr>
            <w:tcW w:w="5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5"/>
              </w:rPr>
              <w:t>Q4</w:t>
            </w:r>
          </w:p>
        </w:tc>
        <w:tc>
          <w:tcPr>
            <w:tcW w:w="32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Q3</w:t>
            </w:r>
          </w:p>
        </w:tc>
        <w:tc>
          <w:tcPr>
            <w:tcW w:w="52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Q2</w:t>
            </w:r>
          </w:p>
        </w:tc>
        <w:tc>
          <w:tcPr>
            <w:tcW w:w="380" w:type="dxa"/>
            <w:vAlign w:val="bottom"/>
            <w:gridSpan w:val="4"/>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gridSpan w:val="2"/>
          </w:tcPr>
          <w:p>
            <w:pPr>
              <w:spacing w:after="0"/>
              <w:rPr>
                <w:sz w:val="12"/>
                <w:szCs w:val="12"/>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20" w:type="dxa"/>
            <w:vAlign w:val="bottom"/>
            <w:gridSpan w:val="7"/>
            <w:shd w:val="clear" w:color="auto" w:fill="CCEEFF"/>
          </w:tcPr>
          <w:p>
            <w:pPr>
              <w:jc w:val="center"/>
              <w:ind w:left="875"/>
              <w:spacing w:after="0"/>
              <w:rPr>
                <w:sz w:val="20"/>
                <w:szCs w:val="20"/>
                <w:color w:val="auto"/>
              </w:rPr>
            </w:pPr>
            <w:r>
              <w:rPr>
                <w:rFonts w:ascii="Arial" w:cs="Arial" w:eastAsia="Arial" w:hAnsi="Arial"/>
                <w:sz w:val="18"/>
                <w:szCs w:val="18"/>
                <w:color w:val="auto"/>
                <w:w w:val="89"/>
              </w:rPr>
              <w:t>$11,847</w:t>
            </w:r>
          </w:p>
        </w:tc>
        <w:tc>
          <w:tcPr>
            <w:tcW w:w="280" w:type="dxa"/>
            <w:vAlign w:val="bottom"/>
            <w:shd w:val="clear" w:color="auto" w:fill="CCEEFF"/>
          </w:tcPr>
          <w:p>
            <w:pPr>
              <w:spacing w:after="0"/>
              <w:rPr>
                <w:sz w:val="18"/>
                <w:szCs w:val="18"/>
                <w:color w:val="auto"/>
              </w:rPr>
            </w:pPr>
          </w:p>
        </w:tc>
        <w:tc>
          <w:tcPr>
            <w:tcW w:w="8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$10,770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9"/>
              </w:rPr>
              <w:t>$10,425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$ 12,077</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100" w:type="dxa"/>
            <w:vAlign w:val="bottom"/>
            <w:gridSpan w:val="4"/>
          </w:tcPr>
          <w:p>
            <w:pPr>
              <w:ind w:left="100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79"/>
              </w:rPr>
              <w:t>6,018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5,666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5,267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5,768</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580" w:type="dxa"/>
            <w:vAlign w:val="bottom"/>
            <w:gridSpan w:val="6"/>
            <w:shd w:val="clear" w:color="auto" w:fill="CCEEFF"/>
          </w:tcPr>
          <w:p>
            <w:pPr>
              <w:jc w:val="center"/>
              <w:ind w:left="915"/>
              <w:spacing w:after="0"/>
              <w:rPr>
                <w:sz w:val="20"/>
                <w:szCs w:val="20"/>
                <w:color w:val="auto"/>
              </w:rPr>
            </w:pPr>
            <w:r>
              <w:rPr>
                <w:rFonts w:ascii="Arial" w:cs="Arial" w:eastAsia="Arial" w:hAnsi="Arial"/>
                <w:sz w:val="18"/>
                <w:szCs w:val="18"/>
                <w:color w:val="auto"/>
                <w:w w:val="89"/>
              </w:rPr>
              <w:t>$20,162</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9"/>
            <w:shd w:val="clear" w:color="auto" w:fill="CCEEFF"/>
          </w:tcPr>
          <w:p>
            <w:pPr>
              <w:jc w:val="right"/>
              <w:ind w:right="60"/>
              <w:spacing w:after="0"/>
              <w:rPr>
                <w:sz w:val="20"/>
                <w:szCs w:val="20"/>
                <w:color w:val="auto"/>
              </w:rPr>
            </w:pPr>
            <w:r>
              <w:rPr>
                <w:rFonts w:ascii="Arial" w:cs="Arial" w:eastAsia="Arial" w:hAnsi="Arial"/>
                <w:sz w:val="18"/>
                <w:szCs w:val="18"/>
                <w:color w:val="auto"/>
              </w:rPr>
              <w:t>$ (6,486)</w:t>
            </w:r>
          </w:p>
        </w:tc>
        <w:tc>
          <w:tcPr>
            <w:tcW w:w="4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9"/>
              </w:rPr>
              <w:t>$36,932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580" w:type="dxa"/>
            <w:vAlign w:val="bottom"/>
            <w:gridSpan w:val="6"/>
          </w:tcPr>
          <w:p>
            <w:pPr>
              <w:jc w:val="center"/>
              <w:ind w:left="915"/>
              <w:spacing w:after="0"/>
              <w:rPr>
                <w:sz w:val="20"/>
                <w:szCs w:val="20"/>
                <w:color w:val="auto"/>
              </w:rPr>
            </w:pPr>
            <w:r>
              <w:rPr>
                <w:rFonts w:ascii="Arial" w:cs="Arial" w:eastAsia="Arial" w:hAnsi="Arial"/>
                <w:sz w:val="18"/>
                <w:szCs w:val="18"/>
                <w:color w:val="auto"/>
                <w:w w:val="89"/>
              </w:rPr>
              <w:t>$26,180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rPr>
              <w:t>(820)</w:t>
            </w:r>
          </w:p>
        </w:tc>
        <w:tc>
          <w:tcPr>
            <w:tcW w:w="40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Arial" w:cs="Arial" w:eastAsia="Arial" w:hAnsi="Arial"/>
                <w:sz w:val="18"/>
                <w:szCs w:val="18"/>
                <w:color w:val="auto"/>
                <w:w w:val="89"/>
              </w:rPr>
              <w:t>$42,199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8"/>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00" w:type="dxa"/>
            <w:vAlign w:val="bottom"/>
            <w:gridSpan w:val="4"/>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1.23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00" w:type="dxa"/>
            <w:vAlign w:val="bottom"/>
            <w:gridSpan w:val="4"/>
          </w:tcPr>
          <w:p>
            <w:pPr>
              <w:ind w:left="1000"/>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ind w:left="100"/>
              <w:spacing w:after="0"/>
              <w:rPr>
                <w:sz w:val="20"/>
                <w:szCs w:val="20"/>
                <w:color w:val="auto"/>
              </w:rPr>
            </w:pPr>
            <w:r>
              <w:rPr>
                <w:rFonts w:ascii="Arial" w:cs="Arial" w:eastAsia="Arial" w:hAnsi="Arial"/>
                <w:sz w:val="18"/>
                <w:szCs w:val="18"/>
                <w:color w:val="auto"/>
                <w:w w:val="88"/>
              </w:rPr>
              <w:t>11.85</w:t>
            </w:r>
          </w:p>
        </w:tc>
        <w:tc>
          <w:tcPr>
            <w:tcW w:w="280" w:type="dxa"/>
            <w:vAlign w:val="bottom"/>
          </w:tcPr>
          <w:p>
            <w:pPr>
              <w:spacing w:after="0"/>
              <w:rPr>
                <w:sz w:val="18"/>
                <w:szCs w:val="18"/>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11.72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12.00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10.24</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00" w:type="dxa"/>
            <w:vAlign w:val="bottom"/>
            <w:gridSpan w:val="4"/>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1"/>
              </w:rPr>
              <w:t>8.11</w:t>
            </w:r>
          </w:p>
        </w:tc>
        <w:tc>
          <w:tcPr>
            <w:tcW w:w="280" w:type="dxa"/>
            <w:vAlign w:val="bottom"/>
            <w:shd w:val="clear" w:color="auto" w:fill="CCEEFF"/>
          </w:tcPr>
          <w:p>
            <w:pPr>
              <w:spacing w:after="0"/>
              <w:rPr>
                <w:sz w:val="18"/>
                <w:szCs w:val="18"/>
                <w:color w:val="auto"/>
              </w:rPr>
            </w:pPr>
          </w:p>
        </w:tc>
        <w:tc>
          <w:tcPr>
            <w:tcW w:w="4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r>
      <w:tr>
        <w:trPr>
          <w:trHeight w:val="270"/>
        </w:trPr>
        <w:tc>
          <w:tcPr>
            <w:tcW w:w="5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42"/>
        </w:trPr>
        <w:tc>
          <w:tcPr>
            <w:tcW w:w="5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Q4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5"/>
              </w:rPr>
              <w:t>Q3</w:t>
            </w:r>
          </w:p>
        </w:tc>
        <w:tc>
          <w:tcPr>
            <w:tcW w:w="5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Q2</w:t>
            </w:r>
          </w:p>
        </w:tc>
        <w:tc>
          <w:tcPr>
            <w:tcW w:w="3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gridSpan w:val="2"/>
          </w:tcPr>
          <w:p>
            <w:pPr>
              <w:spacing w:after="0"/>
              <w:rPr>
                <w:sz w:val="12"/>
                <w:szCs w:val="12"/>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900" w:type="dxa"/>
            <w:vAlign w:val="bottom"/>
            <w:gridSpan w:val="8"/>
            <w:shd w:val="clear" w:color="auto" w:fill="CCEEFF"/>
          </w:tcPr>
          <w:p>
            <w:pPr>
              <w:jc w:val="right"/>
              <w:ind w:right="280"/>
              <w:spacing w:after="0"/>
              <w:rPr>
                <w:sz w:val="20"/>
                <w:szCs w:val="20"/>
                <w:color w:val="auto"/>
              </w:rPr>
            </w:pPr>
            <w:r>
              <w:rPr>
                <w:rFonts w:ascii="Arial" w:cs="Arial" w:eastAsia="Arial" w:hAnsi="Arial"/>
                <w:sz w:val="18"/>
                <w:szCs w:val="18"/>
                <w:color w:val="auto"/>
              </w:rPr>
              <w:t>$ 11,431</w:t>
            </w: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9,662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9,714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9,004</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100" w:type="dxa"/>
            <w:vAlign w:val="bottom"/>
            <w:gridSpan w:val="4"/>
          </w:tcPr>
          <w:p>
            <w:pPr>
              <w:ind w:left="980"/>
              <w:spacing w:after="0"/>
              <w:rPr>
                <w:sz w:val="20"/>
                <w:szCs w:val="20"/>
                <w:color w:val="auto"/>
              </w:rPr>
            </w:pPr>
            <w:r>
              <w:rPr>
                <w:rFonts w:ascii="Arial" w:cs="Arial" w:eastAsia="Arial" w:hAnsi="Arial"/>
                <w:sz w:val="18"/>
                <w:szCs w:val="18"/>
                <w:color w:val="auto"/>
                <w:w w:val="99"/>
              </w:rPr>
              <w:t>$</w:t>
            </w:r>
          </w:p>
        </w:tc>
        <w:tc>
          <w:tcPr>
            <w:tcW w:w="800" w:type="dxa"/>
            <w:vAlign w:val="bottom"/>
            <w:gridSpan w:val="4"/>
          </w:tcPr>
          <w:p>
            <w:pPr>
              <w:jc w:val="right"/>
              <w:ind w:right="280"/>
              <w:spacing w:after="0"/>
              <w:rPr>
                <w:sz w:val="20"/>
                <w:szCs w:val="20"/>
                <w:color w:val="auto"/>
              </w:rPr>
            </w:pPr>
            <w:r>
              <w:rPr>
                <w:rFonts w:ascii="Arial" w:cs="Arial" w:eastAsia="Arial" w:hAnsi="Arial"/>
                <w:sz w:val="18"/>
                <w:szCs w:val="18"/>
                <w:color w:val="auto"/>
              </w:rPr>
              <w:t>5,434</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79"/>
              </w:rPr>
              <w:t>3,941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4,449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4,732</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900" w:type="dxa"/>
            <w:vAlign w:val="bottom"/>
            <w:gridSpan w:val="8"/>
            <w:shd w:val="clear" w:color="auto" w:fill="CCEEFF"/>
          </w:tcPr>
          <w:p>
            <w:pPr>
              <w:jc w:val="right"/>
              <w:ind w:right="220"/>
              <w:spacing w:after="0"/>
              <w:rPr>
                <w:sz w:val="20"/>
                <w:szCs w:val="20"/>
                <w:color w:val="auto"/>
              </w:rPr>
            </w:pPr>
            <w:r>
              <w:rPr>
                <w:rFonts w:ascii="Arial" w:cs="Arial" w:eastAsia="Arial" w:hAnsi="Arial"/>
                <w:sz w:val="18"/>
                <w:szCs w:val="18"/>
                <w:color w:val="auto"/>
              </w:rPr>
              <w:t>$ (16,475)</w:t>
            </w:r>
          </w:p>
        </w:tc>
        <w:tc>
          <w:tcPr>
            <w:tcW w:w="8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$11,263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 (37,778)</w:t>
            </w:r>
          </w:p>
        </w:tc>
        <w:tc>
          <w:tcPr>
            <w:tcW w:w="96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900" w:type="dxa"/>
            <w:vAlign w:val="bottom"/>
            <w:gridSpan w:val="8"/>
          </w:tcPr>
          <w:p>
            <w:pPr>
              <w:jc w:val="right"/>
              <w:ind w:right="220"/>
              <w:spacing w:after="0"/>
              <w:rPr>
                <w:sz w:val="20"/>
                <w:szCs w:val="20"/>
                <w:color w:val="auto"/>
              </w:rPr>
            </w:pPr>
            <w:r>
              <w:rPr>
                <w:rFonts w:ascii="Arial" w:cs="Arial" w:eastAsia="Arial" w:hAnsi="Arial"/>
                <w:sz w:val="18"/>
                <w:szCs w:val="18"/>
                <w:color w:val="auto"/>
              </w:rPr>
              <w:t>$ (11,041)</w:t>
            </w:r>
          </w:p>
        </w:tc>
        <w:tc>
          <w:tcPr>
            <w:tcW w:w="800" w:type="dxa"/>
            <w:vAlign w:val="bottom"/>
            <w:gridSpan w:val="7"/>
          </w:tcPr>
          <w:p>
            <w:pPr>
              <w:jc w:val="right"/>
              <w:spacing w:after="0"/>
              <w:rPr>
                <w:sz w:val="20"/>
                <w:szCs w:val="20"/>
                <w:color w:val="auto"/>
              </w:rPr>
            </w:pPr>
            <w:r>
              <w:rPr>
                <w:rFonts w:ascii="Arial" w:cs="Arial" w:eastAsia="Arial" w:hAnsi="Arial"/>
                <w:sz w:val="18"/>
                <w:szCs w:val="18"/>
                <w:color w:val="auto"/>
              </w:rPr>
              <w:t>$15,204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8"/>
          </w:tcPr>
          <w:p>
            <w:pPr>
              <w:ind w:left="20"/>
              <w:spacing w:after="0"/>
              <w:rPr>
                <w:sz w:val="20"/>
                <w:szCs w:val="20"/>
                <w:color w:val="auto"/>
              </w:rPr>
            </w:pPr>
            <w:r>
              <w:rPr>
                <w:rFonts w:ascii="Arial" w:cs="Arial" w:eastAsia="Arial" w:hAnsi="Arial"/>
                <w:sz w:val="18"/>
                <w:szCs w:val="18"/>
                <w:color w:val="auto"/>
              </w:rPr>
              <w:t>$ (33,329)</w:t>
            </w:r>
          </w:p>
        </w:tc>
        <w:tc>
          <w:tcPr>
            <w:tcW w:w="960" w:type="dxa"/>
            <w:vAlign w:val="bottom"/>
            <w:gridSpan w:val="8"/>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00" w:type="dxa"/>
            <w:vAlign w:val="bottom"/>
            <w:gridSpan w:val="4"/>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8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(0.53)</w:t>
            </w: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w w:val="93"/>
              </w:rPr>
              <w:t>(1.58)</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00" w:type="dxa"/>
            <w:vAlign w:val="bottom"/>
            <w:gridSpan w:val="4"/>
          </w:tcPr>
          <w:p>
            <w:pPr>
              <w:ind w:left="980"/>
              <w:spacing w:after="0"/>
              <w:rPr>
                <w:sz w:val="20"/>
                <w:szCs w:val="20"/>
                <w:color w:val="auto"/>
              </w:rPr>
            </w:pPr>
            <w:r>
              <w:rPr>
                <w:rFonts w:ascii="Arial" w:cs="Arial" w:eastAsia="Arial" w:hAnsi="Arial"/>
                <w:sz w:val="18"/>
                <w:szCs w:val="18"/>
                <w:color w:val="auto"/>
                <w:w w:val="99"/>
              </w:rPr>
              <w:t>$</w:t>
            </w:r>
          </w:p>
        </w:tc>
        <w:tc>
          <w:tcPr>
            <w:tcW w:w="800" w:type="dxa"/>
            <w:vAlign w:val="bottom"/>
            <w:gridSpan w:val="4"/>
          </w:tcPr>
          <w:p>
            <w:pPr>
              <w:jc w:val="right"/>
              <w:ind w:right="280"/>
              <w:spacing w:after="0"/>
              <w:rPr>
                <w:sz w:val="20"/>
                <w:szCs w:val="20"/>
                <w:color w:val="auto"/>
              </w:rPr>
            </w:pPr>
            <w:r>
              <w:rPr>
                <w:rFonts w:ascii="Arial" w:cs="Arial" w:eastAsia="Arial" w:hAnsi="Arial"/>
                <w:sz w:val="18"/>
                <w:szCs w:val="18"/>
                <w:color w:val="auto"/>
              </w:rPr>
              <w:t>10.00</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79"/>
              </w:rPr>
              <w:t>10.77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10.26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12.07</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00" w:type="dxa"/>
            <w:vAlign w:val="bottom"/>
            <w:gridSpan w:val="4"/>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8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7.41</w:t>
            </w: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10.02</w:t>
            </w:r>
          </w:p>
        </w:tc>
        <w:tc>
          <w:tcPr>
            <w:tcW w:w="80" w:type="dxa"/>
            <w:vAlign w:val="bottom"/>
            <w:shd w:val="clear" w:color="auto" w:fill="CCEEFF"/>
          </w:tcPr>
          <w:p>
            <w:pPr>
              <w:spacing w:after="0"/>
              <w:rPr>
                <w:sz w:val="18"/>
                <w:szCs w:val="18"/>
                <w:color w:val="auto"/>
              </w:rPr>
            </w:pPr>
          </w:p>
        </w:tc>
      </w:tr>
      <w:tr>
        <w:trPr>
          <w:trHeight w:val="270"/>
        </w:trPr>
        <w:tc>
          <w:tcPr>
            <w:tcW w:w="5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2007</w:t>
            </w: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42"/>
        </w:trPr>
        <w:tc>
          <w:tcPr>
            <w:tcW w:w="5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rPr>
              <w:t>Q4</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Q2*</w:t>
            </w:r>
          </w:p>
        </w:tc>
        <w:tc>
          <w:tcPr>
            <w:tcW w:w="140" w:type="dxa"/>
            <w:vAlign w:val="bottom"/>
            <w:gridSpan w:val="3"/>
          </w:tcPr>
          <w:p>
            <w:pPr>
              <w:spacing w:after="0"/>
              <w:rPr>
                <w:sz w:val="12"/>
                <w:szCs w:val="12"/>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w w:val="97"/>
              </w:rPr>
              <w:t>5,425</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4,348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5"/>
          </w:tcPr>
          <w:p>
            <w:pPr>
              <w:jc w:val="right"/>
              <w:ind w:right="260"/>
              <w:spacing w:after="0"/>
              <w:rPr>
                <w:sz w:val="20"/>
                <w:szCs w:val="20"/>
                <w:color w:val="auto"/>
              </w:rPr>
            </w:pPr>
            <w:r>
              <w:rPr>
                <w:rFonts w:ascii="Arial" w:cs="Arial" w:eastAsia="Arial" w:hAnsi="Arial"/>
                <w:sz w:val="18"/>
                <w:szCs w:val="18"/>
                <w:color w:val="auto"/>
                <w:w w:val="97"/>
              </w:rPr>
              <w:t>3,208</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ind w:right="80"/>
              <w:spacing w:after="0"/>
              <w:rPr>
                <w:sz w:val="20"/>
                <w:szCs w:val="20"/>
                <w:color w:val="auto"/>
              </w:rPr>
            </w:pPr>
            <w:r>
              <w:rPr>
                <w:rFonts w:ascii="Arial" w:cs="Arial" w:eastAsia="Arial" w:hAnsi="Arial"/>
                <w:sz w:val="18"/>
                <w:szCs w:val="18"/>
                <w:color w:val="auto"/>
              </w:rPr>
              <w:t>(251)</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w w:val="82"/>
              </w:rPr>
              <w:t>$ (18,870)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87"/>
              </w:rPr>
              <w:t>(5,152)</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6"/>
          </w:tcPr>
          <w:p>
            <w:pPr>
              <w:jc w:val="right"/>
              <w:ind w:right="360"/>
              <w:spacing w:after="0"/>
              <w:rPr>
                <w:sz w:val="20"/>
                <w:szCs w:val="20"/>
                <w:color w:val="auto"/>
              </w:rPr>
            </w:pPr>
            <w:r>
              <w:rPr>
                <w:rFonts w:ascii="Arial" w:cs="Arial" w:eastAsia="Arial" w:hAnsi="Arial"/>
                <w:sz w:val="18"/>
                <w:szCs w:val="18"/>
                <w:color w:val="auto"/>
                <w:w w:val="82"/>
              </w:rPr>
              <w:t>$ (14,522)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5"/>
          </w:tcPr>
          <w:p>
            <w:pPr>
              <w:jc w:val="right"/>
              <w:ind w:right="200"/>
              <w:spacing w:after="0"/>
              <w:rPr>
                <w:sz w:val="20"/>
                <w:szCs w:val="20"/>
                <w:color w:val="auto"/>
              </w:rPr>
            </w:pPr>
            <w:r>
              <w:rPr>
                <w:rFonts w:ascii="Arial" w:cs="Arial" w:eastAsia="Arial" w:hAnsi="Arial"/>
                <w:sz w:val="18"/>
                <w:szCs w:val="18"/>
                <w:color w:val="auto"/>
                <w:w w:val="87"/>
              </w:rPr>
              <w:t>(1,944)</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ind w:right="80"/>
              <w:spacing w:after="0"/>
              <w:rPr>
                <w:sz w:val="20"/>
                <w:szCs w:val="20"/>
                <w:color w:val="auto"/>
              </w:rPr>
            </w:pPr>
            <w:r>
              <w:rPr>
                <w:rFonts w:ascii="Arial" w:cs="Arial" w:eastAsia="Arial" w:hAnsi="Arial"/>
                <w:sz w:val="18"/>
                <w:szCs w:val="18"/>
                <w:color w:val="auto"/>
              </w:rPr>
              <w:t>(234)</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(0.70)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96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color w:val="auto"/>
              </w:rPr>
              <w:t>$ (0.01)</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12.83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5"/>
          </w:tcPr>
          <w:p>
            <w:pPr>
              <w:jc w:val="right"/>
              <w:ind w:right="260"/>
              <w:spacing w:after="0"/>
              <w:rPr>
                <w:sz w:val="20"/>
                <w:szCs w:val="20"/>
                <w:color w:val="auto"/>
              </w:rPr>
            </w:pPr>
            <w:r>
              <w:rPr>
                <w:rFonts w:ascii="Arial" w:cs="Arial" w:eastAsia="Arial" w:hAnsi="Arial"/>
                <w:sz w:val="18"/>
                <w:szCs w:val="18"/>
                <w:color w:val="auto"/>
                <w:w w:val="97"/>
              </w:rPr>
              <w:t>13.74</w:t>
            </w:r>
          </w:p>
        </w:tc>
        <w:tc>
          <w:tcPr>
            <w:tcW w:w="860" w:type="dxa"/>
            <w:vAlign w:val="bottom"/>
            <w:gridSpan w:val="6"/>
          </w:tcPr>
          <w:p>
            <w:pPr>
              <w:jc w:val="right"/>
              <w:ind w:right="40"/>
              <w:spacing w:after="0"/>
              <w:rPr>
                <w:sz w:val="20"/>
                <w:szCs w:val="20"/>
                <w:color w:val="auto"/>
              </w:rPr>
            </w:pPr>
            <w:r>
              <w:rPr>
                <w:rFonts w:ascii="Arial" w:cs="Arial" w:eastAsia="Arial" w:hAnsi="Arial"/>
                <w:sz w:val="18"/>
                <w:szCs w:val="18"/>
                <w:color w:val="auto"/>
              </w:rPr>
              <w:t>$12.08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w w:val="97"/>
              </w:rPr>
              <w:t>14.04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From January 11, 2007 (inception of operations) through March 31, 2007.</w:t>
      </w:r>
    </w:p>
    <w:p>
      <w:pPr>
        <w:spacing w:after="0" w:line="1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240" w:top="459" w:right="6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PennantPark Investment seeks to create a diversified portfolio that includes senior secured loans, mezzanine debt and equity investments by investing approximately $10 million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PennantPark Investment Corporation was organized under the Maryland General Corporation Law in January 2007. We are a closed-end, externally managed,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wholly owned SBIC subsidiary, PennantPark SBIC LP, was organized as a Delaware limited partnership on May 7, 2010 and received a license from the SBA to operate as an SBIC under Section 301(c) of the 1958 Act on July 30, 2010. Our SBIC’s objective is to generate both current income and capital appreciation through debt and equity investments. SBIC LP, generally, invests with us in SBA eligible businesses that meet the investment criteria used by PennantPark Investment.</w:t>
      </w:r>
    </w:p>
    <w:p>
      <w:pPr>
        <w:spacing w:after="0" w:line="143"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Our investment activities are managed by PennantPark Investment Advisers. Under our Investment Management Agreement, we have agreed to pay our Investment Adviser an annual base management fee based on our average adjusted gross assets as well as an incentive fee based on our investment performance.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PennantPark Investment, through the Investment Adviser, manages day-to-day operations of and provides investment advisory services to SBIC LP under its investment management agreement. The SBIC LP investment management agreement does not affect the management or incentive fees that we pay to the Investment Advisor on a consolidated basis.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LP under its administration agreement with us. Our board of directors, a majority of whom are independent of us and PennantPark Investment Advisers supervise our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premiums on loans and debt securities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and SBA debentures. We bear all other direct or indirect costs and expenses of our operations and transactions, including:</w:t>
      </w:r>
    </w:p>
    <w:p>
      <w:pPr>
        <w:spacing w:after="0" w:line="32"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costs associated with our reporting and compliance obligations under the 1940 Act, the 1958 Act and applicable federal and state securities laws; and</w:t>
      </w:r>
    </w:p>
    <w:p>
      <w:pPr>
        <w:spacing w:after="0" w:line="124" w:lineRule="exact"/>
        <w:rPr>
          <w:rFonts w:ascii="Arial" w:cs="Arial" w:eastAsia="Arial" w:hAnsi="Arial"/>
          <w:sz w:val="15"/>
          <w:szCs w:val="15"/>
          <w:color w:val="auto"/>
        </w:rPr>
      </w:pPr>
    </w:p>
    <w:p>
      <w:pPr>
        <w:ind w:left="900" w:hanging="446"/>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chart on page 6 of this prospectus rather than as a percentage of total assets. Total assets include assets that have been funded with borrowed money (leverage). For reference, the chart below illustrates our estimated “Total Annual Expenses” as a percentage of total assets:</w:t>
      </w:r>
    </w:p>
    <w:p>
      <w:pPr>
        <w:spacing w:after="0" w:line="215"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ind w:left="1260"/>
              <w:spacing w:after="0"/>
              <w:rPr>
                <w:sz w:val="20"/>
                <w:szCs w:val="20"/>
                <w:color w:val="auto"/>
              </w:rPr>
            </w:pPr>
            <w:r>
              <w:rPr>
                <w:rFonts w:ascii="Arial" w:cs="Arial" w:eastAsia="Arial" w:hAnsi="Arial"/>
                <w:sz w:val="18"/>
                <w:szCs w:val="18"/>
                <w:b w:val="1"/>
                <w:bCs w:val="1"/>
                <w:color w:val="auto"/>
                <w:w w:val="95"/>
              </w:rPr>
              <w:t>Estimated Annual Expenses (as a Percentage of Average Total Assets)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2.00%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6"/>
              </w:rPr>
              <w:t>1.58%</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0.64%</w:t>
            </w:r>
            <w:r>
              <w:rPr>
                <w:rFonts w:ascii="Arial" w:cs="Arial" w:eastAsia="Arial" w:hAnsi="Arial"/>
                <w:sz w:val="11"/>
                <w:szCs w:val="11"/>
                <w:color w:val="auto"/>
                <w:w w:val="96"/>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expenses</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6"/>
              </w:rPr>
              <w:t>0.72%</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r>
              <w:rPr>
                <w:rFonts w:ascii="Arial" w:cs="Arial" w:eastAsia="Arial" w:hAnsi="Arial"/>
                <w:sz w:val="11"/>
                <w:szCs w:val="11"/>
                <w:b w:val="1"/>
                <w:bCs w:val="1"/>
                <w:color w:val="auto"/>
              </w:rPr>
              <w:t>(5)</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See “Certain Relationships and Transactions —Investment Management Agreement” for more information.</w:t>
      </w:r>
    </w:p>
    <w:p>
      <w:pPr>
        <w:ind w:left="460" w:right="20" w:hanging="452"/>
        <w:spacing w:after="0" w:line="281"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December 31, 2010,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three months ended December 31, 2010. See “Certain Relationships and Transactions—Investment Management Agreement” for more information and Note 3 to our consolidated financial statements included in this prospectus.</w:t>
      </w:r>
    </w:p>
    <w:p>
      <w:pPr>
        <w:spacing w:after="0" w:line="6" w:lineRule="exact"/>
        <w:rPr>
          <w:rFonts w:ascii="Arial" w:cs="Arial" w:eastAsia="Arial" w:hAnsi="Arial"/>
          <w:sz w:val="16"/>
          <w:szCs w:val="16"/>
          <w:color w:val="auto"/>
        </w:rPr>
      </w:pPr>
    </w:p>
    <w:p>
      <w:pPr>
        <w:ind w:left="460" w:right="4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December 31, 2010, we had $44.2 million unused borrowing capacity, subject to maintenance of the applicable total assets to debt ratio of 200%, and $255.8 million in borrowings outstanding under our $300.0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82" w:lineRule="auto"/>
        <w:rPr>
          <w:sz w:val="20"/>
          <w:szCs w:val="20"/>
          <w:color w:val="auto"/>
        </w:rPr>
      </w:pPr>
      <w:r>
        <w:rPr>
          <w:rFonts w:ascii="Arial" w:cs="Arial" w:eastAsia="Arial" w:hAnsi="Arial"/>
          <w:sz w:val="16"/>
          <w:szCs w:val="16"/>
          <w:color w:val="auto"/>
        </w:rPr>
        <w:t>million credit facility. As of December 31, 2010, SBIC LP had a debenture commitment from the SBA in the amount of $100.0 million, had $30.0 million outstanding (including $29.5 million of temporary draws) with a weighted average interest rate of 0.96%, exclusive of the 3.43% of upfront fees, and had $70 million remaining unused borrowing capacity subject to customary regulatory requirements. We may use proceeds of an offering of securities under this registration statement to repay outstanding obligations under our credit facility. After completing any such offering, we may continue to borrow under our credit facility or SBIC LP’s SBA commitment to finance our investment objectives under the terms of our credit facility and SBA debenture program, respectively. We have estimated the annual interest expense on borrowed funds and caution you that our actual interest expense will depend on prevailing interest rates and our rate of borrowing and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5" w:lineRule="exact"/>
        <w:rPr>
          <w:sz w:val="20"/>
          <w:szCs w:val="20"/>
          <w:color w:val="auto"/>
        </w:rPr>
      </w:pPr>
    </w:p>
    <w:p>
      <w:pPr>
        <w:ind w:left="460" w:right="400" w:hanging="452"/>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December 31, 2010, annualized for a full year. See the Statement of Operations in our consolidated financial statements.</w:t>
      </w:r>
    </w:p>
    <w:p>
      <w:pPr>
        <w:spacing w:after="0" w:line="2" w:lineRule="exact"/>
        <w:rPr>
          <w:rFonts w:ascii="Arial" w:cs="Arial" w:eastAsia="Arial" w:hAnsi="Arial"/>
          <w:sz w:val="16"/>
          <w:szCs w:val="16"/>
          <w:color w:val="auto"/>
        </w:rPr>
      </w:pPr>
    </w:p>
    <w:p>
      <w:pPr>
        <w:ind w:left="460" w:hanging="452"/>
        <w:spacing w:after="0" w:line="290"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table above is intended to assist you in understanding the various costs and expenses that an investor in shares of our common stock will bear as a percentage of our average gross assets as of December 31, 2010.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discussion of our financial condition and results of operation is based upon our consolidated financial statements, which have been prepared in accordance with U.S. generally accepted accounting principles, or “GAAP.” The preparation of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Most of our investments consist of illiquid securities.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most, if not all, of the investments which are or will be in our portfolio. We value such investments at fair value as determined in good faith by or under the direction of our board of directors using a documented valuation policy, described below,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8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Fair Value Measurements,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at the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jc w:val="center"/>
        <w:ind w:right="480"/>
        <w:spacing w:after="0" w:line="440" w:lineRule="auto"/>
        <w:rPr>
          <w:sz w:val="20"/>
          <w:szCs w:val="20"/>
          <w:color w:val="auto"/>
        </w:rPr>
      </w:pPr>
      <w:r>
        <w:rPr>
          <w:rFonts w:ascii="Arial" w:cs="Arial" w:eastAsia="Arial" w:hAnsi="Arial"/>
          <w:sz w:val="18"/>
          <w:szCs w:val="18"/>
          <w:color w:val="auto"/>
        </w:rPr>
        <w:t>Level 1: Inputs that are quoted prices (unadjusted) in active markets for identical assets or liabilities, accessible by us at the measurement date. 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long-term credit facility are classified as Level 3.</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w:t>
      </w:r>
    </w:p>
    <w:p>
      <w:pPr>
        <w:spacing w:after="0" w:line="14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Consistent with our valuation policy, PennantPark Investment evaluates the source of inputs, including any markets in which its investments are trading, in determining fair value.</w:t>
      </w:r>
    </w:p>
    <w:p>
      <w:pPr>
        <w:spacing w:after="0" w:line="10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of an investment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carrying value of PennantPark Investment’s selected financial liabilities approximates fair value. We adopted ASC 825-10, which provides companies with an option to report selected financial assets and liabilities at fair value, and made an irrevocable election to apply ASC 825-10 to its long-term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Accordingly, we record changes in fair value of our credit facility in our Consolidated Statement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investments with contractual PIK interest which represents contractual interest accrued and added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market discount or premium and deferred financing costs on our debt are capitalized, and we then amortize such amounts as interest income or expense as applicable. We record prepayment premiums on loans and debt investments as income. Dividend income, if any, is recognized on an accrual basis on the ex-dividend date to the extent that we expect to collect such amounts.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operate so as to qualify to maintain our election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 Although not required for us to maintain our RIC tax status, we must also distribute an amount at least equal to the sum of 98% of our ordinary income (during each calendar year) plus 98.2% of our net capital gains (during each 12 month period ending on October 31) to avoid a 4% excise tax. 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December 31, 2010, our portfolio totaled $704.3 million and consisted of $277.6 million of senior secured loans, $101.5 million of second lien secured debt, $266.8 million of subordinated debt and $58.4 million of preferred and common equity investments. Our portfolio consisted of 52% fixed rate investments, 34% variable rate investments with a LIBOR or prime floor and 14% variable rate investments. Overall, the portfolio had an unrealized appreciation of $26.7 million. Our overall portfolio consisted of 45 companies with an average investment size of $15.7 million, a weighted average yield on debt investments of 13.4%, and was invested 40% in senior secured loans, 14% in second lien secured debt, 38% in subordinated debt and 8% in preferred and common equity investments.</w:t>
      </w:r>
    </w:p>
    <w:p>
      <w:pPr>
        <w:spacing w:after="0" w:line="144"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As of September 30, 2010, our portfolio totaled $664.7 million and consisted of $234.6 million of senior secured loans, $156.7 million of second lien secured debt, $223.9 million of subordinated debt and $49.5 million of preferred and common equity investments. Our portfolio consisted of 49% fixed-rate investments, 26%</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variable rate investments with a LIBOR or prime floor and 25% variable rate investments. Overall, the portfolio had an unrealized appreciation of $8.0 million. Our overall portfolio consisted of 43 companies with an average investment size of $15.5 million, a weighted average yield on debt investments of 12.7%, and was invested 35% in senior secured loans, 24% in second lien secured debt, 34% in subordinated debt and 7% in preferred and common equity investments.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September 30, 2009, our portfolio totaled $469.8 million and consisted of $150.6 million of senior secured loans, $134.4 million of second lien secured debt, $157.1 million of subordinated debt and $27.7 million of preferred and common equity investments. Our debt portfolio consisted of 40% fixed-rate investments, 13% variable rate investments with a LIBOR or prime floor and 47% variable-rate investments. Overall, the portfolio had an unrealized depreciation of $27.5 million. Our overall portfolio consisted of 42 companies with an average investment size of $11.2 million and a weighted average yield on debt investments of 11.4%, and was invested 32% in senior secured loans, 29% in second lien secured debt, 33% in subordinated debt and 6% in preferred and common equity investments.</w:t>
      </w:r>
    </w:p>
    <w:p>
      <w:pPr>
        <w:spacing w:after="0" w:line="14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For the three months ended December 31, 2010, we invested $99.9 million in six new portfolio companies and one existing portfolio company with a weighted average yield on debt investments of 15.0% (yield on debt investments, excluding value of attached equity, was 14.0%). This compares to purchasing $50.5 million in six new and two existing portfolio companies with a weighted average yield on debt investments of 12.8% for the three months ended December 31, 2009.</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the fiscal year ended September 30, 2010, we purchased $309.5 million of investments issued by 17 new and 12 existing portfolio companies with an overall weighted average yield of 14.9% on debt investments. For the fiscal year ended September 30, 2009, we purchased $112.7 million in 11 new and 8 existing portfolio companies with an overall weighted average yield of 14.5% on debt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months ended December 31, 2010 and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Investment income for the three months ended December 31, 2010 was $20.0 million and was primarily attributable to $7.3 million from senior secured loans, $3.2 million from second lien secured debt investments and $7.4 million from subordinated debt investments. This compares to investment income for the three months ended December 31, 2009, which was $13.6 million, and was primarily attributable to $3.5 million from senior secured loans, $3.2 million from second lien secured debt investments and $5.4 million from subordinated debt investments. The remaining investment income for the three months ended December 31, 2010 and 2009 was primarily attributed to interest income from net accretion of discount and amortization of premium. The increase in investment income compared with the same period in the prior year is due to the growth of our portfolio and by rotation out of lower yielding investments.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Expenses for the three months ended December 31, 2010, totaled $8.8 million. Base management fee for the same period totaled $3.5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performance-based incentive fee totaled $2.8 million, credit facility and SBA debentures related expenses totaled $1.1 million, 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totaled $1.3 million, and excise taxes totaled $0.1 million. This compares to expenses for the three months ended December 31, 2009, which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$6.4 million. Base management fee for the same period totaled $2.5 million, performance-based incentive fee totaled $1.8 million, credit facility related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totaled $0.8 million, general and administrative expenses totaled $1.1 million and excise taxes totaled $0.1 million. The increase in expenses was due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growth of the portfolio and net investment income.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Net investment income totaled $11.2 million, or $0.31 per share, for the three months ended December 31, 2010, and $7.2 million, or $0.28 per share, for the three months ended December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Sales and repayments of long-term investments for the three months ended December 31, 2010 totaled $85.5 million and realized gains totaled $2.3 million due to sales and repayments of our debt investments. Sales and repayments of long-term investments totaled $16.8 million and net realized losses totaled $16.6 million for the three months ended December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Unrealized Appreciation or Depreciation on Investments and Credit Facility</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the three months ended December 31, 2010 and 2009, our investments had a net change in unrealized appreciation of $18.7 million and $23.9 million, respectively. The decrease in the net change in unrealized appreciation compared to the prior year is the result of the changes in the leveraged credit markets over the comparable period. On December 31, 2010 and September 30, 2010, net unrealized appreciation on investments totaled $26.7 million and $8.0 million, respectively.</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For the three months ended December 31, 2010 and 2009, our long-term credit facility had a net change in unrealized appreciation of $6.6 million and $5.8 million, respectively. Net change in unrealized appreciation on our credit facility over the prior year is the result of it approaching maturity. On December 31, 2010 and September 30, 2010, net unrealized depreciation on our long-term credit facility totaled $7.4 million and $14.0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Net Assets Resulting from Operations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Net increase in net assets resulting from operations totaled $25.5 million, or $0.71 per share, for the three months ended December 31, 2010. This compares to a net increase in net assets resulting from operations which totaled $8.7 million, or $0.34 per share, for the three months ended December 31, 2009. This increase in net assets from operations is due to the continued growth in net investment income as a result of growing our portfolio offset by the appreciation in the value of our credit facility as it approaches maturity.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our results of operations for the fiscal years ended September 30, 2010, 2009 and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Investment income for the fiscal year ended September 30, 2010, was $60.1 million, and was primarily attributable to $16.9 million from senior secured loan investments, $13.2 million from second lien secured debt investments, and $24.7 million from subordinated debt investments for the same period. The remaining investment income was primarily attributed to interest income from net accretion of discount and amortization of premium. The increase in investment income over the prior year was due to growth of our portfolio which was also driven by investment of the proceeds from our equity offerings and rotation out of lower yielding assets.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2009, was $45.1 million, and was primarily attributable to $6.0 million from senior secured loan investments, $12.2 million from second lien secured debt investments, and $24.1 million from subordinated debt investments for the same period. The remaining investment income was primarily attributed to interest income from net accretion of discount and amortization of premium. The increase in investment income over the prior year was due to the growth in our overall portfolio.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Investment income for the fiscal year ended September 30, 2008, was $39.8 million, and was primarily attributable to $16.2 from senior secured loan investments, $14.7 million from second lien secured debt investments, and $7.2 million from subordinated debt investments for the same period. The remaining investment income was primarily attributed to interest income from short-term investments and to net accretion of discount and amortization of premium. The increase in investment income over the prior year was due to the growth of our portfolio and the transition of the portfolio from temporary to long-term investments.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Expenses for the fiscal year ended September 30, 2010, totaled $28.0 million. Base management fee for the same period totaled $11.6 million, performance-based incentive fee totaled $8.0 million, credit facility and SBA debentures related expenses totaled $3.7 million, general and administrative expenses totaled $4.6 million and an excise tax of $0.1 million was incurred. The increase in expenses over the prior year was primarily due to the growth of our portfolio and net investment income.</w:t>
      </w:r>
    </w:p>
    <w:p>
      <w:pPr>
        <w:spacing w:after="0" w:line="14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Expenses for the fiscal year ended September 30, 2009, totaled $22.4 million. Base management fee for the same period totaled $7.7 million, performance-based incentive fee totaled $5.7 million, credit facility related expenses totaled $4.6 million and general and administrative expenses totaled $4.4 million. The increase in expenses over the prior year was primarily due to the growth of our portfolio and offset by the reduced borrowing costs under our credit facility.</w:t>
      </w:r>
    </w:p>
    <w:p>
      <w:pPr>
        <w:spacing w:after="0" w:line="88"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Net expenses for the fiscal year ended September 30, 2008, totaled $21.2 million. Net base management fee for the same period totaled $6.7 million, performance-based incentive fee totaled $3.8 million, credit facility related expense totaled $6.3 million and general and administrative expenses totaled $4.4 million. The increase in expenses other the prior year was due to the growth of our portfolio and the incurrence of additional borrowing costs under our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investment income totaled $32.1 million or $1.09 per share, $22.7 million or $1.08 per share and $18.6 million or $0.88 per share, respectively, for the fiscal years ended September 30, 2010, 2009 and 2008. The increase in per share net investment income from 2009 to 2010 was the result of the growth of our portfolio offset by the dilutive effect of issuing shares below our net asset value.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Losses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Sales and repayments of long-term investments for the fiscal years ended September 30, 2010, 2009 and 2008, totaled $145.2 million, $28.0 million and $70.1 million, respectively, and net realized losses totaled $15.4 million, $39.2 million and $11.2 million, respectively. Net realized losses decreased over the prior year due to improvements in the overall leveraged finance markets.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Unrealized Appreciation (Depreciation) on Investments and Credit Facility</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Net change in unrealized appreciation (depreciation) on investments totaled $35.5 million, $44.5 million and $(48.1) million for the fiscal years ended September 30, 2010, 2009 and 2008, respectively. Net change in unrealized (appreciation) depreciation on credit facility totaled $(35.7) million and $7.8 million for the fiscal years ended September 30, 2010 and 2009, respectively. Net change in unrealized appreciation on investments improved over the prior year due to the overall improvements in the leveraged finance markets. Net change in unrealized (appreciation) on our credit facility over the prior year is the result of it approaching maturity.</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p>
      <w:pPr>
        <w:spacing w:after="0" w:line="9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Net increase (decrease) in net assets resulting from operations totaled $16.5 million or $0.56 per share, $35.8 million or $1.70 per share, and $(40.7) million or $(1.93) per share for the fiscal years ended September 30, 2010, 2009 and 2008, respectively. The net increase in net assets from operations over the prior year was due to the continued growth in net investment income as a result of growing our portfolio, offset by realized losses and the appreciation in the value of our credit facility as it approaches maturity. The net increase in net assets resulting from operations decreased from 2008 to 2009, primarily due to a decline in the leveraged finance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Our liquidity and capital resources are derived from our credit facility, SBA debentures and cash flows from operations, including investment sales and repayments, and income earned. Our primary use of funds from operations includes investments in portfolio companies and other operating expenses we incur. We used, and expect to continue to use, these capital resources as well as proceeds from rotation out of our portfolio and from public and private offerings of securities to finance our investment objectives.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June 25, 2007, PennantPark Investment entered into its credit facility, among us, various lenders and SunTrust Bank, as administrative agent for the lenders. SunTrust Robinson Humphrey Capital Markets acted as the joint lead arranger and JPMorgan Chase (Chase Lincoln First Commercial as successor in interest of Bear Stearns Corporate Lending Inc.) acted as joint lead arranger and syndication agent. As of December 31, 2010 and September 30, 2010 and 2009, there were $255.8 million, $233.1 million (including a $5.2 million temporary draw) and $225.1 million (including a $7.0 million temporary draw) in outstanding borrowings under the credit facility, with a weighted average interest rate at the time of 1.28%, 1.34% and 1.31%, exclusive of the fee on undrawn commitment of 0.20%, respectively.</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December 31, 2010 and September 30, 2010 and 2009, we had $44.2 million, $66.9 million and $74.9 million, respectively, of unused borrowing capacity under our credit facility, subject to certain covenants, restrictions on certain payments and issuance of debt as discussed below. Under the credit facility, the lenders agreed to extend us credit in an initial aggregate principal or face amount not exceeding $300.0 million at any one time outstanding. The credit facility is a five-year revolving facility (with a stated maturity date of June 25, 2012) and is secured by substantially all of our investment portfolio assets, except for those assets of SBIC LP. Pricing of borrowings under our credit facility is set at 100 basis points over LIBOR.</w:t>
      </w:r>
    </w:p>
    <w:p>
      <w:pPr>
        <w:spacing w:after="0" w:line="1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credit facility contains affirmative and restrictive covenants, including but not limited to maintenance of a minimum shareholders’ equity of the greater of (i) 40% of the total assets of PennantPark Investment and its subsidiaries as of the last day of any fiscal quarter and (ii) the sum of (A) $120,000,000 plus</w:t>
      </w:r>
    </w:p>
    <w:p>
      <w:pPr>
        <w:ind w:right="140" w:firstLine="8"/>
        <w:spacing w:after="0" w:line="290" w:lineRule="auto"/>
        <w:tabs>
          <w:tab w:leader="none" w:pos="278" w:val="left"/>
        </w:tabs>
        <w:numPr>
          <w:ilvl w:val="0"/>
          <w:numId w:val="27"/>
        </w:numPr>
        <w:rPr>
          <w:rFonts w:ascii="Arial" w:cs="Arial" w:eastAsia="Arial" w:hAnsi="Arial"/>
          <w:sz w:val="16"/>
          <w:szCs w:val="16"/>
          <w:color w:val="auto"/>
        </w:rPr>
      </w:pPr>
      <w:r>
        <w:rPr>
          <w:rFonts w:ascii="Arial" w:cs="Arial" w:eastAsia="Arial" w:hAnsi="Arial"/>
          <w:sz w:val="16"/>
          <w:szCs w:val="16"/>
          <w:color w:val="auto"/>
        </w:rPr>
        <w:t>25% of the net proceeds from the sale of equity interests in PennantPark Investment and its subsidiaries after the closing date of the credit facility and maintenance of a ratio of total assets (less total liabilities other than indebtedness) to total indebtedness, in each case of PennantPark Investment, of not less than 2.0:1.0 (excluding any exemptive relief granted by the SEC with respect to the indebtedness of any SBIC subsidiary). In addition to the asset coverage ratio described in the preceding sentence, borrowings under our credit facility (and the incurrence of certain other permitted debt) are subject to compliance with a borrowing base that applies different advance rates to different types of assets in PennantPark Investment’s portfolio. As of December 31, 2010, September 30, 2010 and 2009, we were in compliance with the terms of our credit facility.</w:t>
      </w:r>
    </w:p>
    <w:p>
      <w:pPr>
        <w:spacing w:after="0" w:line="118"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We may raise additional equity or debt capital through both registered offerings off a shelf registration and private offerings of securities, by securitizing a portion of our investments or borrowing from the SBA through our SBIC subsidiary, among other considerations. Any future additional debt capital we incur, to the extent it is available under current credit market conditions, may be issued at a higher cost and on less favorable terms and conditions than our current credit facility. We continuously monitor conditions in the credit markets and seek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opportunities to enhance our debt structure as our credit facility matures in June 2012. Furthermore, our availability under the credit facility depends on various covenants and restrictions discussed in the preceding paragraph. The primary uses of existing funds and any funds raised in the future is expected to be for repayment of indebtedness, investments in portfolio companies, cash distributions to our shareholders and other general corporate purposes. See “Recent Developments”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December 31, 2010, we did not sell shares of our common stock. For the fiscal year ended September 30, 2010, we sold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10.8 million shares of our common stock below the then current net asset value per share, inclusive of the underwriters’ over-allotment options, resulting in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of $101.7 million. This compares to selling 4.3 million shares of common stock resulting in net proceeds of $32.5 million in the fiscal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2009, excluding the underwriters’ over-allotment option. Any decision to sell shares below the then current net asset value per share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in one or more offerings is subject to the determination by our board of directors that such issuance and sale is in our and our stockholders’ best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interests. Any sale or other issuance of shares of our common stock at a price below net asset value per share has resulted and will continue to result in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immediate dilution to our stockholder’s interest in our common stock and a reduction of our net asset value per share. See “Recent Developments” for more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December 31, 2010, we had committed to SBIC LP $50.0 million, funded it with equity capital of $50.0 million, had SBA debentures outstanding of $30.0 million with a weighted average interest rate at the time of 0.96%, exclusive of 3.43% of upfront fees and had $70 million remaining unused borrowing capacity subject to customary regulatory requirements. As of September 30, 2010, we had committed to SBIC LP $50.0 million, funded it with equity capital of $14.5 million, had SBA debentures outstanding of $14.5 million with a weighted average interest rate at the time of 0.84%, exclusive of 3.43% of upfront fees, and had $19 million remaining unused borrowing capacity.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 million, which is up to twice its potential regulatory capital. This means that SBIC LP may access the maximum borrowing if it has $75 million in regulatory capital.</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of December 31, 2010, SBIC LP had a debenture commitment from the SBA in the amount of $100.0 million with $30.0 million outstanding. Of the $30.0 million of SBA debentures outstanding, $0.5 million is fixed for 10-years with a rate of 3.50% (inclusive of the SBA annual fee) and $29.5 million is temporary financing currently bearing a weighted average rate of 0.92% that will reset to a market-driven rate in March 2011 and will remain fixed thereafter for 10 years.</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SBIC program is designed to stimulate the flow of capital into eligible businesses.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requiring capitalization thresholds that limit distributions to us, and is subject to periodic audits and examinations. As of December 31, 2010 and September 30, 2010, SBIC LP was in compliance with its regulatory requirements.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connection with the filing of its SBA license application, PennantPark Investment has applied for exemptive relief from the SEC to permit us to exclude the debt of SBIC LP from our consolidated asset coverage ratio. There can be no assurance that we will be able to capitalize SBIC LP with sufficient regulatory capital to borrow the maximum amount available or that we will receive an exemptive relief from the SEC with respect to the SBA-guaranteed debentures.</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we are granted exemptive relief, our ratio of total assets on a consolidated basis to outstanding to indebtedness may be greater than 200% which, while providing increased investment flexibility, would also increase our exposure to risks associated with leverage.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45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December 31, 2010 and September 30, 2010, we had approximately $60 million and $100 million, respectively, of assets bearing a coupon of 9% or lower. We will seek to rotate out of these assets into new higher yielding investments over time.</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operating activities used cash of $27.3 million for the three months ended December 31, 2010, and our financing activities provided cash of $28.5 million for the same period, primarily from net borrowings under the credit facility and SBA debentures.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operating activities used cash of $45.1 million for the three months ended December 31, 2009, and our financing activities provided cash of $18.9 million for the same period, primarily through issuance of common stock and net borrowings on our credit facility.</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operating activities used cash of $127.1 million for the fiscal year ended September 30, 2010, and our financing activities provided net cash proceeds of $95.6 million for the same period. Our operating activities used cash primarily for investing that was provided from, primarily, proceeds from our follow-on public offerings of common stock and draws under the credit facility and SBA debentures.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operating activities used cash of $42.4 million for the fiscal year ended September 30, 2009, and our financing activities provided net cash proceeds of $35.4 million for the same period, primarily from proceeds from a follow-on public offering of common stock. Our operating activities used cash primarily for investing, that was provided from proceeds from a secondary public offering and draws under the credit facility.</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operating activities used cash of $395.8 million for the fiscal year ended September 30, 2008, and our financing activities provided cash proceeds of $178.1 million for the same period, primarily from borrowings under our credit facility. Our operating activities used cash primarily for investing that was provided from proceeds from our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as of December 31, 2010 including, but not limited to, borrowings under our multi-currency $300.0 million, five-year, revolving credit facility maturing in June 2012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Payments due by period (in millions)</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82"/>
              </w:rPr>
              <w:t>Less than</w:t>
            </w:r>
          </w:p>
        </w:tc>
        <w:tc>
          <w:tcPr>
            <w:tcW w:w="740" w:type="dxa"/>
            <w:vAlign w:val="bottom"/>
            <w:gridSpan w:val="2"/>
          </w:tcPr>
          <w:p>
            <w:pPr>
              <w:jc w:val="right"/>
              <w:ind w:right="76"/>
              <w:spacing w:after="0" w:line="129" w:lineRule="exact"/>
              <w:rPr>
                <w:sz w:val="20"/>
                <w:szCs w:val="20"/>
                <w:color w:val="auto"/>
              </w:rPr>
            </w:pPr>
            <w:r>
              <w:rPr>
                <w:rFonts w:ascii="Arial" w:cs="Arial" w:eastAsia="Arial" w:hAnsi="Arial"/>
                <w:sz w:val="14"/>
                <w:szCs w:val="14"/>
                <w:b w:val="1"/>
                <w:bCs w:val="1"/>
                <w:color w:val="auto"/>
              </w:rPr>
              <w:t>1-3</w:t>
            </w:r>
          </w:p>
        </w:tc>
        <w:tc>
          <w:tcPr>
            <w:tcW w:w="480" w:type="dxa"/>
            <w:vAlign w:val="bottom"/>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3-5</w:t>
            </w:r>
          </w:p>
        </w:tc>
        <w:tc>
          <w:tcPr>
            <w:tcW w:w="48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3"/>
              </w:rPr>
              <w:t>1 year</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years</w:t>
            </w:r>
          </w:p>
        </w:tc>
        <w:tc>
          <w:tcPr>
            <w:tcW w:w="4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years</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2"/>
              </w:rPr>
              <w:t>5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Senior secured revolving credit facility </w:t>
            </w:r>
            <w:r>
              <w:rPr>
                <w:rFonts w:ascii="Arial" w:cs="Arial" w:eastAsia="Arial" w:hAnsi="Arial"/>
                <w:sz w:val="11"/>
                <w:szCs w:val="11"/>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$255.8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$255.8</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 xml:space="preserve">SBA debentures </w:t>
            </w:r>
            <w:r>
              <w:rPr>
                <w:rFonts w:ascii="Arial" w:cs="Arial" w:eastAsia="Arial" w:hAnsi="Arial"/>
                <w:sz w:val="11"/>
                <w:szCs w:val="11"/>
                <w:color w:val="auto"/>
              </w:rPr>
              <w:t>(2)</w:t>
            </w: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Subtotal debt outstanding </w:t>
            </w:r>
            <w:r>
              <w:rPr>
                <w:rFonts w:ascii="Arial" w:cs="Arial" w:eastAsia="Arial" w:hAnsi="Arial"/>
                <w:sz w:val="11"/>
                <w:szCs w:val="11"/>
                <w:color w:val="auto"/>
              </w:rPr>
              <w:t>(3)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255.8</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1"/>
                <w:szCs w:val="11"/>
                <w:color w:val="auto"/>
              </w:rPr>
              <w:t>(4)</w:t>
            </w:r>
          </w:p>
        </w:tc>
        <w:tc>
          <w:tcPr>
            <w:tcW w:w="500" w:type="dxa"/>
            <w:vAlign w:val="bottom"/>
          </w:tcPr>
          <w:p>
            <w:pPr>
              <w:jc w:val="right"/>
              <w:spacing w:after="0"/>
              <w:rPr>
                <w:sz w:val="20"/>
                <w:szCs w:val="20"/>
                <w:color w:val="auto"/>
              </w:rPr>
            </w:pPr>
            <w:r>
              <w:rPr>
                <w:rFonts w:ascii="Arial" w:cs="Arial" w:eastAsia="Arial" w:hAnsi="Arial"/>
                <w:sz w:val="18"/>
                <w:szCs w:val="18"/>
                <w:color w:val="auto"/>
              </w:rPr>
              <w:t>18.6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18.6</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304.4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274.4</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3"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December 31, 2010, we had $44.2 million of unused borrowing capacity under our credit facility, subject to maintenance of the applicable total assets to debt ratio of 200%, maintenance of a blended percentage of the values of our portfolio companies and restrictions on certain payments and issuance of debt.</w:t>
      </w:r>
    </w:p>
    <w:p>
      <w:pPr>
        <w:ind w:left="460" w:right="32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December 31, 2010, SBIC LP had $70.0 million of unused borrowing capacity under SBIC LP’s commitment from the SBA and $29.5 million of SBA debentures that will have a rate reset in March 2011.</w:t>
      </w:r>
    </w:p>
    <w:p>
      <w:pPr>
        <w:ind w:left="460" w:right="380" w:hanging="452"/>
        <w:spacing w:after="0" w:line="261"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December 31, 2010 is 1.25% exclusive of the fee on the undrawn commitment of 0.20% on the credit facility and 3.43% of upfront fees on SBIC LP’s SBA debentures.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Unfunded debt investments described in the Consolidated Statement of Assets and Liabilities represent unfunded delayed draws on investments in first lien secured debt and subordinated debt investments.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renewed in February 2011, PennantPark Investment Advisers serves as our investment adviser in accordance with the terms of that Investment Management Agreement. PennantPark Investment, through the Investment Adviser, provides similar services to SBIC LP under its investment management agreement with us. The SBIC LP investment management agreement does not affect the management or incentive fees that we pay to the Investment Adviser on a consolidated basis. Payments under our Investment Management Agreement in each reporting period is equal to (1) a management fee equal to a percentage of the value of our gross assets and (2) an incentive fee based on our performance. See Note 3 to the consolidated financial statements.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our Administration Agreement, which was renewed in February 2011, PennantPark Investment Administration furnishes us with office facilities and administrative services necessary to conduct our day-to-day operations. PennantPark Investment, through the Administrator, provides similar services to SBIC LP under its administration agreement, which is intended to have no effect on the consolidated administration fee. If requested to provide managerial assistance to our portfolio companies, we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 to the consolidated financial statements.</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at least 90% of the sum of our ordinary income and realized net short-term capital gains, if any, to our stockholders on an annual basis. Although not required for us to maintain our RIC tax status, we must also distribute an amount at least equal to the sum of 98% of our ordinary income (during each calendar year) plus 98.2% of our net capital gains (during each 12 month period ending on October 31) to avoid a 4% excise tax. For the three months ended December 31, 2010 and 2009, we elected to retain a portion of our calendar year income and record an excise tax of $0.1 million and $0.1 million, respectively.</w:t>
      </w:r>
    </w:p>
    <w:p>
      <w:pPr>
        <w:spacing w:after="0" w:line="1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During the three months ended December 31, 2010 and 2009, we declared distributions of $0.26 and $0.25 per share, respectively, for total distributions of $9.4 million and $6.5 million, respectively. During the fiscal years ended September 30, 2010, 2009 and 2008, we declared to stockholders distributions of $1.03, $0.96 and $0.90 per share, respectively, for total distributions of $32.3 million, $20.2 million and $19.0 million, respectively. We monitor available net investment income to determine if a tax return of capital may occur for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 after the end of the calendar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On February 1, 2011, we utilized the accordion feature of our credit facility and expanded the credit facility by $15.0 million, bringing our total credit facility availability to $315.0 million. On February 2, 2011, we announced that we increased our quarterly dividend to $0.27 per share, with a record date of March 15, 2011 and a payable date of April 1, 2011. On February 8, 2011, we entered into an agreement to sell 9.2 million shares of common stock at a public offering price $12.40 per share, inclusive of the underwriters’ over-allotment options, resulting in net proceeds of $108.3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Through the date of this prospectus,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Assuming that the balance sheet as of December 31, 2010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increasing interest rates, our cost of funds would increase,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Through the date of this prospectus, we did not engage in interest rate hedging activities.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Information about our senior securities is shown in the following table as of December 31, 2010 and September 30, 2010, 2009, 2008 and 2007. The information for September 30, 2010, 2009, 2008 and 2007 presented below has been derived from our consolidated financial statements which have been audited by KPMG LLP.</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ind w:right="56"/>
              <w:spacing w:after="0"/>
              <w:rPr>
                <w:sz w:val="20"/>
                <w:szCs w:val="20"/>
                <w:color w:val="auto"/>
              </w:rPr>
            </w:pPr>
            <w:r>
              <w:rPr>
                <w:rFonts w:ascii="Arial" w:cs="Arial" w:eastAsia="Arial" w:hAnsi="Arial"/>
                <w:sz w:val="14"/>
                <w:szCs w:val="14"/>
                <w:b w:val="1"/>
                <w:bCs w:val="1"/>
                <w:color w:val="auto"/>
                <w:w w:val="78"/>
              </w:rPr>
              <w:t>Asset</w:t>
            </w:r>
          </w:p>
        </w:tc>
        <w:tc>
          <w:tcPr>
            <w:tcW w:w="66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Involuntary</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Coverage</w:t>
            </w:r>
          </w:p>
        </w:tc>
        <w:tc>
          <w:tcPr>
            <w:tcW w:w="660" w:type="dxa"/>
            <w:vAlign w:val="bottom"/>
          </w:tcPr>
          <w:p>
            <w:pPr>
              <w:spacing w:after="0"/>
              <w:rPr>
                <w:sz w:val="11"/>
                <w:szCs w:val="11"/>
                <w:color w:val="auto"/>
              </w:rPr>
            </w:pPr>
          </w:p>
        </w:tc>
        <w:tc>
          <w:tcPr>
            <w:tcW w:w="1360" w:type="dxa"/>
            <w:vAlign w:val="bottom"/>
            <w:gridSpan w:val="2"/>
          </w:tcPr>
          <w:p>
            <w:pPr>
              <w:jc w:val="right"/>
              <w:ind w:right="680"/>
              <w:spacing w:after="0" w:line="135" w:lineRule="exact"/>
              <w:rPr>
                <w:sz w:val="20"/>
                <w:szCs w:val="20"/>
                <w:color w:val="auto"/>
              </w:rPr>
            </w:pPr>
            <w:r>
              <w:rPr>
                <w:rFonts w:ascii="Arial" w:cs="Arial" w:eastAsia="Arial" w:hAnsi="Arial"/>
                <w:sz w:val="14"/>
                <w:szCs w:val="14"/>
                <w:b w:val="1"/>
                <w:bCs w:val="1"/>
                <w:color w:val="auto"/>
                <w:w w:val="87"/>
              </w:rPr>
              <w:t>Liquidating</w:t>
            </w: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0"/>
              </w:rPr>
              <w:t>Total Amount</w:t>
            </w:r>
          </w:p>
        </w:tc>
        <w:tc>
          <w:tcPr>
            <w:tcW w:w="6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660" w:type="dxa"/>
            <w:vAlign w:val="bottom"/>
          </w:tcPr>
          <w:p>
            <w:pPr>
              <w:spacing w:after="0"/>
              <w:rPr>
                <w:sz w:val="12"/>
                <w:szCs w:val="12"/>
                <w:color w:val="auto"/>
              </w:rPr>
            </w:pP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Preference</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Value Per</w:t>
            </w:r>
          </w:p>
        </w:tc>
        <w:tc>
          <w:tcPr>
            <w:tcW w:w="0" w:type="dxa"/>
            <w:vAlign w:val="bottom"/>
          </w:tcPr>
          <w:p>
            <w:pPr>
              <w:spacing w:after="0"/>
              <w:rPr>
                <w:sz w:val="1"/>
                <w:szCs w:val="1"/>
                <w:color w:val="auto"/>
              </w:rPr>
            </w:pPr>
          </w:p>
        </w:tc>
      </w:tr>
      <w:tr>
        <w:trPr>
          <w:trHeight w:val="176"/>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88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89"/>
              </w:rPr>
              <w:t xml:space="preserve">Outstanding </w:t>
            </w:r>
            <w:r>
              <w:rPr>
                <w:rFonts w:ascii="Arial" w:cs="Arial" w:eastAsia="Arial" w:hAnsi="Arial"/>
                <w:sz w:val="20"/>
                <w:szCs w:val="20"/>
                <w:b w:val="1"/>
                <w:bCs w:val="1"/>
                <w:color w:val="auto"/>
                <w:w w:val="89"/>
                <w:vertAlign w:val="superscript"/>
              </w:rPr>
              <w:t>(1)</w:t>
            </w:r>
          </w:p>
        </w:tc>
        <w:tc>
          <w:tcPr>
            <w:tcW w:w="66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(unaudited)</w:t>
            </w:r>
          </w:p>
        </w:tc>
        <w:tc>
          <w:tcPr>
            <w:tcW w:w="660" w:type="dxa"/>
            <w:vAlign w:val="bottom"/>
          </w:tcPr>
          <w:p>
            <w:pPr>
              <w:spacing w:after="0"/>
              <w:rPr>
                <w:sz w:val="15"/>
                <w:szCs w:val="15"/>
                <w:color w:val="auto"/>
              </w:rPr>
            </w:pPr>
          </w:p>
        </w:tc>
        <w:tc>
          <w:tcPr>
            <w:tcW w:w="1360" w:type="dxa"/>
            <w:vAlign w:val="bottom"/>
            <w:gridSpan w:val="2"/>
          </w:tcPr>
          <w:p>
            <w:pPr>
              <w:jc w:val="right"/>
              <w:ind w:right="680"/>
              <w:spacing w:after="0" w:line="176" w:lineRule="exact"/>
              <w:rPr>
                <w:sz w:val="20"/>
                <w:szCs w:val="20"/>
                <w:color w:val="auto"/>
              </w:rPr>
            </w:pPr>
            <w:r>
              <w:rPr>
                <w:rFonts w:ascii="Arial" w:cs="Arial" w:eastAsia="Arial" w:hAnsi="Arial"/>
                <w:sz w:val="13"/>
                <w:szCs w:val="13"/>
                <w:b w:val="1"/>
                <w:bCs w:val="1"/>
                <w:color w:val="auto"/>
                <w:w w:val="94"/>
              </w:rPr>
              <w:t xml:space="preserve">Per Unit </w:t>
            </w:r>
            <w:r>
              <w:rPr>
                <w:rFonts w:ascii="Arial" w:cs="Arial" w:eastAsia="Arial" w:hAnsi="Arial"/>
                <w:sz w:val="20"/>
                <w:szCs w:val="20"/>
                <w:b w:val="1"/>
                <w:bCs w:val="1"/>
                <w:color w:val="auto"/>
                <w:w w:val="94"/>
                <w:vertAlign w:val="superscript"/>
              </w:rPr>
              <w:t>(3)</w:t>
            </w:r>
          </w:p>
        </w:tc>
        <w:tc>
          <w:tcPr>
            <w:tcW w:w="6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88"/>
              </w:rPr>
              <w:t xml:space="preserve">Unit </w:t>
            </w:r>
            <w:r>
              <w:rPr>
                <w:rFonts w:ascii="Arial" w:cs="Arial" w:eastAsia="Arial" w:hAnsi="Arial"/>
                <w:sz w:val="20"/>
                <w:szCs w:val="20"/>
                <w:b w:val="1"/>
                <w:bCs w:val="1"/>
                <w:color w:val="auto"/>
                <w:w w:val="88"/>
                <w:vertAlign w:val="superscript"/>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Credit Facility and SBA debentures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Fiscal 2011 (as of December 31, 2010 unaudited)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285,800</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2,386</w:t>
            </w:r>
          </w:p>
        </w:tc>
        <w:tc>
          <w:tcPr>
            <w:tcW w:w="66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 (as of September 30, 2010)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233,100</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Fiscal 2009 (as of September 30, 2009)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225,100</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2,115</w:t>
            </w:r>
          </w:p>
        </w:tc>
        <w:tc>
          <w:tcPr>
            <w:tcW w:w="66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2008 (as of September 30, 2008)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Fiscal 2007 (as of September 30, 2007)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28,039</w:t>
            </w:r>
          </w:p>
        </w:tc>
        <w:tc>
          <w:tcPr>
            <w:tcW w:w="660" w:type="dxa"/>
            <w:vAlign w:val="bottom"/>
          </w:tcPr>
          <w:p>
            <w:pPr>
              <w:spacing w:after="0"/>
              <w:rPr>
                <w:sz w:val="19"/>
                <w:szCs w:val="19"/>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000’s).</w:t>
      </w:r>
    </w:p>
    <w:p>
      <w:pPr>
        <w:spacing w:after="0" w:line="15"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February 23, 2011, the last reported closing price of our common stock was $12.39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w w:val="96"/>
              </w:rPr>
              <w:t>Closing Sales Price</w:t>
            </w: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High Sales</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960" w:type="dxa"/>
            <w:vAlign w:val="bottom"/>
            <w:gridSpan w:val="5"/>
            <w:vMerge w:val="continue"/>
          </w:tcPr>
          <w:p>
            <w:pPr>
              <w:spacing w:after="0"/>
              <w:rPr>
                <w:sz w:val="6"/>
                <w:szCs w:val="6"/>
                <w:color w:val="auto"/>
              </w:rPr>
            </w:pPr>
          </w:p>
        </w:tc>
        <w:tc>
          <w:tcPr>
            <w:tcW w:w="1200" w:type="dxa"/>
            <w:vAlign w:val="bottom"/>
            <w:gridSpan w:val="2"/>
            <w:vMerge w:val="restart"/>
          </w:tcPr>
          <w:p>
            <w:pPr>
              <w:jc w:val="center"/>
              <w:ind w:right="560"/>
              <w:spacing w:after="0" w:line="135" w:lineRule="exact"/>
              <w:rPr>
                <w:sz w:val="20"/>
                <w:szCs w:val="20"/>
                <w:color w:val="auto"/>
              </w:rPr>
            </w:pPr>
            <w:r>
              <w:rPr>
                <w:rFonts w:ascii="Arial" w:cs="Arial" w:eastAsia="Arial" w:hAnsi="Arial"/>
                <w:sz w:val="14"/>
                <w:szCs w:val="14"/>
                <w:b w:val="1"/>
                <w:bCs w:val="1"/>
                <w:color w:val="auto"/>
                <w:w w:val="85"/>
              </w:rPr>
              <w:t>Price to</w:t>
            </w:r>
          </w:p>
        </w:tc>
        <w:tc>
          <w:tcPr>
            <w:tcW w:w="960" w:type="dxa"/>
            <w:vAlign w:val="bottom"/>
            <w:gridSpan w:val="2"/>
            <w:vMerge w:val="restart"/>
          </w:tcPr>
          <w:p>
            <w:pPr>
              <w:jc w:val="right"/>
              <w:ind w:right="420"/>
              <w:spacing w:after="0" w:line="135" w:lineRule="exact"/>
              <w:rPr>
                <w:sz w:val="20"/>
                <w:szCs w:val="20"/>
                <w:color w:val="auto"/>
              </w:rPr>
            </w:pPr>
            <w:r>
              <w:rPr>
                <w:rFonts w:ascii="Arial" w:cs="Arial" w:eastAsia="Arial" w:hAnsi="Arial"/>
                <w:sz w:val="14"/>
                <w:szCs w:val="14"/>
                <w:b w:val="1"/>
                <w:bCs w:val="1"/>
                <w:color w:val="auto"/>
              </w:rPr>
              <w:t>Price to</w:t>
            </w:r>
          </w:p>
        </w:tc>
        <w:tc>
          <w:tcPr>
            <w:tcW w:w="220" w:type="dxa"/>
            <w:vAlign w:val="bottom"/>
          </w:tcPr>
          <w:p>
            <w:pPr>
              <w:spacing w:after="0"/>
              <w:rPr>
                <w:sz w:val="6"/>
                <w:szCs w:val="6"/>
                <w:color w:val="auto"/>
              </w:rPr>
            </w:pPr>
          </w:p>
        </w:tc>
        <w:tc>
          <w:tcPr>
            <w:tcW w:w="68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40" w:type="dxa"/>
            <w:vAlign w:val="bottom"/>
            <w:gridSpan w:val="2"/>
            <w:vMerge w:val="restart"/>
          </w:tcPr>
          <w:p>
            <w:pPr>
              <w:ind w:left="20"/>
              <w:spacing w:after="0" w:line="210" w:lineRule="exact"/>
              <w:rPr>
                <w:sz w:val="20"/>
                <w:szCs w:val="20"/>
                <w:color w:val="auto"/>
              </w:rPr>
            </w:pPr>
            <w:r>
              <w:rPr>
                <w:rFonts w:ascii="Arial" w:cs="Arial" w:eastAsia="Arial" w:hAnsi="Arial"/>
                <w:sz w:val="24"/>
                <w:szCs w:val="24"/>
                <w:b w:val="1"/>
                <w:bCs w:val="1"/>
                <w:color w:val="auto"/>
                <w:vertAlign w:val="subscript"/>
              </w:rPr>
              <w:t>NAV</w:t>
            </w:r>
            <w:r>
              <w:rPr>
                <w:rFonts w:ascii="Arial" w:cs="Arial" w:eastAsia="Arial" w:hAnsi="Arial"/>
                <w:sz w:val="10"/>
                <w:szCs w:val="10"/>
                <w:b w:val="1"/>
                <w:bCs w:val="1"/>
                <w:color w:val="auto"/>
              </w:rPr>
              <w:t xml:space="preserve"> (1)</w:t>
            </w:r>
          </w:p>
        </w:tc>
        <w:tc>
          <w:tcPr>
            <w:tcW w:w="24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7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5"/>
                <w:szCs w:val="15"/>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Low</w:t>
            </w:r>
          </w:p>
        </w:tc>
        <w:tc>
          <w:tcPr>
            <w:tcW w:w="1200" w:type="dxa"/>
            <w:vAlign w:val="bottom"/>
            <w:gridSpan w:val="2"/>
          </w:tcPr>
          <w:p>
            <w:pPr>
              <w:jc w:val="center"/>
              <w:ind w:right="560"/>
              <w:spacing w:after="0" w:line="176" w:lineRule="exact"/>
              <w:rPr>
                <w:sz w:val="20"/>
                <w:szCs w:val="20"/>
                <w:color w:val="auto"/>
              </w:rPr>
            </w:pPr>
            <w:r>
              <w:rPr>
                <w:rFonts w:ascii="Arial" w:cs="Arial" w:eastAsia="Arial" w:hAnsi="Arial"/>
                <w:sz w:val="20"/>
                <w:szCs w:val="20"/>
                <w:b w:val="1"/>
                <w:bCs w:val="1"/>
                <w:color w:val="auto"/>
                <w:vertAlign w:val="subscript"/>
              </w:rPr>
              <w:t>NAV</w:t>
            </w:r>
            <w:r>
              <w:rPr>
                <w:rFonts w:ascii="Arial" w:cs="Arial" w:eastAsia="Arial" w:hAnsi="Arial"/>
                <w:sz w:val="9"/>
                <w:szCs w:val="9"/>
                <w:b w:val="1"/>
                <w:bCs w:val="1"/>
                <w:color w:val="auto"/>
              </w:rPr>
              <w:t xml:space="preserve"> (2)</w:t>
            </w:r>
          </w:p>
        </w:tc>
        <w:tc>
          <w:tcPr>
            <w:tcW w:w="960" w:type="dxa"/>
            <w:vAlign w:val="bottom"/>
            <w:gridSpan w:val="2"/>
          </w:tcPr>
          <w:p>
            <w:pPr>
              <w:jc w:val="right"/>
              <w:ind w:right="440"/>
              <w:spacing w:after="0" w:line="176" w:lineRule="exact"/>
              <w:rPr>
                <w:sz w:val="20"/>
                <w:szCs w:val="20"/>
                <w:color w:val="auto"/>
              </w:rPr>
            </w:pPr>
            <w:r>
              <w:rPr>
                <w:rFonts w:ascii="Arial" w:cs="Arial" w:eastAsia="Arial" w:hAnsi="Arial"/>
                <w:sz w:val="20"/>
                <w:szCs w:val="20"/>
                <w:b w:val="1"/>
                <w:bCs w:val="1"/>
                <w:color w:val="auto"/>
                <w:vertAlign w:val="subscript"/>
              </w:rPr>
              <w:t>NAV</w:t>
            </w:r>
            <w:r>
              <w:rPr>
                <w:rFonts w:ascii="Arial" w:cs="Arial" w:eastAsia="Arial" w:hAnsi="Arial"/>
                <w:sz w:val="9"/>
                <w:szCs w:val="9"/>
                <w:b w:val="1"/>
                <w:bCs w:val="1"/>
                <w:color w:val="auto"/>
              </w:rPr>
              <w:t xml:space="preserve"> (2)</w:t>
            </w:r>
          </w:p>
        </w:tc>
        <w:tc>
          <w:tcPr>
            <w:tcW w:w="22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Second quarter (through February 23, 2011)</w:t>
            </w:r>
          </w:p>
        </w:tc>
        <w:tc>
          <w:tcPr>
            <w:tcW w:w="740" w:type="dxa"/>
            <w:vAlign w:val="bottom"/>
            <w:gridSpan w:val="2"/>
          </w:tcPr>
          <w:p>
            <w:pPr>
              <w:spacing w:after="0"/>
              <w:rPr>
                <w:sz w:val="20"/>
                <w:szCs w:val="20"/>
                <w:color w:val="auto"/>
              </w:rPr>
            </w:pPr>
            <w:r>
              <w:rPr>
                <w:rFonts w:ascii="Arial" w:cs="Arial" w:eastAsia="Arial" w:hAnsi="Arial"/>
                <w:sz w:val="18"/>
                <w:szCs w:val="18"/>
                <w:color w:val="auto"/>
              </w:rPr>
              <w:t>$ N/A</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$13.05</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$12.07</w:t>
            </w: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12.75</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10.60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10.69</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10.94</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11.84</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9.02</w:t>
            </w: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10.77</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8.88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11.86</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9.15</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7.63</w:t>
            </w: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11.85</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9.06</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6.28</w:t>
            </w: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7.65</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3.85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12.00</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4.05</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2.64</w:t>
            </w: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7.81</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2.35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8.50</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5.92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10.77</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8.60</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7.05</w:t>
            </w: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11.31</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8.38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12.07</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14.49</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9.08</w:t>
            </w: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12.83</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14.76</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12.61</w:t>
            </w: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15.03</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14.04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3"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this prospectus for more information.</w:t>
      </w: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 w:lineRule="exact"/>
        <w:rPr>
          <w:sz w:val="20"/>
          <w:szCs w:val="20"/>
          <w:color w:val="auto"/>
        </w:rPr>
      </w:pPr>
    </w:p>
    <w:p>
      <w:pPr>
        <w:ind w:left="460" w:hanging="408"/>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NAV that is attributable to those shares. Our shares have traded above and below our NAV. Our shares traded on NASDAQ Global Select Market at $12.25 and $10.61 as of December 31, 2010 and September 30, 2010, respectively. Our NAV was $11.14 and $10.69, as of December 31, 2010 and September 30, 2010,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62" w:lineRule="exact"/>
        <w:rPr>
          <w:sz w:val="20"/>
          <w:szCs w:val="20"/>
          <w:color w:val="auto"/>
        </w:rPr>
      </w:pPr>
    </w:p>
    <w:p>
      <w:pPr>
        <w:ind w:left="9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leverage available to us and SBIC LP, both before and after the offering and other borrowing terms;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259"/>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left="279"/>
              <w:spacing w:after="0"/>
              <w:rPr>
                <w:sz w:val="20"/>
                <w:szCs w:val="20"/>
                <w:color w:val="auto"/>
              </w:rPr>
            </w:pPr>
            <w:r>
              <w:rPr>
                <w:rFonts w:ascii="Arial" w:cs="Arial" w:eastAsia="Arial" w:hAnsi="Arial"/>
                <w:sz w:val="14"/>
                <w:szCs w:val="14"/>
                <w:b w:val="1"/>
                <w:bCs w:val="1"/>
                <w:color w:val="auto"/>
                <w:w w:val="89"/>
              </w:rPr>
              <w:t>Example 2</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w w:val="86"/>
              </w:rPr>
              <w:t>Example 3</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left="259"/>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left="299"/>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left="319"/>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89"/>
              </w:rPr>
              <w:t>Prior to Sale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9"/>
              </w:rPr>
              <w:t>at 5%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8"/>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3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5"/>
              </w:rPr>
              <w:t>Following</w:t>
            </w:r>
          </w:p>
        </w:tc>
        <w:tc>
          <w:tcPr>
            <w:tcW w:w="44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8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Below NAV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3"/>
              </w:rPr>
              <w:t>Sale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10.05</w:t>
            </w:r>
          </w:p>
        </w:tc>
        <w:tc>
          <w:tcPr>
            <w:tcW w:w="46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1,050,000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NAV per share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9.98</w:t>
            </w:r>
          </w:p>
        </w:tc>
        <w:tc>
          <w:tcPr>
            <w:tcW w:w="4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0.91%</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0.83%</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(17.00)%</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 stockholder A</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8"/>
        </w:trPr>
        <w:tc>
          <w:tcPr>
            <w:tcW w:w="3360" w:type="dxa"/>
            <w:vAlign w:val="bottom"/>
          </w:tcPr>
          <w:p>
            <w:pPr>
              <w:ind w:left="440"/>
              <w:spacing w:after="0"/>
              <w:rPr>
                <w:sz w:val="20"/>
                <w:szCs w:val="20"/>
                <w:color w:val="auto"/>
              </w:rPr>
            </w:pPr>
            <w:r>
              <w:rPr>
                <w:rFonts w:ascii="Arial" w:cs="Arial" w:eastAsia="Arial" w:hAnsi="Arial"/>
                <w:sz w:val="18"/>
                <w:szCs w:val="18"/>
                <w:color w:val="auto"/>
              </w:rPr>
              <w:t>Total investment by stockholder A</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tcPr>
          <w:p>
            <w:pPr>
              <w:ind w:left="660"/>
              <w:spacing w:after="0"/>
              <w:rPr>
                <w:sz w:val="20"/>
                <w:szCs w:val="20"/>
                <w:color w:val="auto"/>
              </w:rPr>
            </w:pPr>
            <w:r>
              <w:rPr>
                <w:rFonts w:ascii="Arial" w:cs="Arial" w:eastAsia="Arial" w:hAnsi="Arial"/>
                <w:sz w:val="18"/>
                <w:szCs w:val="18"/>
                <w:color w:val="auto"/>
                <w:w w:val="98"/>
              </w:rPr>
              <w:t>(assumed to be $10.00 per share)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dilution to stockholder A (total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NAV less total investment)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w:t>
            </w:r>
          </w:p>
        </w:tc>
        <w:tc>
          <w:tcPr>
            <w:tcW w:w="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(3,300)</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3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9"/>
              </w:rPr>
              <w:t>Example 1</w:t>
            </w:r>
          </w:p>
        </w:tc>
        <w:tc>
          <w:tcPr>
            <w:tcW w:w="120" w:type="dxa"/>
            <w:vAlign w:val="bottom"/>
          </w:tcPr>
          <w:p>
            <w:pPr>
              <w:spacing w:after="0"/>
              <w:rPr>
                <w:sz w:val="14"/>
                <w:szCs w:val="14"/>
                <w:color w:val="auto"/>
              </w:rPr>
            </w:pPr>
          </w:p>
        </w:tc>
        <w:tc>
          <w:tcPr>
            <w:tcW w:w="174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9"/>
              </w:rPr>
              <w:t>Example 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Example 3</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5% Offering</w:t>
            </w:r>
          </w:p>
        </w:tc>
        <w:tc>
          <w:tcPr>
            <w:tcW w:w="120" w:type="dxa"/>
            <w:vAlign w:val="bottom"/>
          </w:tcPr>
          <w:p>
            <w:pPr>
              <w:spacing w:after="0"/>
              <w:rPr>
                <w:sz w:val="12"/>
                <w:szCs w:val="12"/>
                <w:color w:val="auto"/>
              </w:rPr>
            </w:pPr>
          </w:p>
        </w:tc>
        <w:tc>
          <w:tcPr>
            <w:tcW w:w="174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Prior to Sale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9"/>
              </w:rPr>
              <w:t>at 5% Discount</w:t>
            </w:r>
          </w:p>
        </w:tc>
        <w:tc>
          <w:tcPr>
            <w:tcW w:w="120" w:type="dxa"/>
            <w:vAlign w:val="bottom"/>
          </w:tcPr>
          <w:p>
            <w:pPr>
              <w:spacing w:after="0"/>
              <w:rPr>
                <w:sz w:val="14"/>
                <w:szCs w:val="14"/>
                <w:color w:val="auto"/>
              </w:rPr>
            </w:pPr>
          </w:p>
        </w:tc>
        <w:tc>
          <w:tcPr>
            <w:tcW w:w="17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8"/>
              </w:rPr>
              <w:t>at 10% Discount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44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Following</w:t>
            </w:r>
          </w:p>
        </w:tc>
        <w:tc>
          <w:tcPr>
            <w:tcW w:w="44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Following</w:t>
            </w:r>
          </w:p>
        </w:tc>
        <w:tc>
          <w:tcPr>
            <w:tcW w:w="44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Following</w:t>
            </w:r>
          </w:p>
        </w:tc>
        <w:tc>
          <w:tcPr>
            <w:tcW w:w="44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Below NAV</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Sale</w:t>
            </w:r>
          </w:p>
        </w:tc>
        <w:tc>
          <w:tcPr>
            <w:tcW w:w="10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4"/>
                <w:szCs w:val="14"/>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Sale</w:t>
            </w: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Sale</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9.98</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9.67</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per share held by stockholder A</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7"/>
              </w:rPr>
              <w:t>(assumed to be $10.00 per share on shares held</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prior to sale)</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10.00</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10.00</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4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10.00</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460" w:type="dxa"/>
            <w:vAlign w:val="bottom"/>
          </w:tcPr>
          <w:p>
            <w:pPr>
              <w:ind w:left="440"/>
              <w:spacing w:after="0"/>
              <w:rPr>
                <w:sz w:val="20"/>
                <w:szCs w:val="20"/>
                <w:color w:val="auto"/>
              </w:rPr>
            </w:pPr>
            <w:r>
              <w:rPr>
                <w:rFonts w:ascii="Arial" w:cs="Arial" w:eastAsia="Arial" w:hAnsi="Arial"/>
                <w:sz w:val="18"/>
                <w:szCs w:val="18"/>
                <w:color w:val="auto"/>
              </w:rPr>
              <w:t>Dilution per share held by stockholder A (NAV per</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660"/>
              <w:spacing w:after="0"/>
              <w:rPr>
                <w:sz w:val="20"/>
                <w:szCs w:val="20"/>
                <w:color w:val="auto"/>
              </w:rPr>
            </w:pPr>
            <w:r>
              <w:rPr>
                <w:rFonts w:ascii="Arial" w:cs="Arial" w:eastAsia="Arial" w:hAnsi="Arial"/>
                <w:sz w:val="18"/>
                <w:szCs w:val="18"/>
                <w:color w:val="auto"/>
              </w:rPr>
              <w:t>share less investment per share)</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(0.02)</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(0.09)</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(0.33)</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Percentage dilution to stockholder A (dilution per</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divided by investment per share)</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(0.90)%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(3.30)%</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w w:val="89"/>
              </w:rPr>
              <w:t>Prior to Sale</w:t>
            </w:r>
          </w:p>
        </w:tc>
        <w:tc>
          <w:tcPr>
            <w:tcW w:w="100" w:type="dxa"/>
            <w:vAlign w:val="bottom"/>
          </w:tcPr>
          <w:p>
            <w:pPr>
              <w:spacing w:after="0"/>
              <w:rPr>
                <w:sz w:val="14"/>
                <w:szCs w:val="14"/>
                <w:color w:val="auto"/>
              </w:rPr>
            </w:pPr>
          </w:p>
        </w:tc>
        <w:tc>
          <w:tcPr>
            <w:tcW w:w="22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50% Participation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3"/>
              </w:rPr>
              <w:t>Below NAV</w:t>
            </w:r>
          </w:p>
        </w:tc>
        <w:tc>
          <w:tcPr>
            <w:tcW w:w="100" w:type="dxa"/>
            <w:vAlign w:val="bottom"/>
          </w:tcPr>
          <w:p>
            <w:pPr>
              <w:spacing w:after="0"/>
              <w:rPr>
                <w:sz w:val="14"/>
                <w:szCs w:val="14"/>
                <w:color w:val="auto"/>
              </w:rPr>
            </w:pPr>
          </w:p>
        </w:tc>
        <w:tc>
          <w:tcPr>
            <w:tcW w:w="13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Sale</w:t>
            </w: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5"/>
              </w:rPr>
              <w:t>Change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8.47</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8.00</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4"/>
              </w:rPr>
              <w:t>1,200,000</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NAV per share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9.67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(3.30)%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11,000</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13,000</w:t>
            </w:r>
          </w:p>
        </w:tc>
        <w:tc>
          <w:tcPr>
            <w:tcW w:w="6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30.00%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0.92%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 stockholder A</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106,370</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125,710</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25.71%</w:t>
            </w:r>
          </w:p>
        </w:tc>
        <w:tc>
          <w:tcPr>
            <w:tcW w:w="0" w:type="dxa"/>
            <w:vAlign w:val="bottom"/>
          </w:tcPr>
          <w:p>
            <w:pPr>
              <w:spacing w:after="0"/>
              <w:rPr>
                <w:sz w:val="1"/>
                <w:szCs w:val="1"/>
                <w:color w:val="auto"/>
              </w:rPr>
            </w:pPr>
          </w:p>
        </w:tc>
      </w:tr>
      <w:tr>
        <w:trPr>
          <w:trHeight w:val="208"/>
        </w:trPr>
        <w:tc>
          <w:tcPr>
            <w:tcW w:w="4900" w:type="dxa"/>
            <w:vAlign w:val="bottom"/>
          </w:tcPr>
          <w:p>
            <w:pPr>
              <w:ind w:left="440"/>
              <w:spacing w:after="0"/>
              <w:rPr>
                <w:sz w:val="20"/>
                <w:szCs w:val="20"/>
                <w:color w:val="auto"/>
              </w:rPr>
            </w:pPr>
            <w:r>
              <w:rPr>
                <w:rFonts w:ascii="Arial" w:cs="Arial" w:eastAsia="Arial" w:hAnsi="Arial"/>
                <w:sz w:val="18"/>
                <w:szCs w:val="18"/>
                <w:color w:val="auto"/>
                <w:w w:val="96"/>
              </w:rPr>
              <w:t>Total investment by stockholder A (assumed to be $10.00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660"/>
              <w:spacing w:after="0"/>
              <w:rPr>
                <w:sz w:val="20"/>
                <w:szCs w:val="20"/>
                <w:color w:val="auto"/>
              </w:rPr>
            </w:pPr>
            <w:r>
              <w:rPr>
                <w:rFonts w:ascii="Arial" w:cs="Arial" w:eastAsia="Arial" w:hAnsi="Arial"/>
                <w:sz w:val="18"/>
                <w:szCs w:val="18"/>
                <w:color w:val="auto"/>
              </w:rPr>
              <w:t>per share on shares held prior to sale)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108,470</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8.47%</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125,410</w:t>
            </w:r>
          </w:p>
        </w:tc>
        <w:tc>
          <w:tcPr>
            <w:tcW w:w="6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25.41%</w:t>
            </w: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Total (dilution)/accretion to stockholder A (total NAV less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investment)</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(2,100)</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NAV per share held by stockholder A</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9.67</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900" w:type="dxa"/>
            <w:vAlign w:val="bottom"/>
          </w:tcPr>
          <w:p>
            <w:pPr>
              <w:ind w:left="440"/>
              <w:spacing w:after="0"/>
              <w:rPr>
                <w:sz w:val="20"/>
                <w:szCs w:val="20"/>
                <w:color w:val="auto"/>
              </w:rPr>
            </w:pPr>
            <w:r>
              <w:rPr>
                <w:rFonts w:ascii="Arial" w:cs="Arial" w:eastAsia="Arial" w:hAnsi="Arial"/>
                <w:sz w:val="18"/>
                <w:szCs w:val="18"/>
                <w:color w:val="auto"/>
                <w:w w:val="93"/>
              </w:rPr>
              <w:t>Investment per share held by stockholder A (assumed to be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660"/>
              <w:spacing w:after="0"/>
              <w:rPr>
                <w:sz w:val="20"/>
                <w:szCs w:val="20"/>
                <w:color w:val="auto"/>
              </w:rPr>
            </w:pPr>
            <w:r>
              <w:rPr>
                <w:rFonts w:ascii="Arial" w:cs="Arial" w:eastAsia="Arial" w:hAnsi="Arial"/>
                <w:sz w:val="18"/>
                <w:szCs w:val="18"/>
                <w:color w:val="auto"/>
              </w:rPr>
              <w:t>$10.00 per share on shares held prior to sale)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9.86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(1.40)%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9.65</w:t>
            </w:r>
          </w:p>
        </w:tc>
        <w:tc>
          <w:tcPr>
            <w:tcW w:w="6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(Dilution)/accretion per share held by stockholder A (NAV</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 share less investment per share)</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(0.19)</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900" w:type="dxa"/>
            <w:vAlign w:val="bottom"/>
          </w:tcPr>
          <w:p>
            <w:pPr>
              <w:ind w:left="440"/>
              <w:spacing w:after="0"/>
              <w:rPr>
                <w:sz w:val="20"/>
                <w:szCs w:val="20"/>
                <w:color w:val="auto"/>
              </w:rPr>
            </w:pPr>
            <w:r>
              <w:rPr>
                <w:rFonts w:ascii="Arial" w:cs="Arial" w:eastAsia="Arial" w:hAnsi="Arial"/>
                <w:sz w:val="18"/>
                <w:szCs w:val="18"/>
                <w:color w:val="auto"/>
              </w:rPr>
              <w:t>Percentage (dilution)/accretion to stockholder A</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660"/>
              <w:spacing w:after="0"/>
              <w:rPr>
                <w:sz w:val="20"/>
                <w:szCs w:val="20"/>
                <w:color w:val="auto"/>
              </w:rPr>
            </w:pPr>
            <w:r>
              <w:rPr>
                <w:rFonts w:ascii="Arial" w:cs="Arial" w:eastAsia="Arial" w:hAnsi="Arial"/>
                <w:sz w:val="18"/>
                <w:szCs w:val="18"/>
                <w:color w:val="auto"/>
                <w:w w:val="97"/>
              </w:rPr>
              <w:t>(dilution/accretion per share divided by investment per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660"/>
              <w:spacing w:after="0"/>
              <w:rPr>
                <w:sz w:val="20"/>
                <w:szCs w:val="20"/>
                <w:color w:val="auto"/>
              </w:rPr>
            </w:pPr>
            <w:r>
              <w:rPr>
                <w:rFonts w:ascii="Arial" w:cs="Arial" w:eastAsia="Arial" w:hAnsi="Arial"/>
                <w:sz w:val="18"/>
                <w:szCs w:val="18"/>
                <w:color w:val="auto"/>
              </w:rPr>
              <w:t>share)</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w:t>
      </w:r>
    </w:p>
    <w:p>
      <w:pPr>
        <w:spacing w:after="0" w:line="3" w:lineRule="exact"/>
        <w:rPr>
          <w:sz w:val="20"/>
          <w:szCs w:val="20"/>
          <w:color w:val="auto"/>
        </w:rPr>
      </w:pPr>
    </w:p>
    <w:p>
      <w:pPr>
        <w:ind w:right="260" w:firstLine="8"/>
        <w:spacing w:after="0" w:line="302" w:lineRule="auto"/>
        <w:tabs>
          <w:tab w:leader="none" w:pos="2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left="258"/>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2</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6"/>
              </w:rPr>
              <w:t>Example 3</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left="25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0"/>
              </w:rPr>
              <w:t>10% Offering</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87"/>
              </w:rPr>
              <w:t>Prior to Sale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9"/>
              </w:rPr>
              <w:t>at 5% Discount</w:t>
            </w:r>
          </w:p>
        </w:tc>
        <w:tc>
          <w:tcPr>
            <w:tcW w:w="100" w:type="dxa"/>
            <w:vAlign w:val="bottom"/>
          </w:tcPr>
          <w:p>
            <w:pPr>
              <w:spacing w:after="0"/>
              <w:rPr>
                <w:sz w:val="14"/>
                <w:szCs w:val="14"/>
                <w:color w:val="auto"/>
              </w:rPr>
            </w:pPr>
          </w:p>
        </w:tc>
        <w:tc>
          <w:tcPr>
            <w:tcW w:w="20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8"/>
              </w:rPr>
              <w:t>at 10% Discount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5"/>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w w:val="90"/>
              </w:rPr>
              <w:t>Below NAV</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4"/>
                <w:szCs w:val="14"/>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7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10.05</w:t>
            </w:r>
          </w:p>
        </w:tc>
        <w:tc>
          <w:tcPr>
            <w:tcW w:w="5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9.52</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5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1,050,000</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1,100,000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NAV per share</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9.98</w:t>
            </w:r>
          </w:p>
        </w:tc>
        <w:tc>
          <w:tcPr>
            <w:tcW w:w="5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9.91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5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5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5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 A</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0.05%</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0.09%</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0.17%</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 stockholder A</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9,910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Total investment by stockholder A</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5,025</w:t>
            </w:r>
          </w:p>
        </w:tc>
        <w:tc>
          <w:tcPr>
            <w:tcW w:w="5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9,952</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16,940</w:t>
            </w:r>
          </w:p>
        </w:tc>
        <w:tc>
          <w:tcPr>
            <w:tcW w:w="5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dilution to stockholder A (total</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NAV less total investment)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5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NAV per share held by stockholder A</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9.91</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rPr>
              <w:t>Investment per share held by</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660"/>
              <w:spacing w:after="0"/>
              <w:rPr>
                <w:sz w:val="20"/>
                <w:szCs w:val="20"/>
                <w:color w:val="auto"/>
              </w:rPr>
            </w:pPr>
            <w:r>
              <w:rPr>
                <w:rFonts w:ascii="Arial" w:cs="Arial" w:eastAsia="Arial" w:hAnsi="Arial"/>
                <w:sz w:val="18"/>
                <w:szCs w:val="18"/>
                <w:color w:val="auto"/>
              </w:rPr>
              <w:t>stockholder A</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10.05</w:t>
            </w:r>
          </w:p>
        </w:tc>
        <w:tc>
          <w:tcPr>
            <w:tcW w:w="500" w:type="dxa"/>
            <w:vAlign w:val="bottom"/>
          </w:tcPr>
          <w:p>
            <w:pPr>
              <w:spacing w:after="0"/>
              <w:rPr>
                <w:sz w:val="19"/>
                <w:szCs w:val="19"/>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9.52</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500" w:type="dxa"/>
            <w:vAlign w:val="bottom"/>
          </w:tcPr>
          <w:p>
            <w:pPr>
              <w:spacing w:after="0"/>
              <w:rPr>
                <w:sz w:val="19"/>
                <w:szCs w:val="19"/>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Dilution per share held by stockholder</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 (NAV per share less investment</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 share)</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(0.07)</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0.39</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rPr>
              <w:t>Percentage dilution to stockholder A</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660"/>
              <w:spacing w:after="0"/>
              <w:rPr>
                <w:sz w:val="20"/>
                <w:szCs w:val="20"/>
                <w:color w:val="auto"/>
              </w:rPr>
            </w:pPr>
            <w:r>
              <w:rPr>
                <w:rFonts w:ascii="Arial" w:cs="Arial" w:eastAsia="Arial" w:hAnsi="Arial"/>
                <w:sz w:val="18"/>
                <w:szCs w:val="18"/>
                <w:color w:val="auto"/>
              </w:rPr>
              <w:t>(dilution per share divided by</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80" w:type="dxa"/>
            <w:vAlign w:val="bottom"/>
          </w:tcPr>
          <w:p>
            <w:pPr>
              <w:ind w:left="660"/>
              <w:spacing w:after="0"/>
              <w:rPr>
                <w:sz w:val="20"/>
                <w:szCs w:val="20"/>
                <w:color w:val="auto"/>
              </w:rPr>
            </w:pPr>
            <w:r>
              <w:rPr>
                <w:rFonts w:ascii="Arial" w:cs="Arial" w:eastAsia="Arial" w:hAnsi="Arial"/>
                <w:sz w:val="18"/>
                <w:szCs w:val="18"/>
                <w:color w:val="auto"/>
              </w:rPr>
              <w:t>investment per share)</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(0.70)%</w:t>
            </w:r>
          </w:p>
        </w:tc>
        <w:tc>
          <w:tcPr>
            <w:tcW w:w="10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14.17%</w:t>
            </w:r>
          </w:p>
        </w:tc>
        <w:tc>
          <w:tcPr>
            <w:tcW w:w="0" w:type="dxa"/>
            <w:vAlign w:val="bottom"/>
          </w:tcPr>
          <w:p>
            <w:pPr>
              <w:spacing w:after="0"/>
              <w:rPr>
                <w:sz w:val="1"/>
                <w:szCs w:val="1"/>
                <w:color w:val="auto"/>
              </w:rPr>
            </w:pPr>
          </w:p>
        </w:tc>
      </w:tr>
      <w:tr>
        <w:trPr>
          <w:trHeight w:val="365"/>
        </w:trPr>
        <w:tc>
          <w:tcPr>
            <w:tcW w:w="3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61"/>
        </w:trPr>
        <w:tc>
          <w:tcPr>
            <w:tcW w:w="5900" w:type="dxa"/>
            <w:vAlign w:val="bottom"/>
            <w:gridSpan w:val="3"/>
          </w:tcPr>
          <w:p>
            <w:pPr>
              <w:spacing w:after="0"/>
              <w:rPr>
                <w:sz w:val="20"/>
                <w:szCs w:val="20"/>
                <w:color w:val="auto"/>
              </w:rPr>
            </w:pPr>
            <w:r>
              <w:rPr>
                <w:rFonts w:ascii="Arial" w:cs="Arial" w:eastAsia="Arial" w:hAnsi="Arial"/>
                <w:sz w:val="14"/>
                <w:szCs w:val="14"/>
                <w:b w:val="1"/>
                <w:bCs w:val="1"/>
                <w:color w:val="auto"/>
              </w:rPr>
              <w:t>Record Dates</w:t>
            </w:r>
          </w:p>
        </w:tc>
        <w:tc>
          <w:tcPr>
            <w:tcW w:w="1520" w:type="dxa"/>
            <w:vAlign w:val="bottom"/>
          </w:tcPr>
          <w:p>
            <w:pPr>
              <w:ind w:left="320"/>
              <w:spacing w:after="0"/>
              <w:rPr>
                <w:sz w:val="20"/>
                <w:szCs w:val="20"/>
                <w:color w:val="auto"/>
              </w:rPr>
            </w:pPr>
            <w:r>
              <w:rPr>
                <w:rFonts w:ascii="Arial" w:cs="Arial" w:eastAsia="Arial" w:hAnsi="Arial"/>
                <w:sz w:val="14"/>
                <w:szCs w:val="14"/>
                <w:b w:val="1"/>
                <w:bCs w:val="1"/>
                <w:color w:val="auto"/>
              </w:rPr>
              <w:t>Payment Dates</w:t>
            </w:r>
          </w:p>
        </w:tc>
        <w:tc>
          <w:tcPr>
            <w:tcW w:w="5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1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March 15, 2011</w:t>
            </w:r>
          </w:p>
        </w:tc>
        <w:tc>
          <w:tcPr>
            <w:tcW w:w="1520" w:type="dxa"/>
            <w:vAlign w:val="bottom"/>
          </w:tcPr>
          <w:p>
            <w:pPr>
              <w:ind w:left="40"/>
              <w:spacing w:after="0"/>
              <w:rPr>
                <w:sz w:val="20"/>
                <w:szCs w:val="20"/>
                <w:color w:val="auto"/>
              </w:rPr>
            </w:pPr>
            <w:r>
              <w:rPr>
                <w:rFonts w:ascii="Arial" w:cs="Arial" w:eastAsia="Arial" w:hAnsi="Arial"/>
                <w:sz w:val="18"/>
                <w:szCs w:val="18"/>
                <w:color w:val="auto"/>
              </w:rPr>
              <w:t>April 1, 2011</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December 17, 2010</w:t>
            </w:r>
          </w:p>
        </w:tc>
        <w:tc>
          <w:tcPr>
            <w:tcW w:w="1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January 3, 2011</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w:t>
            </w: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88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September 14, 2010</w:t>
            </w:r>
          </w:p>
        </w:tc>
        <w:tc>
          <w:tcPr>
            <w:tcW w:w="1520" w:type="dxa"/>
            <w:vAlign w:val="bottom"/>
          </w:tcPr>
          <w:p>
            <w:pPr>
              <w:ind w:left="40"/>
              <w:spacing w:after="0"/>
              <w:rPr>
                <w:sz w:val="20"/>
                <w:szCs w:val="20"/>
                <w:color w:val="auto"/>
              </w:rPr>
            </w:pPr>
            <w:r>
              <w:rPr>
                <w:rFonts w:ascii="Arial" w:cs="Arial" w:eastAsia="Arial" w:hAnsi="Arial"/>
                <w:sz w:val="18"/>
                <w:szCs w:val="18"/>
                <w:color w:val="auto"/>
              </w:rPr>
              <w:t>October 1, 2010</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June 24, 2010</w:t>
            </w:r>
          </w:p>
        </w:tc>
        <w:tc>
          <w:tcPr>
            <w:tcW w:w="1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July 1, 2010</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March 25, 2010</w:t>
            </w:r>
          </w:p>
        </w:tc>
        <w:tc>
          <w:tcPr>
            <w:tcW w:w="1520" w:type="dxa"/>
            <w:vAlign w:val="bottom"/>
          </w:tcPr>
          <w:p>
            <w:pPr>
              <w:ind w:left="40"/>
              <w:spacing w:after="0"/>
              <w:rPr>
                <w:sz w:val="20"/>
                <w:szCs w:val="20"/>
                <w:color w:val="auto"/>
              </w:rPr>
            </w:pPr>
            <w:r>
              <w:rPr>
                <w:rFonts w:ascii="Arial" w:cs="Arial" w:eastAsia="Arial" w:hAnsi="Arial"/>
                <w:sz w:val="18"/>
                <w:szCs w:val="18"/>
                <w:color w:val="auto"/>
              </w:rPr>
              <w:t>April 1, 2010</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December 24, 2009</w:t>
            </w:r>
          </w:p>
        </w:tc>
        <w:tc>
          <w:tcPr>
            <w:tcW w:w="1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January 4, 2010</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w:t>
            </w: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88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September 8, 2009</w:t>
            </w:r>
          </w:p>
        </w:tc>
        <w:tc>
          <w:tcPr>
            <w:tcW w:w="1520" w:type="dxa"/>
            <w:vAlign w:val="bottom"/>
          </w:tcPr>
          <w:p>
            <w:pPr>
              <w:ind w:left="40"/>
              <w:spacing w:after="0"/>
              <w:rPr>
                <w:sz w:val="20"/>
                <w:szCs w:val="20"/>
                <w:color w:val="auto"/>
              </w:rPr>
            </w:pPr>
            <w:r>
              <w:rPr>
                <w:rFonts w:ascii="Arial" w:cs="Arial" w:eastAsia="Arial" w:hAnsi="Arial"/>
                <w:sz w:val="18"/>
                <w:szCs w:val="18"/>
                <w:color w:val="auto"/>
              </w:rPr>
              <w:t>October 1, 2009</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June 24, 2009</w:t>
            </w:r>
          </w:p>
        </w:tc>
        <w:tc>
          <w:tcPr>
            <w:tcW w:w="1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July 1, 2009</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March 25, 2009</w:t>
            </w:r>
          </w:p>
        </w:tc>
        <w:tc>
          <w:tcPr>
            <w:tcW w:w="1520" w:type="dxa"/>
            <w:vAlign w:val="bottom"/>
          </w:tcPr>
          <w:p>
            <w:pPr>
              <w:ind w:left="40"/>
              <w:spacing w:after="0"/>
              <w:rPr>
                <w:sz w:val="20"/>
                <w:szCs w:val="20"/>
                <w:color w:val="auto"/>
              </w:rPr>
            </w:pPr>
            <w:r>
              <w:rPr>
                <w:rFonts w:ascii="Arial" w:cs="Arial" w:eastAsia="Arial" w:hAnsi="Arial"/>
                <w:sz w:val="18"/>
                <w:szCs w:val="18"/>
                <w:color w:val="auto"/>
              </w:rPr>
              <w:t>April 1, 2009</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December 23, 2008</w:t>
            </w:r>
          </w:p>
        </w:tc>
        <w:tc>
          <w:tcPr>
            <w:tcW w:w="1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January 4, 2009</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w:t>
            </w: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88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September 24, 2008</w:t>
            </w:r>
          </w:p>
        </w:tc>
        <w:tc>
          <w:tcPr>
            <w:tcW w:w="1520" w:type="dxa"/>
            <w:vAlign w:val="bottom"/>
          </w:tcPr>
          <w:p>
            <w:pPr>
              <w:ind w:left="40"/>
              <w:spacing w:after="0"/>
              <w:rPr>
                <w:sz w:val="20"/>
                <w:szCs w:val="20"/>
                <w:color w:val="auto"/>
              </w:rPr>
            </w:pPr>
            <w:r>
              <w:rPr>
                <w:rFonts w:ascii="Arial" w:cs="Arial" w:eastAsia="Arial" w:hAnsi="Arial"/>
                <w:sz w:val="18"/>
                <w:szCs w:val="18"/>
                <w:color w:val="auto"/>
              </w:rPr>
              <w:t>October 1, 2008</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June 23, 2008</w:t>
            </w:r>
          </w:p>
        </w:tc>
        <w:tc>
          <w:tcPr>
            <w:tcW w:w="1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30, 2008</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March 24, 2008</w:t>
            </w:r>
          </w:p>
        </w:tc>
        <w:tc>
          <w:tcPr>
            <w:tcW w:w="1520" w:type="dxa"/>
            <w:vAlign w:val="bottom"/>
          </w:tcPr>
          <w:p>
            <w:pPr>
              <w:ind w:left="40"/>
              <w:spacing w:after="0"/>
              <w:rPr>
                <w:sz w:val="20"/>
                <w:szCs w:val="20"/>
                <w:color w:val="auto"/>
              </w:rPr>
            </w:pPr>
            <w:r>
              <w:rPr>
                <w:rFonts w:ascii="Arial" w:cs="Arial" w:eastAsia="Arial" w:hAnsi="Arial"/>
                <w:sz w:val="18"/>
                <w:szCs w:val="18"/>
                <w:color w:val="auto"/>
              </w:rPr>
              <w:t>March 31, 2008</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December 24, 2007</w:t>
            </w:r>
          </w:p>
        </w:tc>
        <w:tc>
          <w:tcPr>
            <w:tcW w:w="1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December 31, 2007</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w:t>
            </w: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88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8 to our consolidated financial statements.</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w:t>
      </w:r>
    </w:p>
    <w:p>
      <w:pPr>
        <w:spacing w:after="0" w:line="2" w:lineRule="exact"/>
        <w:rPr>
          <w:sz w:val="20"/>
          <w:szCs w:val="20"/>
          <w:color w:val="auto"/>
        </w:rPr>
      </w:pPr>
    </w:p>
    <w:p>
      <w:pPr>
        <w:ind w:firstLine="8"/>
        <w:spacing w:after="0" w:line="302" w:lineRule="auto"/>
        <w:tabs>
          <w:tab w:leader="none" w:pos="2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capital losses), if any, at least annually, out of the assets legally available for such distributions, we may decide to retain such net capital gains or ordinary income to provide us with additional liquidity.</w:t>
      </w:r>
    </w:p>
    <w:p>
      <w:pPr>
        <w:spacing w:after="0" w:line="13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40"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60" w:firstLine="8"/>
        <w:spacing w:after="0" w:line="292" w:lineRule="auto"/>
        <w:tabs>
          <w:tab w:leader="none" w:pos="2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stockholder may elect to receive his or her entire distribution in either cash or stock of the RIC subject to a limitation on the aggregate amount of cash to be distributed to all stockholders, which must be at least 10%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10% of his or her entire distribution in cash. We have not elected to distribute stock as a dividend but reserve the right to do so. See “Material U.S. Federal Income Tax Considerations” for more information.</w:t>
      </w:r>
    </w:p>
    <w:p>
      <w:pPr>
        <w:spacing w:after="0" w:line="11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PennantPark Investment seeks to create a diversified portfolio that includes senior secured loans, mezzanine debt and equity investments by investing approximately $10 million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under the 1940 Act. In addition, for tax purposes we have elected to be treated as a RIC, under the Code.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wholly owned SBIC subsidiary, PennantPark SBIC LP, was organized as a Delaware limited partnership on May 7, 2010 and received a license from the SBA to operate as an SBIC under Section 301(c) of the 1958 Act on July 30, 2010. Our SBIC’s objective is to generate both current income and capital appreciation through debt and equity investments. SBIC LP, generally, invests with us in SBA eligible businesses that meet the investment criteria used by PennantPark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utilize the investing experience and contacts of PennantPark Investment Advisers to develop what we believe to be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capital preservation, diversification and active management. Since our inception in 2007, we have raised nearly $1 billion in debt and equity capital, and have invested over $1 billion in more than 100 companies with 54 different financial sponsors.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Related to our Business and Structure” for more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Investment.</w:t>
      </w:r>
    </w:p>
    <w:p>
      <w:pPr>
        <w:spacing w:after="0" w:line="45" w:lineRule="exact"/>
        <w:rPr>
          <w:sz w:val="20"/>
          <w:szCs w:val="20"/>
          <w:color w:val="auto"/>
        </w:rPr>
      </w:pPr>
    </w:p>
    <w:p>
      <w:pPr>
        <w:ind w:left="900" w:hanging="446"/>
        <w:spacing w:after="0" w:line="25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160" w:hanging="446"/>
        <w:spacing w:after="0" w:line="334"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difficulty raising debt in private markets. </w:t>
      </w:r>
      <w:r>
        <w:rPr>
          <w:rFonts w:ascii="Arial" w:cs="Arial" w:eastAsia="Arial" w:hAnsi="Arial"/>
          <w:sz w:val="16"/>
          <w:szCs w:val="16"/>
          <w:color w:val="auto"/>
        </w:rPr>
        <w:t>Banks, finance companies, hedge funds and CLO</w:t>
      </w:r>
      <w:r>
        <w:rPr>
          <w:rFonts w:ascii="Arial" w:cs="Arial" w:eastAsia="Arial" w:hAnsi="Arial"/>
          <w:sz w:val="16"/>
          <w:szCs w:val="16"/>
          <w:b w:val="1"/>
          <w:bCs w:val="1"/>
          <w:color w:val="auto"/>
        </w:rPr>
        <w:t xml:space="preserve"> </w:t>
      </w:r>
      <w:r>
        <w:rPr>
          <w:rFonts w:ascii="Arial" w:cs="Arial" w:eastAsia="Arial" w:hAnsi="Arial"/>
          <w:sz w:val="16"/>
          <w:szCs w:val="16"/>
          <w:color w:val="auto"/>
        </w:rPr>
        <w:t>funds have withdrawn capital from the middle-market resulting in opportunities for alternative funding sources.</w:t>
      </w:r>
    </w:p>
    <w:p>
      <w:pPr>
        <w:spacing w:after="0" w:line="1" w:lineRule="exact"/>
        <w:rPr>
          <w:rFonts w:ascii="Arial" w:cs="Arial" w:eastAsia="Arial" w:hAnsi="Arial"/>
          <w:sz w:val="16"/>
          <w:szCs w:val="16"/>
          <w:color w:val="auto"/>
        </w:rPr>
      </w:pPr>
    </w:p>
    <w:p>
      <w:pPr>
        <w:ind w:left="900" w:hanging="446"/>
        <w:spacing w:after="0" w:line="310"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 current credit 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rFonts w:ascii="Arial" w:cs="Arial" w:eastAsia="Arial" w:hAnsi="Arial"/>
          <w:sz w:val="16"/>
          <w:szCs w:val="16"/>
          <w:color w:val="auto"/>
        </w:rPr>
      </w:pPr>
    </w:p>
    <w:p>
      <w:pPr>
        <w:ind w:left="900" w:right="140" w:hanging="446"/>
        <w:spacing w:after="0" w:line="296"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right="160" w:hanging="446"/>
        <w:spacing w:after="0" w:line="262"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years 2004 and 2007, which will come due in the next few years. This supply of opportunities coupled with a lack of demand offers attractive risk-adjusted returns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“Business – Investment Selection Criteria”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900" w:hanging="446"/>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420" w:hanging="184"/>
        <w:spacing w:after="0"/>
        <w:tabs>
          <w:tab w:leader="none" w:pos="42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Longer Investment Horizon with Attractive Publicly Traded Model</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 market companies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60" w:firstLine="456"/>
        <w:spacing w:after="0" w:line="303"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w:t>
      </w:r>
    </w:p>
    <w:p>
      <w:pPr>
        <w:spacing w:after="0" w:line="1"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color w:val="auto"/>
        </w:rPr>
        <w:t>Furthermore, many of our competitors are not subject to the regulatory restrictions that the 1940 Act imposes on us as a business development company. See “Risk Factors—Risks Relating to our Business and Structure—We operate in a highly competitive market for investment opportunities” for more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December 31, 2010, we maintain a five-year, multi-currency $300.0 million senior secured credit facility (the “credit facility”), which matures on June 25, 2012, and is secured by substantially all of our investment portfolio assets (excluding the assets of SBIC LP) with a group of lenders, under which we had $255.8 million outstanding with a weighted average interest rate at the time of 1.28% and had $44.2 million of unused borrowing capacity, which is subject to maintenance of the applicable total assets to debt ratio of 200%, as of December 31, 2010. Pricing of borrowings under our credit facility is set at 100 basis points over the LIBOR. We believe that our capital resources will provide us with the flexibility to take advantage of market opportunities when they arise. In addition, any future additional debt capital we incur, to the extent it is available under current credit market conditions, may be issued at a higher cost and on less favorable terms and conditions than our current credit facility. See “Recent Developments” in “Management’s Discussion and Analysis of Financial Condition and Results of Operations” for more information.</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of December 31, 2010, SBIC LP had a debenture commitment from the SBA in the amount of $100.0 million, had $30.0 million outstanding (including $29.5 million of temporary draws) with a weighted average interest rate of 0.96%, exclusive of the 3.43% of upfront fees, and had $70 million remaining unused borrowing capacity subject to customary regulatory requirements. SBA debentures offer competitive terms such as being non-recourse to us, having a 10-year maturity, requiring semi-annual interest payments, not requiring principal payments prior to maturity and may be prepaid at any time without penalty. The SBA debentures are secured by all the investment portfolio assets of SBIC LP and have a superior claim over such assets. See “Regulation” in this prospectus for more information.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senior secured loans, mezzanine debt and equity by targeting an investment size of $10 million to $50 million, on average, in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Over time, we expect that our portfolio will continue to consist primarily of senior secured loans, mezzanine debt and, to a lesser extent, equity investments in qualifying assets such as private or thinly traded or small market-cap, public middle-market U.S. companies. In addition, we may invest up to 30% of our portfolio in non-qualifying assets. See “Regulation” for more information concerning qualifying assets under both the 1940 Act and SBA requirements.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Policy Overview—Investment selection criteria” for more information.</w:t>
      </w:r>
    </w:p>
    <w:p>
      <w:pPr>
        <w:spacing w:after="0" w:line="12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benefits from a senior collateral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 Our SBIC subsidiary will invest in SBA eligible investments that otherwise meet the same investment criteria used by PennantPark Investment.</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Generally, we seek to use our experience and access to market information to identify investment candidates and to structure investments quickly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orientation and positive cash flow</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investment philosophy places a premium on fundamental analysis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management and established financial sponsor relationship</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and defensible competitive market position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459" w:right="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Mezzanine debt typically has interest-only payments in the early years, payable in cash or in-kind, with amortization of principal deferred to the later years of the mezzanine debt.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case of our senior secured loan and mezzanine debt investments,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66</w:t>
      </w:r>
    </w:p>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446"/>
        <w:spacing w:after="0" w:line="30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 and accomplishments;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Comparisons to other PennantPark Investment portfolio companies in the industry,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of portfolio companies.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offer managerial assistance to our portfolio companies. As a business development company, we are required to make available such managerial assistance within the meaning of section 55 of the 1940 Act. See “Regulation”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Consolidated Portfolio</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Since inception we have invested in approximately 32 industries. We may invest in other industries if we are presented with attractive opportunities. The following is a list of the industries in which we have invested:</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Aerospace and Defense</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Environmental Services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Auto Sector</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Financial Services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Broadcasting and Entertainment</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Grocery</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Business Services</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Healthcare, Education and Childcare</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Buildings and Real Estate</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w w:val="89"/>
              </w:rPr>
              <w:t>Home &amp; Office Furnishings, Housewares &amp; Durable Consumer Products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Cable Television</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Hotels, Motels, Inns and Gaming</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Cargo Transportation</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Insurance</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Chemicals, Plastics and Rubber</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Leisure, Amusement, Motion Picture, Entertainment</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Logistics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Consumer Products</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Manufacturing / Basic Industries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Containers Packaging &amp; Glass</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Media</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Distribution</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Oil and Gas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Diversified/Conglomerate Services</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Other Media</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Diversified/Conglomerate Manufacturing</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Printing and Publishing</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Telecommunications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Energy / Utilities</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Retail Store</w:t>
            </w:r>
          </w:p>
        </w:tc>
      </w:tr>
    </w:tbl>
    <w:p>
      <w:pPr>
        <w:spacing w:after="0" w:line="169"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and cash equivalents) as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December 31,</w:t>
            </w: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w:t>
            </w:r>
          </w:p>
        </w:tc>
        <w:tc>
          <w:tcPr>
            <w:tcW w:w="78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4900" w:type="dxa"/>
            <w:vAlign w:val="bottom"/>
            <w:gridSpan w:val="3"/>
          </w:tcPr>
          <w:p>
            <w:pPr>
              <w:ind w:left="540"/>
              <w:spacing w:after="0"/>
              <w:rPr>
                <w:sz w:val="20"/>
                <w:szCs w:val="20"/>
                <w:color w:val="auto"/>
              </w:rPr>
            </w:pPr>
            <w:r>
              <w:rPr>
                <w:rFonts w:ascii="Arial" w:cs="Arial" w:eastAsia="Arial" w:hAnsi="Arial"/>
                <w:sz w:val="14"/>
                <w:szCs w:val="14"/>
                <w:b w:val="1"/>
                <w:bCs w:val="1"/>
                <w:color w:val="auto"/>
              </w:rPr>
              <w:t>Portfolio Company</w:t>
            </w:r>
          </w:p>
        </w:tc>
        <w:tc>
          <w:tcPr>
            <w:tcW w:w="8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Rivers Pharmaceutical, L.L.C.</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49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Learning Care Group, Inc.</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Veritext Corporation</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4900" w:type="dxa"/>
            <w:vAlign w:val="bottom"/>
            <w:gridSpan w:val="3"/>
          </w:tcPr>
          <w:p>
            <w:pPr>
              <w:ind w:left="540"/>
              <w:spacing w:after="0"/>
              <w:rPr>
                <w:sz w:val="20"/>
                <w:szCs w:val="20"/>
                <w:color w:val="auto"/>
              </w:rPr>
            </w:pPr>
            <w:r>
              <w:rPr>
                <w:rFonts w:ascii="Arial" w:cs="Arial" w:eastAsia="Arial" w:hAnsi="Arial"/>
                <w:sz w:val="18"/>
                <w:szCs w:val="18"/>
                <w:color w:val="auto"/>
              </w:rPr>
              <w:t>Veritext Corporation</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 Technologies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49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CT Technologies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Da-Lite Screen Company, Inc.</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4900" w:type="dxa"/>
            <w:vAlign w:val="bottom"/>
            <w:gridSpan w:val="3"/>
          </w:tcPr>
          <w:p>
            <w:pPr>
              <w:ind w:left="540"/>
              <w:spacing w:after="0"/>
              <w:rPr>
                <w:sz w:val="20"/>
                <w:szCs w:val="20"/>
                <w:color w:val="auto"/>
              </w:rPr>
            </w:pPr>
            <w:r>
              <w:rPr>
                <w:rFonts w:ascii="Arial" w:cs="Arial" w:eastAsia="Arial" w:hAnsi="Arial"/>
                <w:sz w:val="18"/>
                <w:szCs w:val="18"/>
                <w:color w:val="auto"/>
              </w:rPr>
              <w:t>Da-Lite Screen Company, Inc.</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i2 Holdings, Ltd.</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49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i2 Holdings, Ltd.</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Instant Web, Inc.</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4900" w:type="dxa"/>
            <w:vAlign w:val="bottom"/>
            <w:gridSpan w:val="3"/>
          </w:tcPr>
          <w:p>
            <w:pPr>
              <w:ind w:left="540"/>
              <w:spacing w:after="0"/>
              <w:rPr>
                <w:sz w:val="20"/>
                <w:szCs w:val="20"/>
                <w:color w:val="auto"/>
              </w:rPr>
            </w:pPr>
            <w:r>
              <w:rPr>
                <w:rFonts w:ascii="Arial" w:cs="Arial" w:eastAsia="Arial" w:hAnsi="Arial"/>
                <w:sz w:val="18"/>
                <w:szCs w:val="18"/>
                <w:color w:val="auto"/>
              </w:rPr>
              <w:t>Instant Web, Inc.</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Learning Care Group, Inc.</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49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Saint Acquisition Corp.</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Sugarhouse HSP Gaming Properties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4900" w:type="dxa"/>
            <w:vAlign w:val="bottom"/>
            <w:gridSpan w:val="3"/>
          </w:tcPr>
          <w:p>
            <w:pPr>
              <w:ind w:left="540"/>
              <w:spacing w:after="0"/>
              <w:rPr>
                <w:sz w:val="20"/>
                <w:szCs w:val="20"/>
                <w:color w:val="auto"/>
              </w:rPr>
            </w:pPr>
            <w:r>
              <w:rPr>
                <w:rFonts w:ascii="Arial" w:cs="Arial" w:eastAsia="Arial" w:hAnsi="Arial"/>
                <w:sz w:val="18"/>
                <w:szCs w:val="18"/>
                <w:color w:val="auto"/>
              </w:rPr>
              <w:t>Sugarhouse HSP Gaming Properties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Escort Inc.</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49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Three Rivers Pharmaceutical, L.L.C.</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UP Support Services, Inc. (formerly UP</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00" w:type="dxa"/>
            <w:vAlign w:val="bottom"/>
            <w:gridSpan w:val="3"/>
          </w:tcPr>
          <w:p>
            <w:pPr>
              <w:ind w:left="540"/>
              <w:spacing w:after="0"/>
              <w:rPr>
                <w:sz w:val="20"/>
                <w:szCs w:val="20"/>
                <w:color w:val="auto"/>
              </w:rPr>
            </w:pPr>
            <w:r>
              <w:rPr>
                <w:rFonts w:ascii="Arial" w:cs="Arial" w:eastAsia="Arial" w:hAnsi="Arial"/>
                <w:sz w:val="18"/>
                <w:szCs w:val="18"/>
                <w:color w:val="auto"/>
              </w:rPr>
              <w:t>Trizetto Group, Inc.</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Acquisition Sub Inc.)</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jc w:val="right"/>
              <w:ind w:right="154"/>
              <w:spacing w:after="0"/>
              <w:rPr>
                <w:sz w:val="20"/>
                <w:szCs w:val="20"/>
                <w:color w:val="auto"/>
              </w:rPr>
            </w:pPr>
            <w:r>
              <w:rPr>
                <w:rFonts w:ascii="Arial" w:cs="Arial" w:eastAsia="Arial" w:hAnsi="Arial"/>
                <w:sz w:val="18"/>
                <w:szCs w:val="18"/>
                <w:color w:val="auto"/>
              </w:rPr>
              <w:t>68</w:t>
            </w:r>
          </w:p>
        </w:tc>
        <w:tc>
          <w:tcPr>
            <w:tcW w:w="11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December 31,</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4680" w:type="dxa"/>
            <w:vAlign w:val="bottom"/>
            <w:gridSpan w:val="3"/>
          </w:tcPr>
          <w:p>
            <w:pPr>
              <w:ind w:left="360"/>
              <w:spacing w:after="0"/>
              <w:rPr>
                <w:sz w:val="20"/>
                <w:szCs w:val="20"/>
                <w:color w:val="auto"/>
              </w:rPr>
            </w:pPr>
            <w:r>
              <w:rPr>
                <w:rFonts w:ascii="Arial" w:cs="Arial" w:eastAsia="Arial" w:hAnsi="Arial"/>
                <w:sz w:val="14"/>
                <w:szCs w:val="14"/>
                <w:b w:val="1"/>
                <w:bCs w:val="1"/>
                <w:color w:val="auto"/>
              </w:rPr>
              <w:t>Industry</w:t>
            </w:r>
          </w:p>
        </w:tc>
        <w:tc>
          <w:tcPr>
            <w:tcW w:w="8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46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Business Services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4680" w:type="dxa"/>
            <w:vAlign w:val="bottom"/>
            <w:gridSpan w:val="3"/>
          </w:tcPr>
          <w:p>
            <w:pPr>
              <w:ind w:left="360"/>
              <w:spacing w:after="0"/>
              <w:rPr>
                <w:sz w:val="20"/>
                <w:szCs w:val="20"/>
                <w:color w:val="auto"/>
              </w:rPr>
            </w:pPr>
            <w:r>
              <w:rPr>
                <w:rFonts w:ascii="Arial" w:cs="Arial" w:eastAsia="Arial" w:hAnsi="Arial"/>
                <w:sz w:val="18"/>
                <w:szCs w:val="18"/>
                <w:color w:val="auto"/>
              </w:rPr>
              <w:t>Healthcare, Education and Childcare</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46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Hotels, Motels, Inns and Gaming</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4680" w:type="dxa"/>
            <w:vAlign w:val="bottom"/>
            <w:gridSpan w:val="3"/>
          </w:tcPr>
          <w:p>
            <w:pPr>
              <w:ind w:left="360"/>
              <w:spacing w:after="0"/>
              <w:rPr>
                <w:sz w:val="20"/>
                <w:szCs w:val="20"/>
                <w:color w:val="auto"/>
              </w:rPr>
            </w:pPr>
            <w:r>
              <w:rPr>
                <w:rFonts w:ascii="Arial" w:cs="Arial" w:eastAsia="Arial" w:hAnsi="Arial"/>
                <w:sz w:val="18"/>
                <w:szCs w:val="18"/>
                <w:color w:val="auto"/>
              </w:rPr>
              <w:t>Aerospace and Defense</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46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Chemicals, Plastics and Rubber</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4680" w:type="dxa"/>
            <w:vAlign w:val="bottom"/>
            <w:gridSpan w:val="3"/>
          </w:tcPr>
          <w:p>
            <w:pPr>
              <w:ind w:left="360"/>
              <w:spacing w:after="0"/>
              <w:rPr>
                <w:sz w:val="20"/>
                <w:szCs w:val="20"/>
                <w:color w:val="auto"/>
              </w:rPr>
            </w:pPr>
            <w:r>
              <w:rPr>
                <w:rFonts w:ascii="Arial" w:cs="Arial" w:eastAsia="Arial" w:hAnsi="Arial"/>
                <w:sz w:val="18"/>
                <w:szCs w:val="18"/>
                <w:color w:val="auto"/>
              </w:rPr>
              <w:t>Home and Office Furnishings,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Housewares and Durable Consumer</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Housewares and Durable Consumer</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gridSpan w:val="2"/>
          </w:tcPr>
          <w:p>
            <w:pPr>
              <w:ind w:left="200"/>
              <w:spacing w:after="0"/>
              <w:rPr>
                <w:sz w:val="20"/>
                <w:szCs w:val="20"/>
                <w:color w:val="auto"/>
              </w:rPr>
            </w:pPr>
            <w:r>
              <w:rPr>
                <w:rFonts w:ascii="Arial" w:cs="Arial" w:eastAsia="Arial" w:hAnsi="Arial"/>
                <w:sz w:val="18"/>
                <w:szCs w:val="18"/>
                <w:color w:val="auto"/>
              </w:rPr>
              <w:t>Products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Products</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46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Education</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4680" w:type="dxa"/>
            <w:vAlign w:val="bottom"/>
            <w:gridSpan w:val="3"/>
          </w:tcPr>
          <w:p>
            <w:pPr>
              <w:ind w:left="360"/>
              <w:spacing w:after="0"/>
              <w:rPr>
                <w:sz w:val="20"/>
                <w:szCs w:val="20"/>
                <w:color w:val="auto"/>
              </w:rPr>
            </w:pPr>
            <w:r>
              <w:rPr>
                <w:rFonts w:ascii="Arial" w:cs="Arial" w:eastAsia="Arial" w:hAnsi="Arial"/>
                <w:sz w:val="18"/>
                <w:szCs w:val="18"/>
                <w:color w:val="auto"/>
              </w:rPr>
              <w:t>Insurance</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46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Oil and Gas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4680" w:type="dxa"/>
            <w:vAlign w:val="bottom"/>
            <w:gridSpan w:val="3"/>
          </w:tcPr>
          <w:p>
            <w:pPr>
              <w:ind w:left="360"/>
              <w:spacing w:after="0"/>
              <w:rPr>
                <w:sz w:val="20"/>
                <w:szCs w:val="20"/>
                <w:color w:val="auto"/>
              </w:rPr>
            </w:pPr>
            <w:r>
              <w:rPr>
                <w:rFonts w:ascii="Arial" w:cs="Arial" w:eastAsia="Arial" w:hAnsi="Arial"/>
                <w:sz w:val="18"/>
                <w:szCs w:val="18"/>
                <w:color w:val="auto"/>
              </w:rPr>
              <w:t>Transportation</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PennantPark Investment, subject to compliance with applicable regulations and our trade allocation procedures. Some types of negotiated co-investments may be made only if we receive an order from the SEC permitting us to do so. There can be no assurance that any such order will be obtained. See “Risk Factors—Risks Relating to our Business and Structure—There are significant potential conflicts of interest which could impact our investment returns” for more information.</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December 31, 2010, our portfolio consisted of 45 companies and was invested 40% in senior secured loans, 14% in second lien secured debt, 38% in subordinated debt and 8% in preferred and common equity investments.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December 31, 2010.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December 31, 2010 consolidated financial statements included elsewhere in this prospectus.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5% or less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Substantially all of our investments (except those of SBIC LP) are pledged as collateral under our credit facility. Unless otherwise noted, we held no voting board membership on any of our portfolio companies.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76"/>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400" w:type="dxa"/>
            <w:vAlign w:val="bottom"/>
          </w:tcPr>
          <w:p>
            <w:pPr>
              <w:spacing w:after="0"/>
              <w:rPr>
                <w:sz w:val="15"/>
                <w:szCs w:val="15"/>
                <w:color w:val="auto"/>
              </w:rPr>
            </w:pPr>
          </w:p>
        </w:tc>
        <w:tc>
          <w:tcPr>
            <w:tcW w:w="348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0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2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6"/>
              </w:rPr>
              <w:t xml:space="preserve">Ownership </w:t>
            </w:r>
            <w:r>
              <w:rPr>
                <w:rFonts w:ascii="Arial" w:cs="Arial" w:eastAsia="Arial" w:hAnsi="Arial"/>
                <w:sz w:val="20"/>
                <w:szCs w:val="20"/>
                <w:b w:val="1"/>
                <w:bCs w:val="1"/>
                <w:color w:val="auto"/>
                <w:w w:val="96"/>
                <w:vertAlign w:val="superscript"/>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Companies 5% or Less Owned</w:t>
            </w:r>
          </w:p>
        </w:tc>
        <w:tc>
          <w:tcPr>
            <w:tcW w:w="400" w:type="dxa"/>
            <w:vAlign w:val="bottom"/>
            <w:shd w:val="clear" w:color="auto" w:fill="CCEEFF"/>
          </w:tcPr>
          <w:p>
            <w:pPr>
              <w:spacing w:after="0"/>
              <w:rPr>
                <w:sz w:val="12"/>
                <w:szCs w:val="12"/>
                <w:color w:val="auto"/>
              </w:rPr>
            </w:pPr>
          </w:p>
        </w:tc>
        <w:tc>
          <w:tcPr>
            <w:tcW w:w="34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4"/>
                <w:szCs w:val="14"/>
                <w:color w:val="auto"/>
              </w:rPr>
              <w:t>Affinion Group Holdings, Inc.</w:t>
            </w:r>
          </w:p>
        </w:tc>
        <w:tc>
          <w:tcPr>
            <w:tcW w:w="400" w:type="dxa"/>
            <w:vAlign w:val="bottom"/>
          </w:tcPr>
          <w:p>
            <w:pPr>
              <w:spacing w:after="0"/>
              <w:rPr>
                <w:sz w:val="17"/>
                <w:szCs w:val="17"/>
                <w:color w:val="auto"/>
              </w:rPr>
            </w:pPr>
          </w:p>
        </w:tc>
        <w:tc>
          <w:tcPr>
            <w:tcW w:w="3480" w:type="dxa"/>
            <w:vAlign w:val="bottom"/>
          </w:tcPr>
          <w:p>
            <w:pPr>
              <w:jc w:val="center"/>
              <w:spacing w:after="0"/>
              <w:rPr>
                <w:sz w:val="20"/>
                <w:szCs w:val="20"/>
                <w:color w:val="auto"/>
              </w:rPr>
            </w:pPr>
            <w:r>
              <w:rPr>
                <w:rFonts w:ascii="Arial" w:cs="Arial" w:eastAsia="Arial" w:hAnsi="Arial"/>
                <w:sz w:val="14"/>
                <w:szCs w:val="14"/>
                <w:color w:val="auto"/>
                <w:w w:val="85"/>
              </w:rPr>
              <w:t>Consumer Products</w:t>
            </w:r>
          </w:p>
        </w:tc>
        <w:tc>
          <w:tcPr>
            <w:tcW w:w="4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7"/>
              </w:rPr>
              <w:t>Subordinated Debt</w:t>
            </w:r>
          </w:p>
        </w:tc>
        <w:tc>
          <w:tcPr>
            <w:tcW w:w="42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100 Connecticut Avenue</w:t>
            </w:r>
          </w:p>
        </w:tc>
        <w:tc>
          <w:tcPr>
            <w:tcW w:w="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Norwalk, CT 06850</w:t>
            </w:r>
          </w:p>
        </w:tc>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Affinity Group Holdings, Inc.</w:t>
            </w:r>
          </w:p>
        </w:tc>
        <w:tc>
          <w:tcPr>
            <w:tcW w:w="400" w:type="dxa"/>
            <w:vAlign w:val="bottom"/>
            <w:shd w:val="clear" w:color="auto" w:fill="CCEEFF"/>
          </w:tcPr>
          <w:p>
            <w:pPr>
              <w:spacing w:after="0"/>
              <w:rPr>
                <w:sz w:val="11"/>
                <w:szCs w:val="11"/>
                <w:color w:val="auto"/>
              </w:rPr>
            </w:pPr>
          </w:p>
        </w:tc>
        <w:tc>
          <w:tcPr>
            <w:tcW w:w="34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Consumer Products</w:t>
            </w:r>
          </w:p>
        </w:tc>
        <w:tc>
          <w:tcPr>
            <w:tcW w:w="40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First Lien Secured Debt</w:t>
            </w: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2575 Vista Del Mar Drive</w:t>
            </w:r>
          </w:p>
        </w:tc>
        <w:tc>
          <w:tcPr>
            <w:tcW w:w="4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Ventura, CA 93001</w:t>
            </w:r>
          </w:p>
        </w:tc>
        <w:tc>
          <w:tcPr>
            <w:tcW w:w="4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4"/>
                <w:szCs w:val="14"/>
                <w:color w:val="auto"/>
              </w:rPr>
              <w:t>AHC Mezzanine, LLC (Advanstar Inc.)</w:t>
            </w:r>
          </w:p>
        </w:tc>
        <w:tc>
          <w:tcPr>
            <w:tcW w:w="400" w:type="dxa"/>
            <w:vAlign w:val="bottom"/>
          </w:tcPr>
          <w:p>
            <w:pPr>
              <w:spacing w:after="0"/>
              <w:rPr>
                <w:sz w:val="17"/>
                <w:szCs w:val="17"/>
                <w:color w:val="auto"/>
              </w:rPr>
            </w:pPr>
          </w:p>
        </w:tc>
        <w:tc>
          <w:tcPr>
            <w:tcW w:w="3480" w:type="dxa"/>
            <w:vAlign w:val="bottom"/>
          </w:tcPr>
          <w:p>
            <w:pPr>
              <w:jc w:val="center"/>
              <w:spacing w:after="0"/>
              <w:rPr>
                <w:sz w:val="20"/>
                <w:szCs w:val="20"/>
                <w:color w:val="auto"/>
              </w:rPr>
            </w:pPr>
            <w:r>
              <w:rPr>
                <w:rFonts w:ascii="Arial" w:cs="Arial" w:eastAsia="Arial" w:hAnsi="Arial"/>
                <w:sz w:val="14"/>
                <w:szCs w:val="14"/>
                <w:color w:val="auto"/>
                <w:w w:val="88"/>
              </w:rPr>
              <w:t>Other Media</w:t>
            </w:r>
          </w:p>
        </w:tc>
        <w:tc>
          <w:tcPr>
            <w:tcW w:w="4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8"/>
              </w:rPr>
              <w:t>Preferred Equity</w:t>
            </w:r>
          </w:p>
        </w:tc>
        <w:tc>
          <w:tcPr>
            <w:tcW w:w="1260" w:type="dxa"/>
            <w:vAlign w:val="bottom"/>
            <w:gridSpan w:val="2"/>
          </w:tcPr>
          <w:p>
            <w:pPr>
              <w:jc w:val="right"/>
              <w:ind w:right="213"/>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350 Park Avenue</w:t>
            </w:r>
          </w:p>
        </w:tc>
        <w:tc>
          <w:tcPr>
            <w:tcW w:w="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New York, NY 10022</w:t>
            </w:r>
          </w:p>
        </w:tc>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Airvana Networks Solution, Inc.</w:t>
            </w:r>
          </w:p>
        </w:tc>
        <w:tc>
          <w:tcPr>
            <w:tcW w:w="400" w:type="dxa"/>
            <w:vAlign w:val="bottom"/>
            <w:shd w:val="clear" w:color="auto" w:fill="CCEEFF"/>
          </w:tcPr>
          <w:p>
            <w:pPr>
              <w:spacing w:after="0"/>
              <w:rPr>
                <w:sz w:val="11"/>
                <w:szCs w:val="11"/>
                <w:color w:val="auto"/>
              </w:rPr>
            </w:pPr>
          </w:p>
        </w:tc>
        <w:tc>
          <w:tcPr>
            <w:tcW w:w="34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Communications</w:t>
            </w:r>
          </w:p>
        </w:tc>
        <w:tc>
          <w:tcPr>
            <w:tcW w:w="40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First Lien Secured Debt</w:t>
            </w: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19 Alpha Road</w:t>
            </w:r>
          </w:p>
        </w:tc>
        <w:tc>
          <w:tcPr>
            <w:tcW w:w="4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Chelmsford, MA 01824</w:t>
            </w:r>
          </w:p>
        </w:tc>
        <w:tc>
          <w:tcPr>
            <w:tcW w:w="4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4"/>
                <w:szCs w:val="14"/>
                <w:color w:val="auto"/>
              </w:rPr>
              <w:t>Aquilex Holdings, LLC</w:t>
            </w:r>
          </w:p>
        </w:tc>
        <w:tc>
          <w:tcPr>
            <w:tcW w:w="400" w:type="dxa"/>
            <w:vAlign w:val="bottom"/>
          </w:tcPr>
          <w:p>
            <w:pPr>
              <w:spacing w:after="0"/>
              <w:rPr>
                <w:sz w:val="17"/>
                <w:szCs w:val="17"/>
                <w:color w:val="auto"/>
              </w:rPr>
            </w:pPr>
          </w:p>
        </w:tc>
        <w:tc>
          <w:tcPr>
            <w:tcW w:w="3480" w:type="dxa"/>
            <w:vAlign w:val="bottom"/>
          </w:tcPr>
          <w:p>
            <w:pPr>
              <w:jc w:val="center"/>
              <w:spacing w:after="0"/>
              <w:rPr>
                <w:sz w:val="20"/>
                <w:szCs w:val="20"/>
                <w:color w:val="auto"/>
              </w:rPr>
            </w:pPr>
            <w:r>
              <w:rPr>
                <w:rFonts w:ascii="Arial" w:cs="Arial" w:eastAsia="Arial" w:hAnsi="Arial"/>
                <w:sz w:val="14"/>
                <w:szCs w:val="14"/>
                <w:color w:val="auto"/>
                <w:w w:val="88"/>
              </w:rPr>
              <w:t>Diversified / Conglomerate Services</w:t>
            </w:r>
          </w:p>
        </w:tc>
        <w:tc>
          <w:tcPr>
            <w:tcW w:w="4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7"/>
              </w:rPr>
              <w:t>Subordinated Debt</w:t>
            </w:r>
          </w:p>
        </w:tc>
        <w:tc>
          <w:tcPr>
            <w:tcW w:w="42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3344 Peachtree Roads NE, Suite 2100</w:t>
            </w:r>
          </w:p>
        </w:tc>
        <w:tc>
          <w:tcPr>
            <w:tcW w:w="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Atlanta, GA 30326</w:t>
            </w:r>
          </w:p>
        </w:tc>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400" w:type="dxa"/>
            <w:vAlign w:val="bottom"/>
            <w:shd w:val="clear" w:color="auto" w:fill="CCEEFF"/>
          </w:tcPr>
          <w:p>
            <w:pPr>
              <w:spacing w:after="0"/>
              <w:rPr>
                <w:sz w:val="11"/>
                <w:szCs w:val="11"/>
                <w:color w:val="auto"/>
              </w:rPr>
            </w:pPr>
          </w:p>
        </w:tc>
        <w:tc>
          <w:tcPr>
            <w:tcW w:w="34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Services, Inc.</w:t>
            </w:r>
          </w:p>
        </w:tc>
        <w:tc>
          <w:tcPr>
            <w:tcW w:w="400" w:type="dxa"/>
            <w:vAlign w:val="bottom"/>
            <w:shd w:val="clear" w:color="auto" w:fill="CCEEFF"/>
          </w:tcPr>
          <w:p>
            <w:pPr>
              <w:spacing w:after="0"/>
              <w:rPr>
                <w:sz w:val="12"/>
                <w:szCs w:val="12"/>
                <w:color w:val="auto"/>
              </w:rPr>
            </w:pPr>
          </w:p>
        </w:tc>
        <w:tc>
          <w:tcPr>
            <w:tcW w:w="3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Energy / Utilities</w:t>
            </w:r>
          </w:p>
        </w:tc>
        <w:tc>
          <w:tcPr>
            <w:tcW w:w="400" w:type="dxa"/>
            <w:vAlign w:val="bottom"/>
            <w:shd w:val="clear" w:color="auto" w:fill="CCEEFF"/>
          </w:tcPr>
          <w:p>
            <w:pPr>
              <w:spacing w:after="0"/>
              <w:rPr>
                <w:sz w:val="12"/>
                <w:szCs w:val="12"/>
                <w:color w:val="auto"/>
              </w:rPr>
            </w:pPr>
          </w:p>
        </w:tc>
        <w:tc>
          <w:tcPr>
            <w:tcW w:w="1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Second Lien Secured Debt</w:t>
            </w:r>
          </w:p>
        </w:tc>
        <w:tc>
          <w:tcPr>
            <w:tcW w:w="4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vMerge w:val="restart"/>
            <w:shd w:val="clear" w:color="auto" w:fill="CCEEFF"/>
          </w:tcPr>
          <w:p>
            <w:pPr>
              <w:spacing w:after="0" w:line="149" w:lineRule="exact"/>
              <w:rPr>
                <w:sz w:val="20"/>
                <w:szCs w:val="20"/>
                <w:color w:val="auto"/>
              </w:rPr>
            </w:pPr>
            <w:r>
              <w:rPr>
                <w:rFonts w:ascii="Arial" w:cs="Arial" w:eastAsia="Arial" w:hAnsi="Arial"/>
                <w:sz w:val="14"/>
                <w:szCs w:val="14"/>
                <w:color w:val="auto"/>
              </w:rPr>
              <w:t>2502 South Main Street</w:t>
            </w:r>
          </w:p>
        </w:tc>
        <w:tc>
          <w:tcPr>
            <w:tcW w:w="400" w:type="dxa"/>
            <w:vAlign w:val="bottom"/>
            <w:shd w:val="clear" w:color="auto" w:fill="CCEEFF"/>
          </w:tcPr>
          <w:p>
            <w:pPr>
              <w:spacing w:after="0"/>
              <w:rPr>
                <w:sz w:val="9"/>
                <w:szCs w:val="9"/>
                <w:color w:val="auto"/>
              </w:rPr>
            </w:pPr>
          </w:p>
        </w:tc>
        <w:tc>
          <w:tcPr>
            <w:tcW w:w="3480" w:type="dxa"/>
            <w:vAlign w:val="bottom"/>
            <w:vMerge w:val="continue"/>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960" w:type="dxa"/>
            <w:vAlign w:val="bottom"/>
            <w:vMerge w:val="continue"/>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900" w:type="dxa"/>
            <w:vAlign w:val="bottom"/>
            <w:vMerge w:val="continue"/>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Kennesaw, GA 30144</w:t>
            </w:r>
          </w:p>
        </w:tc>
        <w:tc>
          <w:tcPr>
            <w:tcW w:w="4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4"/>
                <w:szCs w:val="14"/>
                <w:color w:val="auto"/>
              </w:rPr>
              <w:t>Birch Communications, Inc.</w:t>
            </w:r>
          </w:p>
        </w:tc>
        <w:tc>
          <w:tcPr>
            <w:tcW w:w="400" w:type="dxa"/>
            <w:vAlign w:val="bottom"/>
          </w:tcPr>
          <w:p>
            <w:pPr>
              <w:spacing w:after="0"/>
              <w:rPr>
                <w:sz w:val="17"/>
                <w:szCs w:val="17"/>
                <w:color w:val="auto"/>
              </w:rPr>
            </w:pPr>
          </w:p>
        </w:tc>
        <w:tc>
          <w:tcPr>
            <w:tcW w:w="3480" w:type="dxa"/>
            <w:vAlign w:val="bottom"/>
          </w:tcPr>
          <w:p>
            <w:pPr>
              <w:jc w:val="center"/>
              <w:spacing w:after="0"/>
              <w:rPr>
                <w:sz w:val="20"/>
                <w:szCs w:val="20"/>
                <w:color w:val="auto"/>
              </w:rPr>
            </w:pPr>
            <w:r>
              <w:rPr>
                <w:rFonts w:ascii="Arial" w:cs="Arial" w:eastAsia="Arial" w:hAnsi="Arial"/>
                <w:sz w:val="14"/>
                <w:szCs w:val="14"/>
                <w:color w:val="auto"/>
                <w:w w:val="87"/>
              </w:rPr>
              <w:t>Telecommunications</w:t>
            </w:r>
          </w:p>
        </w:tc>
        <w:tc>
          <w:tcPr>
            <w:tcW w:w="4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42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3060 Peachtree Road NW, Suite 1065</w:t>
            </w:r>
          </w:p>
        </w:tc>
        <w:tc>
          <w:tcPr>
            <w:tcW w:w="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Atlanta, GA 30305</w:t>
            </w:r>
          </w:p>
        </w:tc>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CEA Autumn Management, LLC</w:t>
            </w:r>
          </w:p>
        </w:tc>
        <w:tc>
          <w:tcPr>
            <w:tcW w:w="400" w:type="dxa"/>
            <w:vAlign w:val="bottom"/>
            <w:shd w:val="clear" w:color="auto" w:fill="CCEEFF"/>
          </w:tcPr>
          <w:p>
            <w:pPr>
              <w:spacing w:after="0"/>
              <w:rPr>
                <w:sz w:val="11"/>
                <w:szCs w:val="11"/>
                <w:color w:val="auto"/>
              </w:rPr>
            </w:pPr>
          </w:p>
        </w:tc>
        <w:tc>
          <w:tcPr>
            <w:tcW w:w="34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Broadcasting and Entertainment</w:t>
            </w:r>
          </w:p>
        </w:tc>
        <w:tc>
          <w:tcPr>
            <w:tcW w:w="40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Common Equity</w:t>
            </w:r>
          </w:p>
        </w:tc>
        <w:tc>
          <w:tcPr>
            <w:tcW w:w="1260" w:type="dxa"/>
            <w:vAlign w:val="bottom"/>
            <w:gridSpan w:val="2"/>
            <w:shd w:val="clear" w:color="auto" w:fill="CCEEFF"/>
          </w:tcPr>
          <w:p>
            <w:pPr>
              <w:jc w:val="right"/>
              <w:ind w:right="213"/>
              <w:spacing w:after="0" w:line="138"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54 Thompson St.</w:t>
            </w:r>
          </w:p>
        </w:tc>
        <w:tc>
          <w:tcPr>
            <w:tcW w:w="4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4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4"/>
                <w:szCs w:val="14"/>
                <w:color w:val="auto"/>
              </w:rPr>
              <w:t>CEVA Group PLC</w:t>
            </w:r>
          </w:p>
        </w:tc>
        <w:tc>
          <w:tcPr>
            <w:tcW w:w="400" w:type="dxa"/>
            <w:vAlign w:val="bottom"/>
          </w:tcPr>
          <w:p>
            <w:pPr>
              <w:spacing w:after="0"/>
              <w:rPr>
                <w:sz w:val="17"/>
                <w:szCs w:val="17"/>
                <w:color w:val="auto"/>
              </w:rPr>
            </w:pPr>
          </w:p>
        </w:tc>
        <w:tc>
          <w:tcPr>
            <w:tcW w:w="3480" w:type="dxa"/>
            <w:vAlign w:val="bottom"/>
          </w:tcPr>
          <w:p>
            <w:pPr>
              <w:jc w:val="center"/>
              <w:spacing w:after="0"/>
              <w:rPr>
                <w:sz w:val="20"/>
                <w:szCs w:val="20"/>
                <w:color w:val="auto"/>
              </w:rPr>
            </w:pPr>
            <w:r>
              <w:rPr>
                <w:rFonts w:ascii="Arial" w:cs="Arial" w:eastAsia="Arial" w:hAnsi="Arial"/>
                <w:sz w:val="14"/>
                <w:szCs w:val="14"/>
                <w:color w:val="auto"/>
                <w:w w:val="91"/>
              </w:rPr>
              <w:t>Logistics</w:t>
            </w:r>
          </w:p>
        </w:tc>
        <w:tc>
          <w:tcPr>
            <w:tcW w:w="4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42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25 St. George Street</w:t>
            </w:r>
          </w:p>
        </w:tc>
        <w:tc>
          <w:tcPr>
            <w:tcW w:w="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London W1s 1fs</w:t>
            </w:r>
          </w:p>
        </w:tc>
        <w:tc>
          <w:tcPr>
            <w:tcW w:w="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United Kingdom</w:t>
            </w:r>
          </w:p>
        </w:tc>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76"/>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4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0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400" w:type="dxa"/>
            <w:vAlign w:val="bottom"/>
          </w:tcPr>
          <w:p>
            <w:pPr>
              <w:spacing w:after="0"/>
              <w:rPr>
                <w:sz w:val="15"/>
                <w:szCs w:val="15"/>
                <w:color w:val="auto"/>
              </w:rPr>
            </w:pPr>
          </w:p>
        </w:tc>
        <w:tc>
          <w:tcPr>
            <w:tcW w:w="88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90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346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Chester Downs and Marina, LLC</w:t>
            </w:r>
          </w:p>
        </w:tc>
        <w:tc>
          <w:tcPr>
            <w:tcW w:w="400" w:type="dxa"/>
            <w:vAlign w:val="bottom"/>
            <w:shd w:val="clear" w:color="auto" w:fill="CCEEFF"/>
          </w:tcPr>
          <w:p>
            <w:pPr>
              <w:spacing w:after="0"/>
              <w:rPr>
                <w:sz w:val="11"/>
                <w:szCs w:val="11"/>
                <w:color w:val="auto"/>
              </w:rPr>
            </w:pPr>
          </w:p>
        </w:tc>
        <w:tc>
          <w:tcPr>
            <w:tcW w:w="34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Hotels, Motels, Inns and Gaming</w:t>
            </w:r>
          </w:p>
        </w:tc>
        <w:tc>
          <w:tcPr>
            <w:tcW w:w="40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First Lien Secured Debt</w:t>
            </w:r>
          </w:p>
        </w:tc>
        <w:tc>
          <w:tcPr>
            <w:tcW w:w="4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777 Harrah’s Blvd</w:t>
            </w: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Chester, PA 19103</w:t>
            </w:r>
          </w:p>
        </w:tc>
        <w:tc>
          <w:tcPr>
            <w:tcW w:w="40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4"/>
                <w:szCs w:val="14"/>
                <w:color w:val="auto"/>
              </w:rPr>
              <w:t>Columbus International, Inc.</w:t>
            </w:r>
          </w:p>
        </w:tc>
        <w:tc>
          <w:tcPr>
            <w:tcW w:w="40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Arial" w:cs="Arial" w:eastAsia="Arial" w:hAnsi="Arial"/>
                <w:sz w:val="14"/>
                <w:szCs w:val="14"/>
                <w:color w:val="auto"/>
                <w:w w:val="88"/>
              </w:rPr>
              <w:t>Communications</w:t>
            </w:r>
          </w:p>
        </w:tc>
        <w:tc>
          <w:tcPr>
            <w:tcW w:w="4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7"/>
              </w:rPr>
              <w:t>First Lien Secured Debt</w:t>
            </w:r>
          </w:p>
        </w:tc>
        <w:tc>
          <w:tcPr>
            <w:tcW w:w="40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Suite 205-207 Dowell House Cr.</w:t>
            </w:r>
          </w:p>
        </w:tc>
        <w:tc>
          <w:tcPr>
            <w:tcW w:w="4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Roebuck &amp; Palmetto Sts.</w:t>
            </w:r>
          </w:p>
        </w:tc>
        <w:tc>
          <w:tcPr>
            <w:tcW w:w="4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Bridgetown</w:t>
            </w:r>
          </w:p>
        </w:tc>
        <w:tc>
          <w:tcPr>
            <w:tcW w:w="4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Barbados, West Indies</w:t>
            </w:r>
          </w:p>
        </w:tc>
        <w:tc>
          <w:tcPr>
            <w:tcW w:w="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920" w:type="dxa"/>
            <w:vAlign w:val="bottom"/>
            <w:gridSpan w:val="2"/>
          </w:tcPr>
          <w:p>
            <w:pPr>
              <w:spacing w:after="0"/>
              <w:rPr>
                <w:sz w:val="20"/>
                <w:szCs w:val="20"/>
                <w:color w:val="auto"/>
              </w:rPr>
            </w:pPr>
            <w:r>
              <w:rPr>
                <w:rFonts w:ascii="Arial" w:cs="Arial" w:eastAsia="Arial" w:hAnsi="Arial"/>
                <w:sz w:val="14"/>
                <w:szCs w:val="14"/>
                <w:color w:val="auto"/>
              </w:rPr>
              <w:t>Consolidated Foundries, Inc.</w:t>
            </w:r>
          </w:p>
        </w:tc>
        <w:tc>
          <w:tcPr>
            <w:tcW w:w="40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Arial" w:cs="Arial" w:eastAsia="Arial" w:hAnsi="Arial"/>
                <w:sz w:val="14"/>
                <w:szCs w:val="14"/>
                <w:color w:val="auto"/>
                <w:w w:val="85"/>
              </w:rPr>
              <w:t>Aerospace and Defense</w:t>
            </w:r>
          </w:p>
        </w:tc>
        <w:tc>
          <w:tcPr>
            <w:tcW w:w="4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7"/>
              </w:rPr>
              <w:t>Subordinated Debt</w:t>
            </w:r>
          </w:p>
        </w:tc>
        <w:tc>
          <w:tcPr>
            <w:tcW w:w="1220" w:type="dxa"/>
            <w:vAlign w:val="bottom"/>
            <w:gridSpan w:val="2"/>
          </w:tcPr>
          <w:p>
            <w:pPr>
              <w:jc w:val="right"/>
              <w:ind w:right="193"/>
              <w:spacing w:after="0"/>
              <w:rPr>
                <w:sz w:val="20"/>
                <w:szCs w:val="20"/>
                <w:color w:val="auto"/>
              </w:rPr>
            </w:pPr>
            <w:r>
              <w:rPr>
                <w:rFonts w:ascii="Arial" w:cs="Arial" w:eastAsia="Arial" w:hAnsi="Arial"/>
                <w:sz w:val="14"/>
                <w:szCs w:val="14"/>
                <w:color w:val="auto"/>
              </w:rPr>
              <w:t>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(CFHC Holdings, Inc.)</w:t>
            </w:r>
          </w:p>
        </w:tc>
        <w:tc>
          <w:tcPr>
            <w:tcW w:w="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4200 Valley Blvd.</w:t>
            </w:r>
          </w:p>
        </w:tc>
        <w:tc>
          <w:tcPr>
            <w:tcW w:w="4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8"/>
              </w:rPr>
              <w:t>Preferred Equity</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Pomona, CA 91766</w:t>
            </w:r>
          </w:p>
        </w:tc>
        <w:tc>
          <w:tcPr>
            <w:tcW w:w="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0"/>
              </w:rPr>
              <w:t>Common Equity</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Covad Communications Group, Inc.</w:t>
            </w:r>
          </w:p>
        </w:tc>
        <w:tc>
          <w:tcPr>
            <w:tcW w:w="400" w:type="dxa"/>
            <w:vAlign w:val="bottom"/>
            <w:shd w:val="clear" w:color="auto" w:fill="CCEEFF"/>
          </w:tcPr>
          <w:p>
            <w:pPr>
              <w:spacing w:after="0"/>
              <w:rPr>
                <w:sz w:val="11"/>
                <w:szCs w:val="11"/>
                <w:color w:val="auto"/>
              </w:rPr>
            </w:pPr>
          </w:p>
        </w:tc>
        <w:tc>
          <w:tcPr>
            <w:tcW w:w="34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Telecommunications</w:t>
            </w:r>
          </w:p>
        </w:tc>
        <w:tc>
          <w:tcPr>
            <w:tcW w:w="40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First Lien Secured Debt</w:t>
            </w:r>
          </w:p>
        </w:tc>
        <w:tc>
          <w:tcPr>
            <w:tcW w:w="4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2220 O’Toole Avenue</w:t>
            </w: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San Jose, California 95131</w:t>
            </w:r>
          </w:p>
        </w:tc>
        <w:tc>
          <w:tcPr>
            <w:tcW w:w="40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4"/>
                <w:szCs w:val="14"/>
                <w:color w:val="auto"/>
              </w:rPr>
              <w:t>CT Technologies Intermediate Holdings, LLC</w:t>
            </w:r>
          </w:p>
        </w:tc>
        <w:tc>
          <w:tcPr>
            <w:tcW w:w="400" w:type="dxa"/>
            <w:vAlign w:val="bottom"/>
          </w:tcPr>
          <w:p>
            <w:pPr>
              <w:spacing w:after="0"/>
              <w:rPr>
                <w:sz w:val="17"/>
                <w:szCs w:val="17"/>
                <w:color w:val="auto"/>
              </w:rPr>
            </w:pPr>
          </w:p>
        </w:tc>
        <w:tc>
          <w:tcPr>
            <w:tcW w:w="3460" w:type="dxa"/>
            <w:vAlign w:val="bottom"/>
            <w:vMerge w:val="restart"/>
          </w:tcPr>
          <w:p>
            <w:pPr>
              <w:jc w:val="center"/>
              <w:spacing w:after="0"/>
              <w:rPr>
                <w:sz w:val="20"/>
                <w:szCs w:val="20"/>
                <w:color w:val="auto"/>
              </w:rPr>
            </w:pPr>
            <w:r>
              <w:rPr>
                <w:rFonts w:ascii="Arial" w:cs="Arial" w:eastAsia="Arial" w:hAnsi="Arial"/>
                <w:sz w:val="14"/>
                <w:szCs w:val="14"/>
                <w:color w:val="auto"/>
                <w:w w:val="85"/>
              </w:rPr>
              <w:t>Business Services</w:t>
            </w:r>
          </w:p>
        </w:tc>
        <w:tc>
          <w:tcPr>
            <w:tcW w:w="400" w:type="dxa"/>
            <w:vAlign w:val="bottom"/>
          </w:tcPr>
          <w:p>
            <w:pPr>
              <w:spacing w:after="0"/>
              <w:rPr>
                <w:sz w:val="17"/>
                <w:szCs w:val="17"/>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color w:val="auto"/>
                <w:w w:val="87"/>
              </w:rPr>
              <w:t>Subordinated Debt</w:t>
            </w:r>
          </w:p>
        </w:tc>
        <w:tc>
          <w:tcPr>
            <w:tcW w:w="1220" w:type="dxa"/>
            <w:vAlign w:val="bottom"/>
            <w:gridSpan w:val="2"/>
            <w:vMerge w:val="restart"/>
          </w:tcPr>
          <w:p>
            <w:pPr>
              <w:jc w:val="right"/>
              <w:ind w:right="193"/>
              <w:spacing w:after="0"/>
              <w:rPr>
                <w:sz w:val="20"/>
                <w:szCs w:val="20"/>
                <w:color w:val="auto"/>
              </w:rPr>
            </w:pPr>
            <w:r>
              <w:rPr>
                <w:rFonts w:ascii="Arial" w:cs="Arial" w:eastAsia="Arial" w:hAnsi="Arial"/>
                <w:sz w:val="14"/>
                <w:szCs w:val="14"/>
                <w:color w:val="auto"/>
              </w:rPr>
              <w:t>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3920" w:type="dxa"/>
            <w:vAlign w:val="bottom"/>
            <w:gridSpan w:val="2"/>
            <w:vMerge w:val="restart"/>
          </w:tcPr>
          <w:p>
            <w:pPr>
              <w:spacing w:after="0"/>
              <w:rPr>
                <w:sz w:val="20"/>
                <w:szCs w:val="20"/>
                <w:color w:val="auto"/>
              </w:rPr>
            </w:pPr>
            <w:r>
              <w:rPr>
                <w:rFonts w:ascii="Arial" w:cs="Arial" w:eastAsia="Arial" w:hAnsi="Arial"/>
                <w:sz w:val="14"/>
                <w:szCs w:val="14"/>
                <w:color w:val="auto"/>
              </w:rPr>
              <w:t>(CT Technologies Intermediate Holdings, Inc.)</w:t>
            </w:r>
          </w:p>
        </w:tc>
        <w:tc>
          <w:tcPr>
            <w:tcW w:w="400" w:type="dxa"/>
            <w:vAlign w:val="bottom"/>
          </w:tcPr>
          <w:p>
            <w:pPr>
              <w:spacing w:after="0"/>
              <w:rPr>
                <w:sz w:val="9"/>
                <w:szCs w:val="9"/>
                <w:color w:val="auto"/>
              </w:rPr>
            </w:pPr>
          </w:p>
        </w:tc>
        <w:tc>
          <w:tcPr>
            <w:tcW w:w="34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392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3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875 North Michigan Avenue</w:t>
            </w:r>
          </w:p>
        </w:tc>
        <w:tc>
          <w:tcPr>
            <w:tcW w:w="4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8"/>
              </w:rPr>
              <w:t>Preferred Equity</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Chicago, IL 60601</w:t>
            </w:r>
          </w:p>
        </w:tc>
        <w:tc>
          <w:tcPr>
            <w:tcW w:w="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0"/>
              </w:rPr>
              <w:t>Common Equity</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Da-Lite Screen Company, Inc.</w:t>
            </w:r>
          </w:p>
        </w:tc>
        <w:tc>
          <w:tcPr>
            <w:tcW w:w="400" w:type="dxa"/>
            <w:vAlign w:val="bottom"/>
            <w:shd w:val="clear" w:color="auto" w:fill="CCEEFF"/>
          </w:tcPr>
          <w:p>
            <w:pPr>
              <w:spacing w:after="0"/>
              <w:rPr>
                <w:sz w:val="11"/>
                <w:szCs w:val="11"/>
                <w:color w:val="auto"/>
              </w:rPr>
            </w:pPr>
          </w:p>
        </w:tc>
        <w:tc>
          <w:tcPr>
            <w:tcW w:w="34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Home and Office Furnishings, Housewares and Durable</w:t>
            </w:r>
          </w:p>
        </w:tc>
        <w:tc>
          <w:tcPr>
            <w:tcW w:w="40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Subordinated Debt</w:t>
            </w:r>
          </w:p>
        </w:tc>
        <w:tc>
          <w:tcPr>
            <w:tcW w:w="4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3100 North Detroit Street, P.O. Box 137</w:t>
            </w: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Warsaw, IN 46581</w:t>
            </w:r>
          </w:p>
        </w:tc>
        <w:tc>
          <w:tcPr>
            <w:tcW w:w="40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4"/>
                <w:szCs w:val="14"/>
                <w:color w:val="auto"/>
              </w:rPr>
              <w:t>EnviroSolutions, Inc.</w:t>
            </w:r>
          </w:p>
        </w:tc>
        <w:tc>
          <w:tcPr>
            <w:tcW w:w="40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Arial" w:cs="Arial" w:eastAsia="Arial" w:hAnsi="Arial"/>
                <w:sz w:val="14"/>
                <w:szCs w:val="14"/>
                <w:color w:val="auto"/>
                <w:w w:val="88"/>
              </w:rPr>
              <w:t>Environmental Services</w:t>
            </w:r>
          </w:p>
        </w:tc>
        <w:tc>
          <w:tcPr>
            <w:tcW w:w="4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7"/>
              </w:rPr>
              <w:t>First Lien Secured Debt</w:t>
            </w:r>
          </w:p>
        </w:tc>
        <w:tc>
          <w:tcPr>
            <w:tcW w:w="1220" w:type="dxa"/>
            <w:vAlign w:val="bottom"/>
            <w:gridSpan w:val="2"/>
          </w:tcPr>
          <w:p>
            <w:pPr>
              <w:jc w:val="right"/>
              <w:ind w:right="13"/>
              <w:spacing w:after="0" w:line="205" w:lineRule="exact"/>
              <w:rPr>
                <w:sz w:val="20"/>
                <w:szCs w:val="20"/>
                <w:color w:val="auto"/>
              </w:rPr>
            </w:pPr>
            <w:r>
              <w:rPr>
                <w:rFonts w:ascii="Arial" w:cs="Arial" w:eastAsia="Arial" w:hAnsi="Arial"/>
                <w:sz w:val="23"/>
                <w:szCs w:val="23"/>
                <w:color w:val="auto"/>
                <w:vertAlign w:val="subscript"/>
              </w:rPr>
              <w:t>4.9%</w:t>
            </w:r>
            <w:r>
              <w:rPr>
                <w:rFonts w:ascii="Arial" w:cs="Arial" w:eastAsia="Arial" w:hAnsi="Arial"/>
                <w:sz w:val="10"/>
                <w:szCs w:val="10"/>
                <w:color w:val="auto"/>
              </w:rPr>
              <w:t xml:space="preserve"> (2), (3)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11220 Asset Loop, Suite 201</w:t>
            </w:r>
          </w:p>
        </w:tc>
        <w:tc>
          <w:tcPr>
            <w:tcW w:w="4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6"/>
              </w:rPr>
              <w:t>Second Lien Secured Debt</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Manassas, VA 20109</w:t>
            </w:r>
          </w:p>
        </w:tc>
        <w:tc>
          <w:tcPr>
            <w:tcW w:w="4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Equity</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4"/>
              </w:rPr>
              <w:t>Warrants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Escort Inc.</w:t>
            </w:r>
          </w:p>
        </w:tc>
        <w:tc>
          <w:tcPr>
            <w:tcW w:w="400" w:type="dxa"/>
            <w:vAlign w:val="bottom"/>
            <w:shd w:val="clear" w:color="auto" w:fill="CCEEFF"/>
          </w:tcPr>
          <w:p>
            <w:pPr>
              <w:spacing w:after="0"/>
              <w:rPr>
                <w:sz w:val="11"/>
                <w:szCs w:val="11"/>
                <w:color w:val="auto"/>
              </w:rPr>
            </w:pPr>
          </w:p>
        </w:tc>
        <w:tc>
          <w:tcPr>
            <w:tcW w:w="34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Electronics</w:t>
            </w:r>
          </w:p>
        </w:tc>
        <w:tc>
          <w:tcPr>
            <w:tcW w:w="40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Subordinated Debt</w:t>
            </w:r>
          </w:p>
        </w:tc>
        <w:tc>
          <w:tcPr>
            <w:tcW w:w="4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5440 West Chester Road</w:t>
            </w: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West Chester, OH 45069-2950</w:t>
            </w:r>
          </w:p>
        </w:tc>
        <w:tc>
          <w:tcPr>
            <w:tcW w:w="40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gridSpan w:val="2"/>
          </w:tcPr>
          <w:p>
            <w:pPr>
              <w:spacing w:after="0"/>
              <w:rPr>
                <w:sz w:val="20"/>
                <w:szCs w:val="20"/>
                <w:color w:val="auto"/>
              </w:rPr>
            </w:pPr>
            <w:r>
              <w:rPr>
                <w:rFonts w:ascii="Arial" w:cs="Arial" w:eastAsia="Arial" w:hAnsi="Arial"/>
                <w:sz w:val="14"/>
                <w:szCs w:val="14"/>
                <w:color w:val="auto"/>
              </w:rPr>
              <w:t>Fairway Group Acquisition Company</w:t>
            </w:r>
          </w:p>
        </w:tc>
        <w:tc>
          <w:tcPr>
            <w:tcW w:w="400" w:type="dxa"/>
            <w:vAlign w:val="bottom"/>
          </w:tcPr>
          <w:p>
            <w:pPr>
              <w:spacing w:after="0"/>
              <w:rPr>
                <w:sz w:val="16"/>
                <w:szCs w:val="16"/>
                <w:color w:val="auto"/>
              </w:rPr>
            </w:pPr>
          </w:p>
        </w:tc>
        <w:tc>
          <w:tcPr>
            <w:tcW w:w="3460" w:type="dxa"/>
            <w:vAlign w:val="bottom"/>
          </w:tcPr>
          <w:p>
            <w:pPr>
              <w:jc w:val="center"/>
              <w:spacing w:after="0"/>
              <w:rPr>
                <w:sz w:val="20"/>
                <w:szCs w:val="20"/>
                <w:color w:val="auto"/>
              </w:rPr>
            </w:pPr>
            <w:r>
              <w:rPr>
                <w:rFonts w:ascii="Arial" w:cs="Arial" w:eastAsia="Arial" w:hAnsi="Arial"/>
                <w:sz w:val="14"/>
                <w:szCs w:val="14"/>
                <w:color w:val="auto"/>
                <w:w w:val="88"/>
              </w:rPr>
              <w:t>Grocery</w:t>
            </w:r>
          </w:p>
        </w:tc>
        <w:tc>
          <w:tcPr>
            <w:tcW w:w="4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7"/>
              </w:rPr>
              <w:t>First Lien Secured Debt</w:t>
            </w:r>
          </w:p>
        </w:tc>
        <w:tc>
          <w:tcPr>
            <w:tcW w:w="400" w:type="dxa"/>
            <w:vAlign w:val="bottom"/>
          </w:tcPr>
          <w:p>
            <w:pPr>
              <w:spacing w:after="0"/>
              <w:rPr>
                <w:sz w:val="16"/>
                <w:szCs w:val="16"/>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3920" w:type="dxa"/>
            <w:vAlign w:val="bottom"/>
            <w:gridSpan w:val="2"/>
          </w:tcPr>
          <w:p>
            <w:pPr>
              <w:spacing w:after="0" w:line="165" w:lineRule="exact"/>
              <w:rPr>
                <w:sz w:val="20"/>
                <w:szCs w:val="20"/>
                <w:color w:val="auto"/>
              </w:rPr>
            </w:pPr>
            <w:r>
              <w:rPr>
                <w:rFonts w:ascii="Arial" w:cs="Arial" w:eastAsia="Arial" w:hAnsi="Arial"/>
                <w:sz w:val="12"/>
                <w:szCs w:val="12"/>
                <w:color w:val="auto"/>
              </w:rPr>
              <w:t>2284 12</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Avenue</w:t>
            </w:r>
          </w:p>
        </w:tc>
        <w:tc>
          <w:tcPr>
            <w:tcW w:w="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New York, NY 10027</w:t>
            </w:r>
          </w:p>
        </w:tc>
        <w:tc>
          <w:tcPr>
            <w:tcW w:w="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Greatwide Logistics Services, L.L.C.</w:t>
            </w:r>
          </w:p>
        </w:tc>
        <w:tc>
          <w:tcPr>
            <w:tcW w:w="400" w:type="dxa"/>
            <w:vAlign w:val="bottom"/>
            <w:shd w:val="clear" w:color="auto" w:fill="CCEEFF"/>
          </w:tcPr>
          <w:p>
            <w:pPr>
              <w:spacing w:after="0"/>
              <w:rPr>
                <w:sz w:val="11"/>
                <w:szCs w:val="11"/>
                <w:color w:val="auto"/>
              </w:rPr>
            </w:pPr>
          </w:p>
        </w:tc>
        <w:tc>
          <w:tcPr>
            <w:tcW w:w="34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Cargo Transport</w:t>
            </w:r>
          </w:p>
        </w:tc>
        <w:tc>
          <w:tcPr>
            <w:tcW w:w="40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Second Lien Secured Debt</w:t>
            </w:r>
          </w:p>
        </w:tc>
        <w:tc>
          <w:tcPr>
            <w:tcW w:w="1220" w:type="dxa"/>
            <w:vAlign w:val="bottom"/>
            <w:gridSpan w:val="2"/>
            <w:shd w:val="clear" w:color="auto" w:fill="CCEEFF"/>
          </w:tcPr>
          <w:p>
            <w:pPr>
              <w:jc w:val="right"/>
              <w:ind w:right="193"/>
              <w:spacing w:after="0" w:line="138" w:lineRule="exact"/>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12404 Park Central Dr., Ste. 300s</w:t>
            </w: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Common Stock</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Dallas, TX 75251-1803</w:t>
            </w:r>
          </w:p>
        </w:tc>
        <w:tc>
          <w:tcPr>
            <w:tcW w:w="40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4"/>
                <w:szCs w:val="14"/>
                <w:color w:val="auto"/>
              </w:rPr>
              <w:t>Hanley-Wood, L.L.C.</w:t>
            </w:r>
          </w:p>
        </w:tc>
        <w:tc>
          <w:tcPr>
            <w:tcW w:w="40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Arial" w:cs="Arial" w:eastAsia="Arial" w:hAnsi="Arial"/>
                <w:sz w:val="14"/>
                <w:szCs w:val="14"/>
                <w:color w:val="auto"/>
                <w:w w:val="88"/>
              </w:rPr>
              <w:t>Other Media</w:t>
            </w:r>
          </w:p>
        </w:tc>
        <w:tc>
          <w:tcPr>
            <w:tcW w:w="4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7"/>
              </w:rPr>
              <w:t>First Lien Secured Debt</w:t>
            </w:r>
          </w:p>
        </w:tc>
        <w:tc>
          <w:tcPr>
            <w:tcW w:w="40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One Thomas Circle, NW St 600</w:t>
            </w:r>
          </w:p>
        </w:tc>
        <w:tc>
          <w:tcPr>
            <w:tcW w:w="4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Washington, DC 20005</w:t>
            </w:r>
          </w:p>
        </w:tc>
        <w:tc>
          <w:tcPr>
            <w:tcW w:w="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i2 Holdings Ltd.</w:t>
            </w:r>
          </w:p>
        </w:tc>
        <w:tc>
          <w:tcPr>
            <w:tcW w:w="400" w:type="dxa"/>
            <w:vAlign w:val="bottom"/>
            <w:shd w:val="clear" w:color="auto" w:fill="CCEEFF"/>
          </w:tcPr>
          <w:p>
            <w:pPr>
              <w:spacing w:after="0"/>
              <w:rPr>
                <w:sz w:val="11"/>
                <w:szCs w:val="11"/>
                <w:color w:val="auto"/>
              </w:rPr>
            </w:pPr>
          </w:p>
        </w:tc>
        <w:tc>
          <w:tcPr>
            <w:tcW w:w="34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Aerospace and Defense</w:t>
            </w:r>
          </w:p>
        </w:tc>
        <w:tc>
          <w:tcPr>
            <w:tcW w:w="40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Subordinated Debt</w:t>
            </w:r>
          </w:p>
        </w:tc>
        <w:tc>
          <w:tcPr>
            <w:tcW w:w="1220" w:type="dxa"/>
            <w:vAlign w:val="bottom"/>
            <w:gridSpan w:val="2"/>
            <w:shd w:val="clear" w:color="auto" w:fill="CCEEFF"/>
          </w:tcPr>
          <w:p>
            <w:pPr>
              <w:jc w:val="right"/>
              <w:ind w:right="193"/>
              <w:spacing w:after="0" w:line="138" w:lineRule="exact"/>
              <w:rPr>
                <w:sz w:val="20"/>
                <w:szCs w:val="20"/>
                <w:color w:val="auto"/>
              </w:rPr>
            </w:pPr>
            <w:r>
              <w:rPr>
                <w:rFonts w:ascii="Arial" w:cs="Arial" w:eastAsia="Arial" w:hAnsi="Arial"/>
                <w:sz w:val="14"/>
                <w:szCs w:val="14"/>
                <w:color w:val="auto"/>
              </w:rPr>
              <w:t>3.3%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Visual Space Capital Park</w:t>
            </w: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Preferred Equity</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Fulbourn Cambrideshire, CB21 5XH</w:t>
            </w: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Common Equity</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United Kingdom</w:t>
            </w:r>
          </w:p>
        </w:tc>
        <w:tc>
          <w:tcPr>
            <w:tcW w:w="40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4"/>
                <w:szCs w:val="14"/>
                <w:color w:val="auto"/>
              </w:rPr>
              <w:t>Instant Web, Inc.</w:t>
            </w:r>
          </w:p>
        </w:tc>
        <w:tc>
          <w:tcPr>
            <w:tcW w:w="40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Arial" w:cs="Arial" w:eastAsia="Arial" w:hAnsi="Arial"/>
                <w:sz w:val="14"/>
                <w:szCs w:val="14"/>
                <w:color w:val="auto"/>
                <w:w w:val="89"/>
              </w:rPr>
              <w:t>Printing and Publishing</w:t>
            </w:r>
          </w:p>
        </w:tc>
        <w:tc>
          <w:tcPr>
            <w:tcW w:w="4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7"/>
              </w:rPr>
              <w:t>First Lien Secured Debt</w:t>
            </w:r>
          </w:p>
        </w:tc>
        <w:tc>
          <w:tcPr>
            <w:tcW w:w="40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7951 Powers Boulevard</w:t>
            </w:r>
          </w:p>
        </w:tc>
        <w:tc>
          <w:tcPr>
            <w:tcW w:w="4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Chanhassen, MN 55317</w:t>
            </w:r>
          </w:p>
        </w:tc>
        <w:tc>
          <w:tcPr>
            <w:tcW w:w="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400" w:type="dxa"/>
            <w:vAlign w:val="bottom"/>
            <w:shd w:val="clear" w:color="auto" w:fill="CCEEFF"/>
          </w:tcPr>
          <w:p>
            <w:pPr>
              <w:spacing w:after="0"/>
              <w:rPr>
                <w:sz w:val="11"/>
                <w:szCs w:val="11"/>
                <w:color w:val="auto"/>
              </w:rPr>
            </w:pPr>
          </w:p>
        </w:tc>
        <w:tc>
          <w:tcPr>
            <w:tcW w:w="34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Home and Office Furnishings, Housewares and Durable</w:t>
            </w:r>
          </w:p>
        </w:tc>
        <w:tc>
          <w:tcPr>
            <w:tcW w:w="40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First Lien Secured Debt</w:t>
            </w:r>
          </w:p>
        </w:tc>
        <w:tc>
          <w:tcPr>
            <w:tcW w:w="4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777 S. Flagler Drive, Suite 1100</w:t>
            </w: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West Palm Beach, FL 33401</w:t>
            </w:r>
          </w:p>
        </w:tc>
        <w:tc>
          <w:tcPr>
            <w:tcW w:w="40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4"/>
                <w:szCs w:val="14"/>
                <w:color w:val="auto"/>
              </w:rPr>
              <w:t>K2 Pure Solutions NoCal, L.P.</w:t>
            </w:r>
          </w:p>
        </w:tc>
        <w:tc>
          <w:tcPr>
            <w:tcW w:w="40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Arial" w:cs="Arial" w:eastAsia="Arial" w:hAnsi="Arial"/>
                <w:sz w:val="14"/>
                <w:szCs w:val="14"/>
                <w:color w:val="auto"/>
                <w:w w:val="86"/>
              </w:rPr>
              <w:t>Chemicals, Plastics and Rubber</w:t>
            </w:r>
          </w:p>
        </w:tc>
        <w:tc>
          <w:tcPr>
            <w:tcW w:w="4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7"/>
              </w:rPr>
              <w:t>First Lien Secured Debt</w:t>
            </w:r>
          </w:p>
        </w:tc>
        <w:tc>
          <w:tcPr>
            <w:tcW w:w="40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3515 Massillion Road, Suite 290</w:t>
            </w:r>
          </w:p>
        </w:tc>
        <w:tc>
          <w:tcPr>
            <w:tcW w:w="4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Uniontown, OH 44685</w:t>
            </w:r>
          </w:p>
        </w:tc>
        <w:tc>
          <w:tcPr>
            <w:tcW w:w="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76"/>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400" w:type="dxa"/>
            <w:vAlign w:val="bottom"/>
          </w:tcPr>
          <w:p>
            <w:pPr>
              <w:spacing w:after="0"/>
              <w:rPr>
                <w:sz w:val="15"/>
                <w:szCs w:val="15"/>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20" w:type="dxa"/>
            <w:vAlign w:val="bottom"/>
          </w:tcPr>
          <w:p>
            <w:pPr>
              <w:spacing w:after="0"/>
              <w:rPr>
                <w:sz w:val="15"/>
                <w:szCs w:val="15"/>
                <w:color w:val="auto"/>
              </w:rPr>
            </w:pPr>
          </w:p>
        </w:tc>
        <w:tc>
          <w:tcPr>
            <w:tcW w:w="88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90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342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Learning Care Group (US) Inc.</w:t>
            </w:r>
          </w:p>
        </w:tc>
        <w:tc>
          <w:tcPr>
            <w:tcW w:w="400" w:type="dxa"/>
            <w:vAlign w:val="bottom"/>
            <w:shd w:val="clear" w:color="auto" w:fill="CCEEFF"/>
          </w:tcPr>
          <w:p>
            <w:pPr>
              <w:spacing w:after="0"/>
              <w:rPr>
                <w:sz w:val="11"/>
                <w:szCs w:val="11"/>
                <w:color w:val="auto"/>
              </w:rPr>
            </w:pPr>
          </w:p>
        </w:tc>
        <w:tc>
          <w:tcPr>
            <w:tcW w:w="3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Education</w:t>
            </w:r>
          </w:p>
        </w:tc>
        <w:tc>
          <w:tcPr>
            <w:tcW w:w="42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First Lien Secured Debt</w:t>
            </w:r>
          </w:p>
        </w:tc>
        <w:tc>
          <w:tcPr>
            <w:tcW w:w="4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21333 Haggerty Road, Suite 300</w:t>
            </w:r>
          </w:p>
        </w:tc>
        <w:tc>
          <w:tcPr>
            <w:tcW w:w="400" w:type="dxa"/>
            <w:vAlign w:val="bottom"/>
            <w:shd w:val="clear" w:color="auto" w:fill="CCEEFF"/>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Subordinated Debt</w:t>
            </w: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Novi, MI 48375</w:t>
            </w:r>
          </w:p>
        </w:tc>
        <w:tc>
          <w:tcPr>
            <w:tcW w:w="40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Warrants</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4"/>
                <w:szCs w:val="14"/>
                <w:color w:val="auto"/>
              </w:rPr>
              <w:t>Magnum Hunter Resources Corporation</w:t>
            </w:r>
          </w:p>
        </w:tc>
        <w:tc>
          <w:tcPr>
            <w:tcW w:w="400" w:type="dxa"/>
            <w:vAlign w:val="bottom"/>
          </w:tcPr>
          <w:p>
            <w:pPr>
              <w:spacing w:after="0"/>
              <w:rPr>
                <w:sz w:val="17"/>
                <w:szCs w:val="17"/>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86"/>
              </w:rPr>
              <w:t>Oil and Gas</w:t>
            </w:r>
          </w:p>
        </w:tc>
        <w:tc>
          <w:tcPr>
            <w:tcW w:w="4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0"/>
              </w:rPr>
              <w:t>Common Equity</w:t>
            </w:r>
          </w:p>
        </w:tc>
        <w:tc>
          <w:tcPr>
            <w:tcW w:w="1240" w:type="dxa"/>
            <w:vAlign w:val="bottom"/>
            <w:gridSpan w:val="2"/>
          </w:tcPr>
          <w:p>
            <w:pPr>
              <w:jc w:val="right"/>
              <w:ind w:right="153"/>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777 Post Oak Blvd., Suite 910</w:t>
            </w: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Houston, TX 77056</w:t>
            </w:r>
          </w:p>
        </w:tc>
        <w:tc>
          <w:tcPr>
            <w:tcW w:w="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MailSouth, Inc.</w:t>
            </w:r>
          </w:p>
        </w:tc>
        <w:tc>
          <w:tcPr>
            <w:tcW w:w="400" w:type="dxa"/>
            <w:vAlign w:val="bottom"/>
            <w:shd w:val="clear" w:color="auto" w:fill="CCEEFF"/>
          </w:tcPr>
          <w:p>
            <w:pPr>
              <w:spacing w:after="0"/>
              <w:rPr>
                <w:sz w:val="11"/>
                <w:szCs w:val="11"/>
                <w:color w:val="auto"/>
              </w:rPr>
            </w:pPr>
          </w:p>
        </w:tc>
        <w:tc>
          <w:tcPr>
            <w:tcW w:w="3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Printing and Publishing</w:t>
            </w:r>
          </w:p>
        </w:tc>
        <w:tc>
          <w:tcPr>
            <w:tcW w:w="42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Subordinated Debt</w:t>
            </w:r>
          </w:p>
        </w:tc>
        <w:tc>
          <w:tcPr>
            <w:tcW w:w="4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400" w:type="dxa"/>
            <w:vAlign w:val="bottom"/>
            <w:shd w:val="clear" w:color="auto" w:fill="CCEEFF"/>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40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4"/>
                <w:szCs w:val="14"/>
                <w:color w:val="auto"/>
              </w:rPr>
              <w:t>MedQuist, Inc.</w:t>
            </w:r>
          </w:p>
        </w:tc>
        <w:tc>
          <w:tcPr>
            <w:tcW w:w="400" w:type="dxa"/>
            <w:vAlign w:val="bottom"/>
          </w:tcPr>
          <w:p>
            <w:pPr>
              <w:spacing w:after="0"/>
              <w:rPr>
                <w:sz w:val="17"/>
                <w:szCs w:val="17"/>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4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7"/>
              </w:rPr>
              <w:t>Subordinated Debt</w:t>
            </w:r>
          </w:p>
        </w:tc>
        <w:tc>
          <w:tcPr>
            <w:tcW w:w="42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1000 Bishops Gate Blvd., Suite 300</w:t>
            </w: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Mt. Laurel, NJ 08054</w:t>
            </w:r>
          </w:p>
        </w:tc>
        <w:tc>
          <w:tcPr>
            <w:tcW w:w="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PAS Technologies, Inc.</w:t>
            </w:r>
          </w:p>
        </w:tc>
        <w:tc>
          <w:tcPr>
            <w:tcW w:w="400" w:type="dxa"/>
            <w:vAlign w:val="bottom"/>
            <w:shd w:val="clear" w:color="auto" w:fill="CCEEFF"/>
          </w:tcPr>
          <w:p>
            <w:pPr>
              <w:spacing w:after="0"/>
              <w:rPr>
                <w:sz w:val="11"/>
                <w:szCs w:val="11"/>
                <w:color w:val="auto"/>
              </w:rPr>
            </w:pPr>
          </w:p>
        </w:tc>
        <w:tc>
          <w:tcPr>
            <w:tcW w:w="3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Aerospace and Defense</w:t>
            </w:r>
          </w:p>
        </w:tc>
        <w:tc>
          <w:tcPr>
            <w:tcW w:w="42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Subordinated Debt</w:t>
            </w:r>
          </w:p>
        </w:tc>
        <w:tc>
          <w:tcPr>
            <w:tcW w:w="1240" w:type="dxa"/>
            <w:vAlign w:val="bottom"/>
            <w:gridSpan w:val="2"/>
            <w:shd w:val="clear" w:color="auto" w:fill="CCEEFF"/>
          </w:tcPr>
          <w:p>
            <w:pPr>
              <w:jc w:val="right"/>
              <w:ind w:right="153"/>
              <w:spacing w:after="0" w:line="138" w:lineRule="exact"/>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1234 Atlantic Street</w:t>
            </w:r>
          </w:p>
        </w:tc>
        <w:tc>
          <w:tcPr>
            <w:tcW w:w="400" w:type="dxa"/>
            <w:vAlign w:val="bottom"/>
            <w:shd w:val="clear" w:color="auto" w:fill="CCEEFF"/>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Preferred Equity</w:t>
            </w: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North Kansas City, MO 64116</w:t>
            </w:r>
          </w:p>
        </w:tc>
        <w:tc>
          <w:tcPr>
            <w:tcW w:w="40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Common Equity</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gridSpan w:val="2"/>
          </w:tcPr>
          <w:p>
            <w:pPr>
              <w:spacing w:after="0"/>
              <w:rPr>
                <w:sz w:val="20"/>
                <w:szCs w:val="20"/>
                <w:color w:val="auto"/>
              </w:rPr>
            </w:pPr>
            <w:r>
              <w:rPr>
                <w:rFonts w:ascii="Arial" w:cs="Arial" w:eastAsia="Arial" w:hAnsi="Arial"/>
                <w:sz w:val="14"/>
                <w:szCs w:val="14"/>
                <w:color w:val="auto"/>
              </w:rPr>
              <w:t>Penton Media, Inc.</w:t>
            </w:r>
          </w:p>
        </w:tc>
        <w:tc>
          <w:tcPr>
            <w:tcW w:w="400" w:type="dxa"/>
            <w:vAlign w:val="bottom"/>
          </w:tcPr>
          <w:p>
            <w:pPr>
              <w:spacing w:after="0"/>
              <w:rPr>
                <w:sz w:val="16"/>
                <w:szCs w:val="16"/>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88"/>
              </w:rPr>
              <w:t>Other Media</w:t>
            </w:r>
          </w:p>
        </w:tc>
        <w:tc>
          <w:tcPr>
            <w:tcW w:w="4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420" w:type="dxa"/>
            <w:vAlign w:val="bottom"/>
          </w:tcPr>
          <w:p>
            <w:pPr>
              <w:spacing w:after="0"/>
              <w:rPr>
                <w:sz w:val="16"/>
                <w:szCs w:val="16"/>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3920" w:type="dxa"/>
            <w:vAlign w:val="bottom"/>
            <w:gridSpan w:val="2"/>
          </w:tcPr>
          <w:p>
            <w:pPr>
              <w:spacing w:after="0" w:line="165" w:lineRule="exact"/>
              <w:rPr>
                <w:sz w:val="20"/>
                <w:szCs w:val="20"/>
                <w:color w:val="auto"/>
              </w:rPr>
            </w:pPr>
            <w:r>
              <w:rPr>
                <w:rFonts w:ascii="Arial" w:cs="Arial" w:eastAsia="Arial" w:hAnsi="Arial"/>
                <w:sz w:val="12"/>
                <w:szCs w:val="12"/>
                <w:color w:val="auto"/>
              </w:rPr>
              <w:t>249 W. 17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New York, NY 10011</w:t>
            </w:r>
          </w:p>
        </w:tc>
        <w:tc>
          <w:tcPr>
            <w:tcW w:w="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Questex Media Group LLC</w:t>
            </w:r>
          </w:p>
        </w:tc>
        <w:tc>
          <w:tcPr>
            <w:tcW w:w="400" w:type="dxa"/>
            <w:vAlign w:val="bottom"/>
            <w:shd w:val="clear" w:color="auto" w:fill="CCEEFF"/>
          </w:tcPr>
          <w:p>
            <w:pPr>
              <w:spacing w:after="0"/>
              <w:rPr>
                <w:sz w:val="11"/>
                <w:szCs w:val="11"/>
                <w:color w:val="auto"/>
              </w:rPr>
            </w:pPr>
          </w:p>
        </w:tc>
        <w:tc>
          <w:tcPr>
            <w:tcW w:w="3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Other Media</w:t>
            </w:r>
          </w:p>
        </w:tc>
        <w:tc>
          <w:tcPr>
            <w:tcW w:w="42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First Lien Secured Debt</w:t>
            </w:r>
          </w:p>
        </w:tc>
        <w:tc>
          <w:tcPr>
            <w:tcW w:w="1240" w:type="dxa"/>
            <w:vAlign w:val="bottom"/>
            <w:gridSpan w:val="2"/>
            <w:shd w:val="clear" w:color="auto" w:fill="CCEEFF"/>
          </w:tcPr>
          <w:p>
            <w:pPr>
              <w:jc w:val="right"/>
              <w:ind w:right="153"/>
              <w:spacing w:after="0" w:line="138" w:lineRule="exact"/>
              <w:rPr>
                <w:sz w:val="20"/>
                <w:szCs w:val="20"/>
                <w:color w:val="auto"/>
              </w:rPr>
            </w:pPr>
            <w:r>
              <w:rPr>
                <w:rFonts w:ascii="Arial" w:cs="Arial" w:eastAsia="Arial" w:hAnsi="Arial"/>
                <w:sz w:val="14"/>
                <w:szCs w:val="14"/>
                <w:color w:val="auto"/>
              </w:rPr>
              <w:t>4.8%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275 Grove Street, Suite 2-130</w:t>
            </w:r>
          </w:p>
        </w:tc>
        <w:tc>
          <w:tcPr>
            <w:tcW w:w="400" w:type="dxa"/>
            <w:vAlign w:val="bottom"/>
            <w:shd w:val="clear" w:color="auto" w:fill="CCEEFF"/>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Second Lien Secured Debt</w:t>
            </w: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Newton, MA 02466</w:t>
            </w:r>
          </w:p>
        </w:tc>
        <w:tc>
          <w:tcPr>
            <w:tcW w:w="40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Common Equity</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4"/>
                <w:szCs w:val="14"/>
                <w:color w:val="auto"/>
              </w:rPr>
              <w:t>Realogy Corp.</w:t>
            </w:r>
          </w:p>
        </w:tc>
        <w:tc>
          <w:tcPr>
            <w:tcW w:w="400" w:type="dxa"/>
            <w:vAlign w:val="bottom"/>
          </w:tcPr>
          <w:p>
            <w:pPr>
              <w:spacing w:after="0"/>
              <w:rPr>
                <w:sz w:val="17"/>
                <w:szCs w:val="17"/>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87"/>
              </w:rPr>
              <w:t>Buildings and Real Estate</w:t>
            </w:r>
          </w:p>
        </w:tc>
        <w:tc>
          <w:tcPr>
            <w:tcW w:w="4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6"/>
              </w:rPr>
              <w:t>Second Lien Secured Debt</w:t>
            </w:r>
          </w:p>
        </w:tc>
        <w:tc>
          <w:tcPr>
            <w:tcW w:w="42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One Campus Drive</w:t>
            </w: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7"/>
              </w:rPr>
              <w:t>Subordinated Debt</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Parsippany, NJ 07054</w:t>
            </w:r>
          </w:p>
        </w:tc>
        <w:tc>
          <w:tcPr>
            <w:tcW w:w="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400" w:type="dxa"/>
            <w:vAlign w:val="bottom"/>
            <w:shd w:val="clear" w:color="auto" w:fill="CCEEFF"/>
          </w:tcPr>
          <w:p>
            <w:pPr>
              <w:spacing w:after="0"/>
              <w:rPr>
                <w:sz w:val="11"/>
                <w:szCs w:val="11"/>
                <w:color w:val="auto"/>
              </w:rPr>
            </w:pPr>
          </w:p>
        </w:tc>
        <w:tc>
          <w:tcPr>
            <w:tcW w:w="3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 Childcare</w:t>
            </w:r>
          </w:p>
        </w:tc>
        <w:tc>
          <w:tcPr>
            <w:tcW w:w="42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Second Lien Secured Debt</w:t>
            </w:r>
          </w:p>
        </w:tc>
        <w:tc>
          <w:tcPr>
            <w:tcW w:w="4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1613 N. Harrison Parkway, Suite 200</w:t>
            </w:r>
          </w:p>
        </w:tc>
        <w:tc>
          <w:tcPr>
            <w:tcW w:w="400" w:type="dxa"/>
            <w:vAlign w:val="bottom"/>
            <w:shd w:val="clear" w:color="auto" w:fill="CCEEFF"/>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Sunrise, FL 33323</w:t>
            </w:r>
          </w:p>
        </w:tc>
        <w:tc>
          <w:tcPr>
            <w:tcW w:w="40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4"/>
                <w:szCs w:val="14"/>
                <w:color w:val="auto"/>
              </w:rPr>
              <w:t>Specialized Technology Resources, Inc.</w:t>
            </w:r>
          </w:p>
        </w:tc>
        <w:tc>
          <w:tcPr>
            <w:tcW w:w="400" w:type="dxa"/>
            <w:vAlign w:val="bottom"/>
          </w:tcPr>
          <w:p>
            <w:pPr>
              <w:spacing w:after="0"/>
              <w:rPr>
                <w:sz w:val="17"/>
                <w:szCs w:val="17"/>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86"/>
              </w:rPr>
              <w:t>Chemical, Plastics and Rubber</w:t>
            </w:r>
          </w:p>
        </w:tc>
        <w:tc>
          <w:tcPr>
            <w:tcW w:w="4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6"/>
              </w:rPr>
              <w:t>Second Lien Secured Debt</w:t>
            </w:r>
          </w:p>
        </w:tc>
        <w:tc>
          <w:tcPr>
            <w:tcW w:w="42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10 Water Street</w:t>
            </w: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Enfield, CT 06082</w:t>
            </w:r>
          </w:p>
        </w:tc>
        <w:tc>
          <w:tcPr>
            <w:tcW w:w="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Sugarhouse HSP Gaming Prop.</w:t>
            </w:r>
          </w:p>
        </w:tc>
        <w:tc>
          <w:tcPr>
            <w:tcW w:w="400" w:type="dxa"/>
            <w:vAlign w:val="bottom"/>
            <w:shd w:val="clear" w:color="auto" w:fill="CCEEFF"/>
          </w:tcPr>
          <w:p>
            <w:pPr>
              <w:spacing w:after="0"/>
              <w:rPr>
                <w:sz w:val="11"/>
                <w:szCs w:val="11"/>
                <w:color w:val="auto"/>
              </w:rPr>
            </w:pPr>
          </w:p>
        </w:tc>
        <w:tc>
          <w:tcPr>
            <w:tcW w:w="3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Hotels, Motels, Inns and Gaming</w:t>
            </w:r>
          </w:p>
        </w:tc>
        <w:tc>
          <w:tcPr>
            <w:tcW w:w="42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First Lien Secured Debt</w:t>
            </w:r>
          </w:p>
        </w:tc>
        <w:tc>
          <w:tcPr>
            <w:tcW w:w="4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1080 N. Delaware Avenue</w:t>
            </w:r>
          </w:p>
        </w:tc>
        <w:tc>
          <w:tcPr>
            <w:tcW w:w="400" w:type="dxa"/>
            <w:vAlign w:val="bottom"/>
            <w:shd w:val="clear" w:color="auto" w:fill="CCEEFF"/>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Philadelphia, PA 19125</w:t>
            </w:r>
          </w:p>
        </w:tc>
        <w:tc>
          <w:tcPr>
            <w:tcW w:w="40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4"/>
                <w:szCs w:val="14"/>
                <w:color w:val="auto"/>
              </w:rPr>
              <w:t>Three Rivers Pharmaceutical, L.L.C.</w:t>
            </w:r>
          </w:p>
        </w:tc>
        <w:tc>
          <w:tcPr>
            <w:tcW w:w="400" w:type="dxa"/>
            <w:vAlign w:val="bottom"/>
          </w:tcPr>
          <w:p>
            <w:pPr>
              <w:spacing w:after="0"/>
              <w:rPr>
                <w:sz w:val="17"/>
                <w:szCs w:val="17"/>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87"/>
              </w:rPr>
              <w:t>Healthcare, Education and Childcare</w:t>
            </w:r>
          </w:p>
        </w:tc>
        <w:tc>
          <w:tcPr>
            <w:tcW w:w="4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1240" w:type="dxa"/>
            <w:vAlign w:val="bottom"/>
            <w:gridSpan w:val="2"/>
          </w:tcPr>
          <w:p>
            <w:pPr>
              <w:jc w:val="right"/>
              <w:ind w:right="153"/>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(Kadmon Holdings, L.L.C.)</w:t>
            </w: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Equity</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920" w:type="dxa"/>
            <w:vAlign w:val="bottom"/>
            <w:gridSpan w:val="2"/>
          </w:tcPr>
          <w:p>
            <w:pPr>
              <w:spacing w:after="0" w:line="133" w:lineRule="exact"/>
              <w:rPr>
                <w:sz w:val="20"/>
                <w:szCs w:val="20"/>
                <w:color w:val="auto"/>
              </w:rPr>
            </w:pPr>
            <w:r>
              <w:rPr>
                <w:rFonts w:ascii="Arial" w:cs="Arial" w:eastAsia="Arial" w:hAnsi="Arial"/>
                <w:sz w:val="14"/>
                <w:szCs w:val="14"/>
                <w:color w:val="auto"/>
              </w:rPr>
              <w:t>Alexandria Center for Life Sciences</w:t>
            </w:r>
          </w:p>
        </w:tc>
        <w:tc>
          <w:tcPr>
            <w:tcW w:w="40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920" w:type="dxa"/>
            <w:vAlign w:val="bottom"/>
            <w:gridSpan w:val="2"/>
          </w:tcPr>
          <w:p>
            <w:pPr>
              <w:spacing w:after="0" w:line="165" w:lineRule="exact"/>
              <w:rPr>
                <w:sz w:val="20"/>
                <w:szCs w:val="20"/>
                <w:color w:val="auto"/>
              </w:rPr>
            </w:pPr>
            <w:r>
              <w:rPr>
                <w:rFonts w:ascii="Arial" w:cs="Arial" w:eastAsia="Arial" w:hAnsi="Arial"/>
                <w:sz w:val="12"/>
                <w:szCs w:val="12"/>
                <w:color w:val="auto"/>
              </w:rPr>
              <w:t>450 East 29</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New York, NY 10016</w:t>
            </w:r>
          </w:p>
        </w:tc>
        <w:tc>
          <w:tcPr>
            <w:tcW w:w="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90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TRAK Acquisition Corp.</w:t>
            </w:r>
          </w:p>
        </w:tc>
        <w:tc>
          <w:tcPr>
            <w:tcW w:w="400" w:type="dxa"/>
            <w:vAlign w:val="bottom"/>
            <w:shd w:val="clear" w:color="auto" w:fill="CCEEFF"/>
          </w:tcPr>
          <w:p>
            <w:pPr>
              <w:spacing w:after="0"/>
              <w:rPr>
                <w:sz w:val="10"/>
                <w:szCs w:val="10"/>
                <w:color w:val="auto"/>
              </w:rPr>
            </w:pPr>
          </w:p>
        </w:tc>
        <w:tc>
          <w:tcPr>
            <w:tcW w:w="342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3"/>
              </w:rPr>
              <w:t>Business Services</w:t>
            </w:r>
          </w:p>
        </w:tc>
        <w:tc>
          <w:tcPr>
            <w:tcW w:w="420" w:type="dxa"/>
            <w:vAlign w:val="bottom"/>
            <w:shd w:val="clear" w:color="auto" w:fill="CCEEFF"/>
          </w:tcPr>
          <w:p>
            <w:pPr>
              <w:spacing w:after="0"/>
              <w:rPr>
                <w:sz w:val="10"/>
                <w:szCs w:val="10"/>
                <w:color w:val="auto"/>
              </w:rPr>
            </w:pPr>
          </w:p>
        </w:tc>
        <w:tc>
          <w:tcPr>
            <w:tcW w:w="196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7"/>
              </w:rPr>
              <w:t>Subordinated Debt</w:t>
            </w:r>
          </w:p>
        </w:tc>
        <w:tc>
          <w:tcPr>
            <w:tcW w:w="4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400"/>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0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1001 Brickell Bay Drive, 27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40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Warrants</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Miami, FL 33131</w:t>
            </w:r>
          </w:p>
        </w:tc>
        <w:tc>
          <w:tcPr>
            <w:tcW w:w="40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4"/>
                <w:szCs w:val="14"/>
                <w:color w:val="auto"/>
              </w:rPr>
              <w:t>TransFirst Holdings, Inc.</w:t>
            </w:r>
          </w:p>
        </w:tc>
        <w:tc>
          <w:tcPr>
            <w:tcW w:w="400" w:type="dxa"/>
            <w:vAlign w:val="bottom"/>
          </w:tcPr>
          <w:p>
            <w:pPr>
              <w:spacing w:after="0"/>
              <w:rPr>
                <w:sz w:val="17"/>
                <w:szCs w:val="17"/>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87"/>
              </w:rPr>
              <w:t>Financial Services</w:t>
            </w:r>
          </w:p>
        </w:tc>
        <w:tc>
          <w:tcPr>
            <w:tcW w:w="4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6"/>
              </w:rPr>
              <w:t>Second Lien Secured Debt</w:t>
            </w:r>
          </w:p>
        </w:tc>
        <w:tc>
          <w:tcPr>
            <w:tcW w:w="42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5950 Berkshire Lane, Suite 1100</w:t>
            </w: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Dallas, TX 75225</w:t>
            </w:r>
          </w:p>
        </w:tc>
        <w:tc>
          <w:tcPr>
            <w:tcW w:w="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Trizetto Group, Inc. (TZ Holdings, L.P.)</w:t>
            </w:r>
          </w:p>
        </w:tc>
        <w:tc>
          <w:tcPr>
            <w:tcW w:w="400" w:type="dxa"/>
            <w:vAlign w:val="bottom"/>
            <w:shd w:val="clear" w:color="auto" w:fill="CCEEFF"/>
          </w:tcPr>
          <w:p>
            <w:pPr>
              <w:spacing w:after="0"/>
              <w:rPr>
                <w:sz w:val="11"/>
                <w:szCs w:val="11"/>
                <w:color w:val="auto"/>
              </w:rPr>
            </w:pPr>
          </w:p>
        </w:tc>
        <w:tc>
          <w:tcPr>
            <w:tcW w:w="3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Insurance</w:t>
            </w:r>
          </w:p>
        </w:tc>
        <w:tc>
          <w:tcPr>
            <w:tcW w:w="42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Preferred Equity</w:t>
            </w:r>
          </w:p>
        </w:tc>
        <w:tc>
          <w:tcPr>
            <w:tcW w:w="1240" w:type="dxa"/>
            <w:vAlign w:val="bottom"/>
            <w:gridSpan w:val="2"/>
            <w:shd w:val="clear" w:color="auto" w:fill="CCEEFF"/>
          </w:tcPr>
          <w:p>
            <w:pPr>
              <w:jc w:val="right"/>
              <w:ind w:right="153"/>
              <w:spacing w:after="0" w:line="138" w:lineRule="exact"/>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567 San Nicolas Drive, Suite 360</w:t>
            </w:r>
          </w:p>
        </w:tc>
        <w:tc>
          <w:tcPr>
            <w:tcW w:w="400" w:type="dxa"/>
            <w:vAlign w:val="bottom"/>
            <w:shd w:val="clear" w:color="auto" w:fill="CCEEFF"/>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Common Equity</w:t>
            </w: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Newport Beach, CA 92660</w:t>
            </w:r>
          </w:p>
        </w:tc>
        <w:tc>
          <w:tcPr>
            <w:tcW w:w="40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4"/>
                <w:szCs w:val="14"/>
                <w:color w:val="auto"/>
              </w:rPr>
              <w:t>UP Support Services, Inc. (formerly UP Acquisition Sub Inc.)</w:t>
            </w:r>
          </w:p>
        </w:tc>
        <w:tc>
          <w:tcPr>
            <w:tcW w:w="400" w:type="dxa"/>
            <w:vAlign w:val="bottom"/>
          </w:tcPr>
          <w:p>
            <w:pPr>
              <w:spacing w:after="0"/>
              <w:rPr>
                <w:sz w:val="17"/>
                <w:szCs w:val="17"/>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86"/>
              </w:rPr>
              <w:t>Oil and Gas</w:t>
            </w:r>
          </w:p>
        </w:tc>
        <w:tc>
          <w:tcPr>
            <w:tcW w:w="4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7"/>
              </w:rPr>
              <w:t>Subordinated Debt</w:t>
            </w:r>
          </w:p>
        </w:tc>
        <w:tc>
          <w:tcPr>
            <w:tcW w:w="1240" w:type="dxa"/>
            <w:vAlign w:val="bottom"/>
            <w:gridSpan w:val="2"/>
          </w:tcPr>
          <w:p>
            <w:pPr>
              <w:jc w:val="right"/>
              <w:ind w:right="153"/>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4848 Loop Central Drive</w:t>
            </w: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8"/>
              </w:rPr>
              <w:t>Preferred Equity</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Houston, TX 77081</w:t>
            </w:r>
          </w:p>
        </w:tc>
        <w:tc>
          <w:tcPr>
            <w:tcW w:w="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0"/>
              </w:rPr>
              <w:t>Common Equity</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76"/>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400" w:type="dxa"/>
            <w:vAlign w:val="bottom"/>
          </w:tcPr>
          <w:p>
            <w:pPr>
              <w:spacing w:after="0"/>
              <w:rPr>
                <w:sz w:val="15"/>
                <w:szCs w:val="15"/>
                <w:color w:val="auto"/>
              </w:rPr>
            </w:pP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0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20" w:type="dxa"/>
            <w:vAlign w:val="bottom"/>
          </w:tcPr>
          <w:p>
            <w:pPr>
              <w:spacing w:after="0"/>
              <w:rPr>
                <w:sz w:val="15"/>
                <w:szCs w:val="15"/>
                <w:color w:val="auto"/>
              </w:rPr>
            </w:pPr>
          </w:p>
        </w:tc>
        <w:tc>
          <w:tcPr>
            <w:tcW w:w="88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90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344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90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Veritext Corporation</w:t>
            </w:r>
          </w:p>
        </w:tc>
        <w:tc>
          <w:tcPr>
            <w:tcW w:w="400" w:type="dxa"/>
            <w:vAlign w:val="bottom"/>
            <w:shd w:val="clear" w:color="auto" w:fill="CCEEFF"/>
          </w:tcPr>
          <w:p>
            <w:pPr>
              <w:spacing w:after="0"/>
              <w:rPr>
                <w:sz w:val="10"/>
                <w:szCs w:val="10"/>
                <w:color w:val="auto"/>
              </w:rPr>
            </w:pPr>
          </w:p>
        </w:tc>
        <w:tc>
          <w:tcPr>
            <w:tcW w:w="344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5"/>
              </w:rPr>
              <w:t>Business Services</w:t>
            </w:r>
          </w:p>
        </w:tc>
        <w:tc>
          <w:tcPr>
            <w:tcW w:w="400" w:type="dxa"/>
            <w:vAlign w:val="bottom"/>
            <w:shd w:val="clear" w:color="auto" w:fill="CCEEFF"/>
          </w:tcPr>
          <w:p>
            <w:pPr>
              <w:spacing w:after="0"/>
              <w:rPr>
                <w:sz w:val="10"/>
                <w:szCs w:val="10"/>
                <w:color w:val="auto"/>
              </w:rPr>
            </w:pPr>
          </w:p>
        </w:tc>
        <w:tc>
          <w:tcPr>
            <w:tcW w:w="196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7"/>
              </w:rPr>
              <w:t>Subordinated Debt</w:t>
            </w:r>
          </w:p>
        </w:tc>
        <w:tc>
          <w:tcPr>
            <w:tcW w:w="1240" w:type="dxa"/>
            <w:vAlign w:val="bottom"/>
            <w:gridSpan w:val="2"/>
            <w:shd w:val="clear" w:color="auto" w:fill="CCEEFF"/>
          </w:tcPr>
          <w:p>
            <w:pPr>
              <w:jc w:val="center"/>
              <w:ind w:left="379"/>
              <w:spacing w:after="0" w:line="122" w:lineRule="exact"/>
              <w:rPr>
                <w:sz w:val="20"/>
                <w:szCs w:val="20"/>
                <w:color w:val="auto"/>
              </w:rPr>
            </w:pPr>
            <w:r>
              <w:rPr>
                <w:rFonts w:ascii="Arial" w:cs="Arial" w:eastAsia="Arial" w:hAnsi="Arial"/>
                <w:sz w:val="14"/>
                <w:szCs w:val="14"/>
                <w:color w:val="auto"/>
                <w:w w:val="87"/>
              </w:rPr>
              <w:t>3.4%</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0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50 Public Square, 29</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40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Common Equity</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Cleveland, Ohio 44113</w:t>
            </w:r>
          </w:p>
        </w:tc>
        <w:tc>
          <w:tcPr>
            <w:tcW w:w="40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4"/>
                <w:szCs w:val="14"/>
                <w:color w:val="auto"/>
              </w:rPr>
              <w:t>VPSI, Inc. (Verde Parent Holdings Inc.)</w:t>
            </w:r>
          </w:p>
        </w:tc>
        <w:tc>
          <w:tcPr>
            <w:tcW w:w="400" w:type="dxa"/>
            <w:vAlign w:val="bottom"/>
          </w:tcPr>
          <w:p>
            <w:pPr>
              <w:spacing w:after="0"/>
              <w:rPr>
                <w:sz w:val="17"/>
                <w:szCs w:val="17"/>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w w:val="85"/>
              </w:rPr>
              <w:t>Personal Transportation</w:t>
            </w:r>
          </w:p>
        </w:tc>
        <w:tc>
          <w:tcPr>
            <w:tcW w:w="4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1240" w:type="dxa"/>
            <w:vAlign w:val="bottom"/>
            <w:gridSpan w:val="2"/>
          </w:tcPr>
          <w:p>
            <w:pPr>
              <w:jc w:val="center"/>
              <w:ind w:left="379"/>
              <w:spacing w:after="0"/>
              <w:rPr>
                <w:sz w:val="20"/>
                <w:szCs w:val="20"/>
                <w:color w:val="auto"/>
              </w:rPr>
            </w:pPr>
            <w:r>
              <w:rPr>
                <w:rFonts w:ascii="Arial" w:cs="Arial" w:eastAsia="Arial" w:hAnsi="Arial"/>
                <w:sz w:val="14"/>
                <w:szCs w:val="14"/>
                <w:color w:val="auto"/>
                <w:w w:val="87"/>
              </w:rPr>
              <w:t>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1220 Rankin Drive</w:t>
            </w:r>
          </w:p>
        </w:tc>
        <w:tc>
          <w:tcPr>
            <w:tcW w:w="4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8"/>
              </w:rPr>
              <w:t>Preferred Equity</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Arial" w:cs="Arial" w:eastAsia="Arial" w:hAnsi="Arial"/>
                <w:sz w:val="14"/>
                <w:szCs w:val="14"/>
                <w:color w:val="auto"/>
              </w:rPr>
              <w:t>Troy, Michigan 48083</w:t>
            </w:r>
          </w:p>
        </w:tc>
        <w:tc>
          <w:tcPr>
            <w:tcW w:w="4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0"/>
              </w:rPr>
              <w:t>Common Equity</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Yonkers Racing Corp.</w:t>
            </w:r>
          </w:p>
        </w:tc>
        <w:tc>
          <w:tcPr>
            <w:tcW w:w="400" w:type="dxa"/>
            <w:vAlign w:val="bottom"/>
            <w:shd w:val="clear" w:color="auto" w:fill="CCEEFF"/>
          </w:tcPr>
          <w:p>
            <w:pPr>
              <w:spacing w:after="0"/>
              <w:rPr>
                <w:sz w:val="11"/>
                <w:szCs w:val="11"/>
                <w:color w:val="auto"/>
              </w:rPr>
            </w:pPr>
          </w:p>
        </w:tc>
        <w:tc>
          <w:tcPr>
            <w:tcW w:w="3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Hotels, Motels, Inns and Gaming</w:t>
            </w:r>
          </w:p>
        </w:tc>
        <w:tc>
          <w:tcPr>
            <w:tcW w:w="40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First Lien Secured Debt</w:t>
            </w:r>
          </w:p>
        </w:tc>
        <w:tc>
          <w:tcPr>
            <w:tcW w:w="4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810 Yonkers Avenue</w:t>
            </w:r>
          </w:p>
        </w:tc>
        <w:tc>
          <w:tcPr>
            <w:tcW w:w="40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New York, NY 10704</w:t>
            </w:r>
          </w:p>
        </w:tc>
        <w:tc>
          <w:tcPr>
            <w:tcW w:w="40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Companies 5% to 24% Owned</w:t>
            </w:r>
          </w:p>
        </w:tc>
        <w:tc>
          <w:tcPr>
            <w:tcW w:w="4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400" w:type="dxa"/>
            <w:vAlign w:val="bottom"/>
            <w:shd w:val="clear" w:color="auto" w:fill="CCEEFF"/>
          </w:tcPr>
          <w:p>
            <w:pPr>
              <w:spacing w:after="0"/>
              <w:rPr>
                <w:sz w:val="11"/>
                <w:szCs w:val="11"/>
                <w:color w:val="auto"/>
              </w:rPr>
            </w:pPr>
          </w:p>
        </w:tc>
        <w:tc>
          <w:tcPr>
            <w:tcW w:w="3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Leisure, Amusement, Motion Pictures, Entertainment</w:t>
            </w:r>
          </w:p>
        </w:tc>
        <w:tc>
          <w:tcPr>
            <w:tcW w:w="40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Second Lien Secured Debt</w:t>
            </w:r>
          </w:p>
        </w:tc>
        <w:tc>
          <w:tcPr>
            <w:tcW w:w="1240" w:type="dxa"/>
            <w:vAlign w:val="bottom"/>
            <w:gridSpan w:val="2"/>
            <w:shd w:val="clear" w:color="auto" w:fill="CCEEFF"/>
          </w:tcPr>
          <w:p>
            <w:pPr>
              <w:jc w:val="center"/>
              <w:ind w:left="379"/>
              <w:spacing w:after="0" w:line="138" w:lineRule="exact"/>
              <w:rPr>
                <w:sz w:val="20"/>
                <w:szCs w:val="20"/>
                <w:color w:val="auto"/>
              </w:rPr>
            </w:pPr>
            <w:r>
              <w:rPr>
                <w:rFonts w:ascii="Arial" w:cs="Arial" w:eastAsia="Arial" w:hAnsi="Arial"/>
                <w:sz w:val="14"/>
                <w:szCs w:val="14"/>
                <w:color w:val="auto"/>
                <w:w w:val="87"/>
              </w:rPr>
              <w:t>6.2%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 Performance Way</w:t>
            </w:r>
          </w:p>
        </w:tc>
        <w:tc>
          <w:tcPr>
            <w:tcW w:w="40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Subordinated Debt</w:t>
            </w: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Chapel Hill, NC 27514</w:t>
            </w:r>
          </w:p>
        </w:tc>
        <w:tc>
          <w:tcPr>
            <w:tcW w:w="40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Common Equity</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Companies 25% or More Owned</w:t>
            </w:r>
          </w:p>
        </w:tc>
        <w:tc>
          <w:tcPr>
            <w:tcW w:w="4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90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SuttonPark Holdings, Inc.</w:t>
            </w:r>
          </w:p>
        </w:tc>
        <w:tc>
          <w:tcPr>
            <w:tcW w:w="400" w:type="dxa"/>
            <w:vAlign w:val="bottom"/>
            <w:shd w:val="clear" w:color="auto" w:fill="CCEEFF"/>
          </w:tcPr>
          <w:p>
            <w:pPr>
              <w:spacing w:after="0"/>
              <w:rPr>
                <w:sz w:val="10"/>
                <w:szCs w:val="10"/>
                <w:color w:val="auto"/>
              </w:rPr>
            </w:pPr>
          </w:p>
        </w:tc>
        <w:tc>
          <w:tcPr>
            <w:tcW w:w="344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5"/>
              </w:rPr>
              <w:t>Business Services</w:t>
            </w:r>
          </w:p>
        </w:tc>
        <w:tc>
          <w:tcPr>
            <w:tcW w:w="400" w:type="dxa"/>
            <w:vAlign w:val="bottom"/>
            <w:shd w:val="clear" w:color="auto" w:fill="CCEEFF"/>
          </w:tcPr>
          <w:p>
            <w:pPr>
              <w:spacing w:after="0"/>
              <w:rPr>
                <w:sz w:val="10"/>
                <w:szCs w:val="10"/>
                <w:color w:val="auto"/>
              </w:rPr>
            </w:pPr>
          </w:p>
        </w:tc>
        <w:tc>
          <w:tcPr>
            <w:tcW w:w="196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8"/>
              </w:rPr>
              <w:t>First Lien Secured Debt</w:t>
            </w:r>
          </w:p>
        </w:tc>
        <w:tc>
          <w:tcPr>
            <w:tcW w:w="1240" w:type="dxa"/>
            <w:vAlign w:val="bottom"/>
            <w:gridSpan w:val="2"/>
            <w:shd w:val="clear" w:color="auto" w:fill="CCEEFF"/>
          </w:tcPr>
          <w:p>
            <w:pPr>
              <w:jc w:val="center"/>
              <w:ind w:left="399"/>
              <w:spacing w:after="0" w:line="122" w:lineRule="exact"/>
              <w:rPr>
                <w:sz w:val="20"/>
                <w:szCs w:val="20"/>
                <w:color w:val="auto"/>
              </w:rPr>
            </w:pPr>
            <w:r>
              <w:rPr>
                <w:rFonts w:ascii="Arial" w:cs="Arial" w:eastAsia="Arial" w:hAnsi="Arial"/>
                <w:sz w:val="14"/>
                <w:szCs w:val="14"/>
                <w:color w:val="auto"/>
                <w:vertAlign w:val="subscript"/>
              </w:rPr>
              <w:t>100%</w:t>
            </w:r>
            <w:r>
              <w:rPr>
                <w:rFonts w:ascii="Arial" w:cs="Arial" w:eastAsia="Arial" w:hAnsi="Arial"/>
                <w:sz w:val="8"/>
                <w:szCs w:val="8"/>
                <w:color w:val="auto"/>
              </w:rPr>
              <w:t xml:space="preserve"> (3), (4)</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0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590 Madison Avenue, 15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40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Subordinated Debt</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York, NY 10022</w:t>
            </w:r>
          </w:p>
        </w:tc>
        <w:tc>
          <w:tcPr>
            <w:tcW w:w="40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Preferred Equity</w:t>
            </w: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Common Equity</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w:t>
      </w:r>
    </w:p>
    <w:p>
      <w:pPr>
        <w:ind w:left="340" w:hanging="332"/>
        <w:spacing w:after="0" w:line="22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On a fully diluted basis, our percentage ownership is 7.3%.</w:t>
      </w:r>
    </w:p>
    <w:p>
      <w:pPr>
        <w:ind w:left="340" w:hanging="332"/>
        <w:spacing w:after="0" w:line="22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Indicates that we hold voting seats on portfolio companies’ board of directors.</w:t>
      </w: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Indicates that we provide managerial assistance. See “Certain Relationships and Transactions” for more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December 31, 2010 and September 30,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2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w w:val="85"/>
              </w:rPr>
              <w:t>December 31,</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66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122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4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&amp; Childcare</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Home and Office Furnishings, Housewares, and Durable Consumer Products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Diversified/Conglomerate Services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Energy / Utilities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Grocery</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Leisure, Amusement, Motion Picture, Entertainment</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860" w:type="dxa"/>
            <w:vAlign w:val="bottom"/>
          </w:tcPr>
          <w:p>
            <w:pPr>
              <w:jc w:val="right"/>
              <w:ind w:right="2493"/>
              <w:spacing w:after="0"/>
              <w:rPr>
                <w:sz w:val="20"/>
                <w:szCs w:val="20"/>
                <w:color w:val="auto"/>
              </w:rPr>
            </w:pPr>
            <w:r>
              <w:rPr>
                <w:rFonts w:ascii="Arial" w:cs="Arial" w:eastAsia="Arial" w:hAnsi="Arial"/>
                <w:sz w:val="18"/>
                <w:szCs w:val="18"/>
                <w:color w:val="auto"/>
              </w:rPr>
              <w:t>74</w:t>
            </w: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 (19)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Director</w:t>
            </w:r>
          </w:p>
        </w:tc>
        <w:tc>
          <w:tcPr>
            <w:tcW w:w="4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Expiration</w:t>
            </w:r>
          </w:p>
        </w:tc>
        <w:tc>
          <w:tcPr>
            <w:tcW w:w="0" w:type="dxa"/>
            <w:vAlign w:val="bottom"/>
          </w:tcPr>
          <w:p>
            <w:pPr>
              <w:spacing w:after="0"/>
              <w:rPr>
                <w:sz w:val="1"/>
                <w:szCs w:val="1"/>
                <w:color w:val="auto"/>
              </w:rPr>
            </w:pPr>
          </w:p>
        </w:tc>
      </w:tr>
      <w:tr>
        <w:trPr>
          <w:trHeight w:val="161"/>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42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500" w:type="dxa"/>
            <w:vAlign w:val="bottom"/>
          </w:tcPr>
          <w:p>
            <w:pPr>
              <w:jc w:val="right"/>
              <w:ind w:right="18"/>
              <w:spacing w:after="0"/>
              <w:rPr>
                <w:sz w:val="20"/>
                <w:szCs w:val="20"/>
                <w:color w:val="auto"/>
              </w:rPr>
            </w:pPr>
            <w:r>
              <w:rPr>
                <w:rFonts w:ascii="Arial" w:cs="Arial" w:eastAsia="Arial" w:hAnsi="Arial"/>
                <w:sz w:val="14"/>
                <w:szCs w:val="14"/>
                <w:b w:val="1"/>
                <w:bCs w:val="1"/>
                <w:color w:val="auto"/>
              </w:rPr>
              <w:t>Since</w:t>
            </w:r>
          </w:p>
        </w:tc>
        <w:tc>
          <w:tcPr>
            <w:tcW w:w="4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00" w:type="dxa"/>
            <w:vAlign w:val="bottom"/>
          </w:tcPr>
          <w:p>
            <w:pPr>
              <w:jc w:val="right"/>
              <w:spacing w:after="0"/>
              <w:rPr>
                <w:sz w:val="20"/>
                <w:szCs w:val="20"/>
                <w:color w:val="auto"/>
              </w:rPr>
            </w:pPr>
            <w:r>
              <w:rPr>
                <w:rFonts w:ascii="Arial" w:cs="Arial" w:eastAsia="Arial" w:hAnsi="Arial"/>
                <w:sz w:val="18"/>
                <w:szCs w:val="18"/>
                <w:color w:val="auto"/>
              </w:rPr>
              <w:t>2007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40" w:type="dxa"/>
            <w:vAlign w:val="bottom"/>
          </w:tcPr>
          <w:p>
            <w:pPr>
              <w:jc w:val="right"/>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00" w:type="dxa"/>
            <w:vAlign w:val="bottom"/>
          </w:tcPr>
          <w:p>
            <w:pPr>
              <w:jc w:val="right"/>
              <w:spacing w:after="0"/>
              <w:rPr>
                <w:sz w:val="20"/>
                <w:szCs w:val="20"/>
                <w:color w:val="auto"/>
              </w:rPr>
            </w:pPr>
            <w:r>
              <w:rPr>
                <w:rFonts w:ascii="Arial" w:cs="Arial" w:eastAsia="Arial" w:hAnsi="Arial"/>
                <w:sz w:val="18"/>
                <w:szCs w:val="18"/>
                <w:color w:val="auto"/>
              </w:rPr>
              <w:t>2007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8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1"/>
              </w:rPr>
              <w:t>Name Address</w:t>
            </w:r>
          </w:p>
        </w:tc>
        <w:tc>
          <w:tcPr>
            <w:tcW w:w="47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554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Aviv Efrat</w:t>
            </w:r>
          </w:p>
        </w:tc>
        <w:tc>
          <w:tcPr>
            <w:tcW w:w="47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officer who is not a director of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Name Address</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554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Chief Compliance Officer</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office is located at 590 Madison Avenue, 15th Floor, New York, New York 10022.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1940 Act requires that at least a majority of our directors not be “interested persons” (as defined in the 1940 Act) of the Company. Currently, four of our five directors are Independent Directors; however the Chairman of our board of directors is our Chief Executive Officer and therefore an interested person of us.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Independent Directors believe that the combined positions of our Chief Executive Officer and Chairman of the board of directors results in greater efficiencies in managing us by eliminating the need to transfer substantial information quickly and repeatedly between the Chief Executive Officer and the Chairman and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Administrator is appropriate in light of the services that the Investment Adviser and the Administrator provides us and the potential conflicts of interest that could arise from these relationships.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two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Audit Committee’s risk oversight responsibilities include overseeing our accounting and financial reporting processes, including the annual audit of our financial statements and systems of internal controls regarding finance and accounting,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the our management. Both the Audit Committee and the Nominating and Corporate Governance Committee consist solely of Independent Directors.</w:t>
      </w:r>
    </w:p>
    <w:p>
      <w:pPr>
        <w:spacing w:after="0" w:line="12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The board of directors also performs its risk oversight responsibilities with the assistance of the Chief Compliance Officer. Our Chief Compliance Officer prepares a written report annually discussing the adequacy and effectiveness of the compliance policies and procedures and certain of its service providers. The Chief Compliance Officer’s report, which is reviewed by the board of directors, addresses at a minimum (1) the operation of the compliance policies and procedures of the Company and certain of its service providers since the last report; (2) any material changes to such policies and procedures since the last report;</w:t>
      </w:r>
    </w:p>
    <w:p>
      <w:pPr>
        <w:spacing w:after="0" w:line="3" w:lineRule="exact"/>
        <w:rPr>
          <w:sz w:val="20"/>
          <w:szCs w:val="20"/>
          <w:color w:val="auto"/>
        </w:rPr>
      </w:pPr>
    </w:p>
    <w:p>
      <w:pPr>
        <w:ind w:firstLine="8"/>
        <w:spacing w:after="0" w:line="254"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the Company’s compliance activities and risks. In addition, the Chief Compliance Officer meets separately in executive session with the Independent Directors at least once each year.</w:t>
      </w:r>
    </w:p>
    <w:p>
      <w:pPr>
        <w:spacing w:after="0" w:line="14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believe that the board’s role in risk oversight is effective and appropriate given the extensive regulation to which it is already subject as a business development company. Specifically, as a business development company, we must comply with certain regulatory requirements that control the levels of risk in its business and operations. For example, our ability to incur indebtedness is limited such that its asset coverage must equal at least 200% immediately after each time we incur indebtedness,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believe that the extent of the board’s and its committees’ roles in risk oversight complements the board’s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our independent auditors, chief compliance officer and chief executive officer, the Independent Directors have similarly established direct communication and oversight channels that the board believes foster open communication and early detection of issues of concern.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459" w:right="2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believe that board’s role in risk oversight must be evaluated on a case by case basis and that the current configuration and allocation of responsibilities among the board and its committees with respect to the oversight of risk is appropriate. However, the board of directors and its committees continually re-examine the manner in which they administers their respective risk oversight functions, including through formal annual assessments of ensure that they meet our needs.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to operate effectively in governing the Company and protecting the interests of its stockholders. Below is a description of the various experiences, qualifications, attributes and/or skills with respect to each director considered by the board. Our directors have been divided into two groups—interested directors and independent directors. Interested directors are “interested persons” as defined in the 1940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Adam K. Bernstein (47), Director. Mr. Bernstein became a Director of PennantPark Investment in February 2007.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13"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Marshall Brozost (43), Director. Mr. Brozost became a Director of PennantPark Investment in February 2007.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Jeffrey Flug (48), Director. Mr. Flug became a Director of PennantPark Investment in February 2007. Since 2009, Mr. Flug held a variety of senior positions including, most recently,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Samuel L. Katz (45), Director. Mr. Katz became a Director of PennantPark Investment in February 2007.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Arthur H. Penn (47) Founder, Chief Executive Officer and Chairman of the board of directors. Mr. Penn became the Chief Executive Officer and a Director of PennantPark Investment at its inception in January 2007. He also founded and became Managing Member of PennantPark Investment Advisers in January 2007. Mr. Penn co-founded Apollo Investment Management in 2004, where he was a Managing Partner from 2004 to 2006. 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Aviv Efrat (46), Chief Financial Officer and Treasurer. Mr. Efrat became PennantPark Investment’s Chief Financial Officer and Treasurer in February 2007.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Guy F. Talarico (55) Chief Compliance Officer. Mr. Talarico became PennantPark Investment’s Chief Compliance Officer in 2008.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For the fiscal year ended September 30, 2010, we held seven board meetings, four Audit Committee meetings and two Nominating and Corporate Governance Committee meetings. All directors attended at least 75% of the aggregate number of meetings of the board of directors and of the respective committees on which they served. The Company requires each director to make a diligent effort to attend all board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corporate governance rules. Messers.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of directors whether the audited financial statements should be included in the Company’s annual report on Form 10-K; reviewing and discussing with management and the auditors the Company’s quarterly financial statements prior to the filings of its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The Company’s board of directors has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 xml:space="preserve">determined that each of Messers. Flug and Katz is an “audit committee financial expert” as that term is defined under Item 407 of Regulation S-K under the Exchange Act. The Audit Committee Charter is available on the Company’s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 The Nominating and Corporate Governance Committee has adopted a written Nominating and Corporate Governance Committee Charter that is available on the Company’s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Nominating and Corporate Governance Committee has not adopted a formal policy with regard to the consideration of diversity in identifying individuals for election as members of the board of directors. In determining whether to recommend an individual for election, the Nominating and Corporate Governance Committee considers and discusses diversity, among other factors, with a view toward the needs of the board of directors and the Company as a whole. When performing its responsibility of identifying and recommending director nominees, the Nominating and Corporate Governance Committee considers diversity as an expansive concept, encompassing, without limitation, individual traits such as race, gender, national origin, differences of viewpoint, professional experience, education, skill and other qualities that may contribute to the effectiveness of the board of directors. The Nominating and Corporate Governance Committee believes that the diversity is one of many factors to be properly considered by it in selecting director nominees, and that such consideration is consistent with the Nominating and Corporate Governance Committee’s goal of creating a board of directors that best serves the interests of the Company and its stockholders. As part of the Annual meeting of the Nominating and Corporate Governance Committee, the committee evaluates the effectiveness of their informal policy on diversity during the executive session and through their self assessments.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officers do not receive compensation from 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2010. No compensation is paid directly by us to any interested director or executive officer of the Company.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5"/>
              </w:rPr>
              <w:t>Pension or</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retirement</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3"/>
              </w:rPr>
              <w:t>Aggregate</w:t>
            </w:r>
          </w:p>
        </w:tc>
        <w:tc>
          <w:tcPr>
            <w:tcW w:w="1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benefits accrued as</w:t>
            </w:r>
          </w:p>
        </w:tc>
        <w:tc>
          <w:tcPr>
            <w:tcW w:w="10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Total paid to</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gridSpan w:val="2"/>
          </w:tcPr>
          <w:p>
            <w:pPr>
              <w:jc w:val="center"/>
              <w:ind w:right="122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part of our</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director</w:t>
            </w:r>
          </w:p>
        </w:tc>
        <w:tc>
          <w:tcPr>
            <w:tcW w:w="0" w:type="dxa"/>
            <w:vAlign w:val="bottom"/>
          </w:tcPr>
          <w:p>
            <w:pPr>
              <w:spacing w:after="0"/>
              <w:rPr>
                <w:sz w:val="1"/>
                <w:szCs w:val="1"/>
                <w:color w:val="auto"/>
              </w:rPr>
            </w:pPr>
          </w:p>
        </w:tc>
      </w:tr>
      <w:tr>
        <w:trPr>
          <w:trHeight w:val="176"/>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0" w:type="dxa"/>
            <w:vAlign w:val="bottom"/>
          </w:tcPr>
          <w:p>
            <w:pPr>
              <w:spacing w:after="0"/>
              <w:rPr>
                <w:sz w:val="15"/>
                <w:szCs w:val="15"/>
                <w:color w:val="auto"/>
              </w:rPr>
            </w:pPr>
          </w:p>
        </w:tc>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from the Company</w:t>
            </w:r>
          </w:p>
        </w:tc>
        <w:tc>
          <w:tcPr>
            <w:tcW w:w="11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4"/>
              </w:rPr>
              <w:t>expense</w:t>
            </w:r>
            <w:r>
              <w:rPr>
                <w:rFonts w:ascii="Arial" w:cs="Arial" w:eastAsia="Arial" w:hAnsi="Arial"/>
                <w:sz w:val="20"/>
                <w:szCs w:val="20"/>
                <w:b w:val="1"/>
                <w:bCs w:val="1"/>
                <w:color w:val="auto"/>
                <w:w w:val="84"/>
                <w:vertAlign w:val="superscript"/>
              </w:rPr>
              <w:t>(1)</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 officer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2320" w:type="dxa"/>
            <w:vAlign w:val="bottom"/>
            <w:gridSpan w:val="2"/>
          </w:tcPr>
          <w:p>
            <w:pPr>
              <w:ind w:left="2200"/>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jc w:val="right"/>
              <w:ind w:right="1080"/>
              <w:spacing w:after="0"/>
              <w:rPr>
                <w:sz w:val="20"/>
                <w:szCs w:val="20"/>
                <w:color w:val="auto"/>
              </w:rPr>
            </w:pPr>
            <w:r>
              <w:rPr>
                <w:rFonts w:ascii="Arial" w:cs="Arial" w:eastAsia="Arial" w:hAnsi="Arial"/>
                <w:sz w:val="18"/>
                <w:szCs w:val="18"/>
                <w:color w:val="auto"/>
              </w:rPr>
              <w:t>98,750</w:t>
            </w:r>
          </w:p>
        </w:tc>
        <w:tc>
          <w:tcPr>
            <w:tcW w:w="1100" w:type="dxa"/>
            <w:vAlign w:val="bottom"/>
          </w:tcPr>
          <w:p>
            <w:pPr>
              <w:jc w:val="right"/>
              <w:spacing w:after="0"/>
              <w:rPr>
                <w:sz w:val="20"/>
                <w:szCs w:val="20"/>
                <w:color w:val="auto"/>
              </w:rPr>
            </w:pPr>
            <w:r>
              <w:rPr>
                <w:rFonts w:ascii="Arial" w:cs="Arial" w:eastAsia="Arial" w:hAnsi="Arial"/>
                <w:sz w:val="18"/>
                <w:szCs w:val="18"/>
                <w:color w:val="auto"/>
              </w:rPr>
              <w:t>None</w:t>
            </w:r>
          </w:p>
        </w:tc>
        <w:tc>
          <w:tcPr>
            <w:tcW w:w="1180" w:type="dxa"/>
            <w:vAlign w:val="bottom"/>
            <w:gridSpan w:val="2"/>
          </w:tcPr>
          <w:p>
            <w:pPr>
              <w:ind w:left="10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232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w w:val="99"/>
              </w:rPr>
              <w:t>$</w:t>
            </w: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98,750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2320" w:type="dxa"/>
            <w:vAlign w:val="bottom"/>
            <w:gridSpan w:val="2"/>
          </w:tcPr>
          <w:p>
            <w:pPr>
              <w:ind w:left="2200"/>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jc w:val="right"/>
              <w:ind w:right="1080"/>
              <w:spacing w:after="0"/>
              <w:rPr>
                <w:sz w:val="20"/>
                <w:szCs w:val="20"/>
                <w:color w:val="auto"/>
              </w:rPr>
            </w:pPr>
            <w:r>
              <w:rPr>
                <w:rFonts w:ascii="Arial" w:cs="Arial" w:eastAsia="Arial" w:hAnsi="Arial"/>
                <w:sz w:val="18"/>
                <w:szCs w:val="18"/>
                <w:color w:val="auto"/>
              </w:rPr>
              <w:t>106,250</w:t>
            </w:r>
          </w:p>
        </w:tc>
        <w:tc>
          <w:tcPr>
            <w:tcW w:w="1100" w:type="dxa"/>
            <w:vAlign w:val="bottom"/>
          </w:tcPr>
          <w:p>
            <w:pPr>
              <w:jc w:val="right"/>
              <w:spacing w:after="0"/>
              <w:rPr>
                <w:sz w:val="20"/>
                <w:szCs w:val="20"/>
                <w:color w:val="auto"/>
              </w:rPr>
            </w:pPr>
            <w:r>
              <w:rPr>
                <w:rFonts w:ascii="Arial" w:cs="Arial" w:eastAsia="Arial" w:hAnsi="Arial"/>
                <w:sz w:val="18"/>
                <w:szCs w:val="18"/>
                <w:color w:val="auto"/>
              </w:rPr>
              <w:t>None</w:t>
            </w:r>
          </w:p>
        </w:tc>
        <w:tc>
          <w:tcPr>
            <w:tcW w:w="1180" w:type="dxa"/>
            <w:vAlign w:val="bottom"/>
            <w:gridSpan w:val="2"/>
          </w:tcPr>
          <w:p>
            <w:pPr>
              <w:ind w:left="10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232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w w:val="99"/>
              </w:rPr>
              <w:t>$</w:t>
            </w: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100,000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None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None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6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Each Independent Director receives an annual payment of $90,000 for services performed on behalf of us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each Co-Chairman of the Audit Committee receives an annual fee of $12,500 and each Co-Chairman of any other committee receives an annual fee of $2,500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expected to be paid to directors who are “interested persons.”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Our Investment Adviser has three experienced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Jose A. Briones became joined of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February 23, 2011, to our knowledge, no person would be deemed to control us, as such term is defined in the 1940 Act.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directors consist of an interested director and independent directors. An interested director is an “interested person” of the Company, as defined in the 1940 Act, and independent directors are all other directors (the “Independent Directors”).</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table sets forth, as of February 23, 2011,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7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(4)</w:t>
            </w:r>
          </w:p>
        </w:tc>
        <w:tc>
          <w:tcPr>
            <w:tcW w:w="11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Shares</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7460" w:type="dxa"/>
            <w:vAlign w:val="bottom"/>
            <w:gridSpan w:val="3"/>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owned</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86,469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Marshall Brozost</w:t>
            </w:r>
          </w:p>
        </w:tc>
        <w:tc>
          <w:tcPr>
            <w:tcW w:w="1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10,236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420"/>
              <w:spacing w:after="0"/>
              <w:rPr>
                <w:sz w:val="20"/>
                <w:szCs w:val="20"/>
                <w:color w:val="auto"/>
              </w:rPr>
            </w:pPr>
            <w:r>
              <w:rPr>
                <w:rFonts w:ascii="Arial" w:cs="Arial" w:eastAsia="Arial" w:hAnsi="Arial"/>
                <w:sz w:val="18"/>
                <w:szCs w:val="18"/>
                <w:color w:val="auto"/>
              </w:rPr>
              <w:t>Jeffrey Flug</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102,358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Samuel L. Katz</w:t>
            </w:r>
          </w:p>
        </w:tc>
        <w:tc>
          <w:tcPr>
            <w:tcW w:w="1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113,481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483,453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1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39,486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835,483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38"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68,235 shares held by JAM Investments, LLC.</w:t>
      </w:r>
    </w:p>
    <w:p>
      <w:pPr>
        <w:ind w:left="460" w:right="20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300,053 shares held by PennantPark Investment Advisers, LLC.</w:t>
      </w: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08"/>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senior investment professionals as of February 23, 2011. Information as to the beneficial ownerships is based on information furnished to us by such persons. We are not part of a “family of investment companies,” as that term is defined in the 1940 Act.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Dollar Range of Common Stock</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320" w:type="dxa"/>
            <w:vAlign w:val="bottom"/>
            <w:gridSpan w:val="3"/>
          </w:tcPr>
          <w:p>
            <w:pPr>
              <w:spacing w:after="0"/>
              <w:rPr>
                <w:sz w:val="20"/>
                <w:szCs w:val="20"/>
                <w:color w:val="auto"/>
              </w:rPr>
            </w:pPr>
            <w:r>
              <w:rPr>
                <w:rFonts w:ascii="Arial" w:cs="Arial" w:eastAsia="Arial" w:hAnsi="Arial"/>
                <w:sz w:val="14"/>
                <w:szCs w:val="14"/>
                <w:b w:val="1"/>
                <w:bCs w:val="1"/>
                <w:color w:val="auto"/>
              </w:rPr>
              <w:t>Directors of the Company</w:t>
            </w:r>
          </w:p>
        </w:tc>
        <w:tc>
          <w:tcPr>
            <w:tcW w:w="1860" w:type="dxa"/>
            <w:vAlign w:val="bottom"/>
            <w:gridSpan w:val="3"/>
          </w:tcPr>
          <w:p>
            <w:pPr>
              <w:jc w:val="right"/>
              <w:ind w:right="400"/>
              <w:spacing w:after="0" w:line="176" w:lineRule="exact"/>
              <w:rPr>
                <w:sz w:val="20"/>
                <w:szCs w:val="20"/>
                <w:color w:val="auto"/>
              </w:rPr>
            </w:pPr>
            <w:r>
              <w:rPr>
                <w:rFonts w:ascii="Arial" w:cs="Arial" w:eastAsia="Arial" w:hAnsi="Arial"/>
                <w:sz w:val="13"/>
                <w:szCs w:val="13"/>
                <w:b w:val="1"/>
                <w:bCs w:val="1"/>
                <w:color w:val="auto"/>
              </w:rPr>
              <w:t>of the Company</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1140" w:type="dxa"/>
            <w:vAlign w:val="bottom"/>
          </w:tcPr>
          <w:p>
            <w:pPr>
              <w:jc w:val="right"/>
              <w:spacing w:after="0"/>
              <w:rPr>
                <w:sz w:val="20"/>
                <w:szCs w:val="20"/>
                <w:color w:val="auto"/>
              </w:rPr>
            </w:pPr>
            <w:r>
              <w:rPr>
                <w:rFonts w:ascii="Arial" w:cs="Arial" w:eastAsia="Arial" w:hAnsi="Arial"/>
                <w:sz w:val="18"/>
                <w:szCs w:val="18"/>
                <w:color w:val="auto"/>
              </w:rPr>
              <w:t>Over $</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1,000,000</w:t>
            </w:r>
          </w:p>
        </w:tc>
        <w:tc>
          <w:tcPr>
            <w:tcW w:w="240" w:type="dxa"/>
            <w:vAlign w:val="bottom"/>
          </w:tcPr>
          <w:p>
            <w:pPr>
              <w:jc w:val="right"/>
              <w:ind w:right="24"/>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$100,001 - $</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1140" w:type="dxa"/>
            <w:vAlign w:val="bottom"/>
          </w:tcPr>
          <w:p>
            <w:pPr>
              <w:jc w:val="right"/>
              <w:spacing w:after="0"/>
              <w:rPr>
                <w:sz w:val="20"/>
                <w:szCs w:val="20"/>
                <w:color w:val="auto"/>
              </w:rPr>
            </w:pPr>
            <w:r>
              <w:rPr>
                <w:rFonts w:ascii="Arial" w:cs="Arial" w:eastAsia="Arial" w:hAnsi="Arial"/>
                <w:sz w:val="18"/>
                <w:szCs w:val="18"/>
                <w:color w:val="auto"/>
              </w:rPr>
              <w:t>Over $</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1,000,000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1,000,000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32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1,000,000</w:t>
            </w:r>
          </w:p>
        </w:tc>
        <w:tc>
          <w:tcPr>
            <w:tcW w:w="2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82"/>
        </w:trPr>
        <w:tc>
          <w:tcPr>
            <w:tcW w:w="932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 who is not a director</w:t>
            </w: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Aviv Efrat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$100,001 - $</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320" w:type="dxa"/>
            <w:vAlign w:val="bottom"/>
            <w:gridSpan w:val="3"/>
          </w:tcPr>
          <w:p>
            <w:pPr>
              <w:spacing w:after="0"/>
              <w:rPr>
                <w:sz w:val="20"/>
                <w:szCs w:val="20"/>
                <w:color w:val="auto"/>
              </w:rPr>
            </w:pPr>
            <w:r>
              <w:rPr>
                <w:rFonts w:ascii="Arial" w:cs="Arial" w:eastAsia="Arial" w:hAnsi="Arial"/>
                <w:sz w:val="18"/>
                <w:szCs w:val="18"/>
                <w:b w:val="1"/>
                <w:bCs w:val="1"/>
                <w:color w:val="auto"/>
              </w:rPr>
              <w:t>Senior Investment Professionals</w:t>
            </w: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 A. Briones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$100,001 - $</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Salvatore Giannetti III</w:t>
            </w:r>
          </w:p>
        </w:tc>
        <w:tc>
          <w:tcPr>
            <w:tcW w:w="1140" w:type="dxa"/>
            <w:vAlign w:val="bottom"/>
          </w:tcPr>
          <w:p>
            <w:pPr>
              <w:jc w:val="right"/>
              <w:spacing w:after="0"/>
              <w:rPr>
                <w:sz w:val="20"/>
                <w:szCs w:val="20"/>
                <w:color w:val="auto"/>
              </w:rPr>
            </w:pPr>
            <w:r>
              <w:rPr>
                <w:rFonts w:ascii="Arial" w:cs="Arial" w:eastAsia="Arial" w:hAnsi="Arial"/>
                <w:sz w:val="18"/>
                <w:szCs w:val="18"/>
                <w:color w:val="auto"/>
              </w:rPr>
              <w:t>$100,001 - $</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500,000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 Whitridge Williams, Jr.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$500,001 - $</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1,000,000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Investment. Mr. Penn, our chairman and chief executive officer, is the managing member and a senior investment professional of, and has a financial and controlling interest in, PennantPark Investment Advisers. PennantPark Investment, through the Investment Adviser, manages day-to-day operations of and provides investment advisory services to SBIC LP under its investment management agreement. The SBIC LP investment management agreement does not affect the management or incentive fees that we pay to the Investment Adviser on a consolidated basis. Under the terms of our Investment Management Agreement, PennantPark Investment Advisers:</w:t>
      </w:r>
    </w:p>
    <w:p>
      <w:pPr>
        <w:spacing w:after="0" w:line="37"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6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2.00% of our gross assets (net of U.S. Treasury Bills and/or temporary draws on the credit facility or “average adjusted gross assets,” if any). Although the base management fee is 2.00% of our average adjusted gross assets, the Investment Adviser waived a portion of the base management fee such that the base management fee equaled 1.50% from the consummation of the initial public offering through September 30, 2007 and 1.75% from October 1, 2007 through March 31, 2008. Our base management fee has been 2.00% since March 31, 2008 and is payable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Base investment advisory fees for any partial month or quarter are appropriately prorated. For the three months ended December 31, 2010 and 2009, the Investment Adviser earned base management fees of $3.5 million and $2.8 million, respectively. For the fiscal years ended September 30, 2010, 2009 and 2008, the Investment Adviser earned base management fees, after fee waivers, if any, of $11.6 million, $7.7 million and $6.7 million, respectively.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will be compared to a hurdle of 1.75% per quarter (7.00% annualized). We have agreed to pay PennantPark Investment Advisers an incentive fee with respect to our Pre-Incentive Fee Net Investment Income in each calendar quarter as follows: (1) no incentive fee in any calendar quarter in which PennantPark Investment’s Pre-Incentive Fee Net Income does not exceed the hurdle rate of 1.75%, (2) 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w:t>
      </w:r>
    </w:p>
    <w:p>
      <w:pPr>
        <w:spacing w:after="0" w:line="4"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2.1875%) as the “catch-up.” The “catch-up”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 These calculations are appropriately prorated for any period of less than three months and adjusted for any share issuances or repurchases during the current quarter.</w:t>
      </w:r>
    </w:p>
    <w:p>
      <w:pPr>
        <w:spacing w:after="0" w:line="2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graphical representation of calculation of quarterly incentive fee based on Net Investment Income</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i w:val="1"/>
          <w:iCs w:val="1"/>
          <w:color w:val="auto"/>
        </w:rPr>
        <w:t>Pre-incentive fee net investment income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109855</wp:posOffset>
            </wp:positionV>
            <wp:extent cx="2426970" cy="4032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2697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2010 and 2009, the Investment Adviser earned incentive fees of $2.8 million and $1.8 million, respectively. For the fiscal years ended September 30, 2010, 2009 and 2008, the Investment Adviser earned incentive fees of $8.0 million, $5.7 million and $3.8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right="4319"/>
        <w:spacing w:after="0" w:line="344" w:lineRule="auto"/>
        <w:rPr>
          <w:sz w:val="20"/>
          <w:szCs w:val="20"/>
          <w:color w:val="auto"/>
        </w:rPr>
      </w:pPr>
      <w:r>
        <w:rPr>
          <w:rFonts w:ascii="Arial" w:cs="Arial" w:eastAsia="Arial" w:hAnsi="Arial"/>
          <w:sz w:val="18"/>
          <w:szCs w:val="18"/>
          <w:color w:val="auto"/>
        </w:rPr>
        <w:t>Other expenses (legal, accounting, custodian, transfer agent, etc.)(3) = 0.20% Pre-Incentive Fee Net Investment Income</w:t>
      </w:r>
    </w:p>
    <w:p>
      <w:pPr>
        <w:spacing w:after="0" w:line="1" w:lineRule="exact"/>
        <w:rPr>
          <w:sz w:val="20"/>
          <w:szCs w:val="20"/>
          <w:color w:val="auto"/>
        </w:rPr>
      </w:pPr>
    </w:p>
    <w:p>
      <w:pPr>
        <w:ind w:left="460" w:right="3039"/>
        <w:spacing w:after="0" w:line="437" w:lineRule="auto"/>
        <w:rPr>
          <w:sz w:val="20"/>
          <w:szCs w:val="20"/>
          <w:color w:val="auto"/>
        </w:rPr>
      </w:pPr>
      <w:r>
        <w:rPr>
          <w:rFonts w:ascii="Arial" w:cs="Arial" w:eastAsia="Arial" w:hAnsi="Arial"/>
          <w:sz w:val="16"/>
          <w:szCs w:val="16"/>
          <w:color w:val="auto"/>
        </w:rPr>
        <w:t>(investment income—(base management fee + other expenses)) = 0.55% Pre-incentive net investment income does not exceed hurdle; therefore there is no incentive fee.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right="4319"/>
        <w:spacing w:after="0" w:line="344" w:lineRule="auto"/>
        <w:rPr>
          <w:sz w:val="20"/>
          <w:szCs w:val="20"/>
          <w:color w:val="auto"/>
        </w:rPr>
      </w:pPr>
      <w:r>
        <w:rPr>
          <w:rFonts w:ascii="Arial" w:cs="Arial" w:eastAsia="Arial" w:hAnsi="Arial"/>
          <w:sz w:val="18"/>
          <w:szCs w:val="18"/>
          <w:color w:val="auto"/>
        </w:rPr>
        <w:t>Other expenses (legal, accounting, custodian, transfer agent, etc.)(3) = 0.20% Pre-Incentive Fee Net Investment Income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12" w:lineRule="exact"/>
        <w:rPr>
          <w:sz w:val="20"/>
          <w:szCs w:val="20"/>
          <w:color w:val="auto"/>
        </w:rPr>
      </w:pPr>
    </w:p>
    <w:p>
      <w:pPr>
        <w:jc w:val="right"/>
        <w:ind w:right="2599"/>
        <w:spacing w:after="0"/>
        <w:tabs>
          <w:tab w:leader="none" w:pos="6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600" w:hanging="134"/>
        <w:spacing w:after="0"/>
        <w:tabs>
          <w:tab w:leader="none" w:pos="2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right="4319"/>
        <w:spacing w:after="0" w:line="344" w:lineRule="auto"/>
        <w:rPr>
          <w:sz w:val="20"/>
          <w:szCs w:val="20"/>
          <w:color w:val="auto"/>
        </w:rPr>
      </w:pPr>
      <w:r>
        <w:rPr>
          <w:rFonts w:ascii="Arial" w:cs="Arial" w:eastAsia="Arial" w:hAnsi="Arial"/>
          <w:sz w:val="18"/>
          <w:szCs w:val="18"/>
          <w:color w:val="auto"/>
        </w:rPr>
        <w:t>Other expenses (legal, accounting, custodian, transfer agent, etc.)(3) = 0.20% Pre-Incentive Fee Net Investment Income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Incentive fee</w:t>
            </w:r>
          </w:p>
        </w:tc>
        <w:tc>
          <w:tcPr>
            <w:tcW w:w="6460" w:type="dxa"/>
            <w:vAlign w:val="bottom"/>
            <w:gridSpan w:val="2"/>
          </w:tcPr>
          <w:p>
            <w:pPr>
              <w:ind w:left="300"/>
              <w:spacing w:after="0"/>
              <w:rPr>
                <w:sz w:val="20"/>
                <w:szCs w:val="20"/>
                <w:color w:val="auto"/>
              </w:rPr>
            </w:pPr>
            <w:r>
              <w:rPr>
                <w:rFonts w:ascii="Arial" w:cs="Arial" w:eastAsia="Arial" w:hAnsi="Arial"/>
                <w:sz w:val="18"/>
                <w:szCs w:val="18"/>
                <w:color w:val="auto"/>
              </w:rPr>
              <w:t>= 20% x Pre-Incentive Fee Net Investment Income, subject to “catch-up”</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Incentive fee</w:t>
            </w:r>
          </w:p>
        </w:tc>
        <w:tc>
          <w:tcPr>
            <w:tcW w:w="6460" w:type="dxa"/>
            <w:vAlign w:val="bottom"/>
            <w:gridSpan w:val="2"/>
          </w:tcPr>
          <w:p>
            <w:pPr>
              <w:ind w:left="300"/>
              <w:spacing w:after="0"/>
              <w:rPr>
                <w:sz w:val="20"/>
                <w:szCs w:val="20"/>
                <w:color w:val="auto"/>
              </w:rPr>
            </w:pPr>
            <w:r>
              <w:rPr>
                <w:rFonts w:ascii="Arial" w:cs="Arial" w:eastAsia="Arial" w:hAnsi="Arial"/>
                <w:sz w:val="18"/>
                <w:szCs w:val="18"/>
                <w:color w:val="auto"/>
                <w:w w:val="89"/>
              </w:rPr>
              <w:t>= 100% x “catch-up” + (20% x (Pre-Incentive Fee Net Investment Income – 2.1875%))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Catch-up</w:t>
            </w:r>
          </w:p>
        </w:tc>
        <w:tc>
          <w:tcPr>
            <w:tcW w:w="6460" w:type="dxa"/>
            <w:vAlign w:val="bottom"/>
            <w:gridSpan w:val="2"/>
          </w:tcPr>
          <w:p>
            <w:pPr>
              <w:ind w:left="300"/>
              <w:spacing w:after="0"/>
              <w:rPr>
                <w:sz w:val="20"/>
                <w:szCs w:val="20"/>
                <w:color w:val="auto"/>
              </w:rPr>
            </w:pPr>
            <w:r>
              <w:rPr>
                <w:rFonts w:ascii="Arial" w:cs="Arial" w:eastAsia="Arial" w:hAnsi="Arial"/>
                <w:sz w:val="18"/>
                <w:szCs w:val="18"/>
                <w:color w:val="auto"/>
              </w:rPr>
              <w:t>= 2.1875% – 1.75%</w:t>
            </w:r>
          </w:p>
        </w:tc>
      </w:tr>
      <w:tr>
        <w:trPr>
          <w:trHeight w:val="216"/>
        </w:trPr>
        <w:tc>
          <w:tcPr>
            <w:tcW w:w="124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w w:val="90"/>
              </w:rPr>
              <w:t>= 0.4375%</w:t>
            </w:r>
          </w:p>
        </w:tc>
        <w:tc>
          <w:tcPr>
            <w:tcW w:w="536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6460" w:type="dxa"/>
            <w:vAlign w:val="bottom"/>
            <w:gridSpan w:val="2"/>
          </w:tcPr>
          <w:p>
            <w:pPr>
              <w:ind w:left="300"/>
              <w:spacing w:after="0"/>
              <w:rPr>
                <w:sz w:val="20"/>
                <w:szCs w:val="20"/>
                <w:color w:val="auto"/>
              </w:rPr>
            </w:pPr>
            <w:r>
              <w:rPr>
                <w:rFonts w:ascii="Arial" w:cs="Arial" w:eastAsia="Arial" w:hAnsi="Arial"/>
                <w:sz w:val="18"/>
                <w:szCs w:val="18"/>
                <w:color w:val="auto"/>
              </w:rPr>
              <w:t>= (100% x 0.4375%) + (20% x (2.30% – 2.1875%))</w:t>
            </w:r>
          </w:p>
        </w:tc>
      </w:tr>
      <w:tr>
        <w:trPr>
          <w:trHeight w:val="216"/>
        </w:trPr>
        <w:tc>
          <w:tcPr>
            <w:tcW w:w="124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w w:val="90"/>
              </w:rPr>
              <w:t>= 0.4375%</w:t>
            </w:r>
          </w:p>
        </w:tc>
        <w:tc>
          <w:tcPr>
            <w:tcW w:w="5360" w:type="dxa"/>
            <w:vAlign w:val="bottom"/>
          </w:tcPr>
          <w:p>
            <w:pPr>
              <w:ind w:left="20"/>
              <w:spacing w:after="0"/>
              <w:rPr>
                <w:sz w:val="20"/>
                <w:szCs w:val="20"/>
                <w:color w:val="auto"/>
              </w:rPr>
            </w:pPr>
            <w:r>
              <w:rPr>
                <w:rFonts w:ascii="Arial" w:cs="Arial" w:eastAsia="Arial" w:hAnsi="Arial"/>
                <w:sz w:val="18"/>
                <w:szCs w:val="18"/>
                <w:color w:val="auto"/>
              </w:rPr>
              <w:t>+ (20% x 0.1125%)</w:t>
            </w:r>
          </w:p>
        </w:tc>
      </w:tr>
      <w:tr>
        <w:trPr>
          <w:trHeight w:val="216"/>
        </w:trPr>
        <w:tc>
          <w:tcPr>
            <w:tcW w:w="124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w w:val="90"/>
              </w:rPr>
              <w:t>= 0.4375%</w:t>
            </w:r>
          </w:p>
        </w:tc>
        <w:tc>
          <w:tcPr>
            <w:tcW w:w="5360" w:type="dxa"/>
            <w:vAlign w:val="bottom"/>
          </w:tcPr>
          <w:p>
            <w:pPr>
              <w:ind w:left="20"/>
              <w:spacing w:after="0"/>
              <w:rPr>
                <w:sz w:val="20"/>
                <w:szCs w:val="20"/>
                <w:color w:val="auto"/>
              </w:rPr>
            </w:pPr>
            <w:r>
              <w:rPr>
                <w:rFonts w:ascii="Arial" w:cs="Arial" w:eastAsia="Arial" w:hAnsi="Arial"/>
                <w:sz w:val="18"/>
                <w:szCs w:val="18"/>
                <w:color w:val="auto"/>
              </w:rPr>
              <w:t>+ 0.0225%</w:t>
            </w:r>
          </w:p>
        </w:tc>
      </w:tr>
      <w:tr>
        <w:trPr>
          <w:trHeight w:val="222"/>
        </w:trPr>
        <w:tc>
          <w:tcPr>
            <w:tcW w:w="1240" w:type="dxa"/>
            <w:vAlign w:val="bottom"/>
          </w:tcPr>
          <w:p>
            <w:pPr>
              <w:spacing w:after="0"/>
              <w:rPr>
                <w:sz w:val="19"/>
                <w:szCs w:val="19"/>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 0.46%</w:t>
            </w:r>
          </w:p>
        </w:tc>
        <w:tc>
          <w:tcPr>
            <w:tcW w:w="5360" w:type="dxa"/>
            <w:vAlign w:val="bottom"/>
          </w:tcPr>
          <w:p>
            <w:pPr>
              <w:spacing w:after="0"/>
              <w:rPr>
                <w:sz w:val="19"/>
                <w:szCs w:val="19"/>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219"/>
          </w:cols>
          <w:pgMar w:left="240" w:top="459" w:right="1440"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ectPr>
          <w:pgSz w:w="11900" w:h="16838" w:orient="portrait"/>
          <w:cols w:equalWidth="0" w:num="1">
            <w:col w:w="11400"/>
          </w:cols>
          <w:pgMar w:left="240" w:top="459" w:right="259" w:bottom="1440" w:gutter="0" w:footer="0" w:header="0"/>
        </w:sectPr>
      </w:pPr>
    </w:p>
    <w:p>
      <w:pPr>
        <w:spacing w:after="0" w:line="1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Year 1 incentive fee</w:t>
      </w: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Year 2 incentive fee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20% x (0)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no incentive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20% x (6% – 1%)</w:t>
      </w:r>
    </w:p>
    <w:p>
      <w:pPr>
        <w:spacing w:after="0" w:line="32" w:lineRule="exact"/>
        <w:rPr>
          <w:sz w:val="20"/>
          <w:szCs w:val="20"/>
          <w:color w:val="auto"/>
        </w:rPr>
      </w:pPr>
    </w:p>
    <w:p>
      <w:pPr>
        <w:sectPr>
          <w:pgSz w:w="11900" w:h="16838" w:orient="portrait"/>
          <w:cols w:equalWidth="0" w:num="2">
            <w:col w:w="2160" w:space="720"/>
            <w:col w:w="8520"/>
          </w:cols>
          <w:pgMar w:left="240" w:top="459" w:right="259" w:bottom="1440" w:gutter="0" w:footer="0" w:header="0"/>
          <w:type w:val="continuous"/>
        </w:sectPr>
      </w:pPr>
    </w:p>
    <w:p>
      <w:pPr>
        <w:ind w:left="3020" w:hanging="135"/>
        <w:spacing w:after="0"/>
        <w:tabs>
          <w:tab w:leader="none" w:pos="3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020" w:hanging="135"/>
        <w:spacing w:after="0"/>
        <w:tabs>
          <w:tab w:leader="none" w:pos="3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right="260" w:hanging="452"/>
        <w:spacing w:after="0" w:line="281"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is 2.00% of our average adjusted gross assets, the Investment Adviser agreed to waive a portion of the base management fee such that the base management fee equaled 1.50% from the consummation of the initial public offering through September 30, 2007, 1.75% from October 1, 2007 through March 31, 2008, and 2.00% thereafter.</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 of PennantPark Investment Advisers is located at 590 Madison Avenue, 15th Floor, 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PennantPark Investment, through the Administrator, provides similar services to SBIC LP under its administration agreement.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three months ended December 31, 2010 and 2009, the Investment Adviser and Administrator were reimbursed $0.6 million and $0.3 million, respectively, from PennantPark Investment, including expenses it incurred on behalf of the Administrator for the services described above. For the fiscal years ended September 30, 2010, 2009 and 2008, the Investment Adviser and Administrator were reimbursed $2.1 million, $1.7 million and $2.0 million, respectively.</w:t>
      </w:r>
    </w:p>
    <w:p>
      <w:pPr>
        <w:spacing w:after="0" w:line="12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PennantPark Investment entered into an administration agreement with its controlled affiliate, SuttonPark Holdings, Inc. and its subsidiaries (“SPH”). Under the administration agreement with SPH, or the SPH Administration Agreement, PennantPark Investment through the Administrator furnishes SPH with office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respective staff. For the three months ended December 31, 2010, PennantPark Investment was reimbursed $0.1 million from SPH for expenses it incurred for the services described above. For the fiscal year ended September 30, 2010, PennantPark Investment was reimbursed $0.1 million, from SPH.</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PennantPark Investment, in February 2011. Unless terminated earlier as described below, our Investment Management Agreement will continue in effect for a period of one year through February 2012. It will remain in effect if approved annually by our board of directors, or by the affirmative vote of the holders of a majority of our outstanding voting securities, including, in either case, approval by a majority of our directors who are not interested persons. In considering whether to re-approve the Investment Management Agreement, the board requests information from the Investment Adviser that enables it to evaluate a number of factors relevant to its determination. These factors include the nature, quality and extent of services performed by the Investment Adviser, our ability to effectively manage conflicts of interest, our short and long-term performance, our costs and profitability and any economies of scale.</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 We are dependent upon PennantPark Investment Advisers’ key personnel for our future success, and if we are unable to hire and retain qualified personnel or if we lose any member of our management team, our ability to achieve our investment objectives could be significantly harmed” for more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consolidated financial statements.</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8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Fair Value Measurements,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at the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200" w:hanging="446"/>
        <w:spacing w:after="0" w:line="306"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and we may undertake such an offering. See “Sales Of Common Stock Below Net Asset Value” for more information.</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(ii) above, to comply with such undertaking or to undertake to determine net asset value to ensure that such undertaking has not been triggered.</w:t>
      </w:r>
    </w:p>
    <w:p>
      <w:pPr>
        <w:spacing w:after="0" w:line="19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2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and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Generally, we intend to issue new shares to implement the plan when our shares are trading at or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NASDAQ Global Select Market on the valuation date for such distribution. Market price per share on that date will be the closing price for such shares on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by filling out the transaction request form located at bottom of their statement and sending it to the plan administrator.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and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December 31, 2010 our authorized capital stock consisted of 100,000,000 shares of stock, par value $0.001 per share, all of which is classified as common stock. Our common stock is quoted on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last reported closing market price of our common stock on February 23, 2011 was $12.39 per share. As of February 23, 2011, we had 13 stockholders of record.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February 23,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Amount Held by</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5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Amount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Us or for Our</w:t>
            </w:r>
          </w:p>
        </w:tc>
        <w:tc>
          <w:tcPr>
            <w:tcW w:w="64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15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Authorized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6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1"/>
              </w:rPr>
              <w:t>100,000,000</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4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4"/>
              </w:rPr>
              <w:t>45,504,932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benefits of these provisions outweigh the potential disadvantages of discouraging any such acquisition proposals because, among other things, the negotiation of such proposals may improve their terms.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2014, 2012, and 2013, respectively, and in each case, those directors will serve until their successors are duly elected and qualify. Beginning in 2008, upon expiration of their current terms, directors of each class have been or are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357" w:lineRule="auto"/>
        <w:rPr>
          <w:sz w:val="20"/>
          <w:szCs w:val="20"/>
          <w:color w:val="auto"/>
        </w:rPr>
      </w:pPr>
      <w:r>
        <w:rPr>
          <w:rFonts w:ascii="Arial" w:cs="Arial" w:eastAsia="Arial" w:hAnsi="Arial"/>
          <w:sz w:val="15"/>
          <w:szCs w:val="15"/>
          <w:color w:val="auto"/>
        </w:rPr>
        <w:t>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446"/>
        <w:spacing w:after="0" w:line="33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The dividend rate to be variable and determined for each dividend period.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20"/>
          </w:cols>
          <w:pgMar w:left="24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our best interests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4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 See “Description of our Debt Securities—Additional Information” for information on how to obtain a copy of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446"/>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business development company,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60"/>
          </w:cols>
          <w:pgMar w:left="240" w:top="459" w:right="2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58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80" w:hanging="446"/>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 w:lineRule="exact"/>
        <w:rPr>
          <w:rFonts w:ascii="Arial" w:cs="Arial" w:eastAsia="Arial" w:hAnsi="Arial"/>
          <w:sz w:val="16"/>
          <w:szCs w:val="16"/>
          <w:color w:val="auto"/>
        </w:rPr>
      </w:pPr>
    </w:p>
    <w:p>
      <w:pPr>
        <w:ind w:left="900" w:right="120" w:hanging="446"/>
        <w:spacing w:after="0" w:line="306"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Securities—Holders of Registered Debt Securities”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446"/>
        <w:spacing w:after="0" w:line="33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446"/>
        <w:spacing w:after="0" w:line="357" w:lineRule="auto"/>
        <w:tabs>
          <w:tab w:leader="none" w:pos="9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446"/>
        <w:spacing w:after="0" w:line="294"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13" w:lineRule="exact"/>
        <w:rPr>
          <w:rFonts w:ascii="Arial" w:cs="Arial" w:eastAsia="Arial" w:hAnsi="Arial"/>
          <w:sz w:val="16"/>
          <w:szCs w:val="16"/>
          <w:color w:val="auto"/>
        </w:rPr>
      </w:pPr>
    </w:p>
    <w:p>
      <w:pPr>
        <w:ind w:left="900" w:right="300" w:hanging="446"/>
        <w:spacing w:after="0" w:line="33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 and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7"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00"/>
          </w:cols>
          <w:pgMar w:left="240" w:top="459" w:right="3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446"/>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covenant defeasance have been complied with.</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446"/>
        <w:spacing w:after="0" w:line="259"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hanging="446"/>
        <w:spacing w:after="0" w:line="318" w:lineRule="auto"/>
        <w:tabs>
          <w:tab w:leader="none" w:pos="9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446"/>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defeasance have been complied with.</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60"/>
          </w:cols>
          <w:pgMar w:left="240" w:top="459" w:right="2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446"/>
        <w:spacing w:after="0" w:line="256"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Bank of New York Mellon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UNITS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62" w:lineRule="exact"/>
        <w:rPr>
          <w:sz w:val="20"/>
          <w:szCs w:val="20"/>
          <w:color w:val="auto"/>
        </w:rPr>
      </w:pPr>
    </w:p>
    <w:p>
      <w:pPr>
        <w:ind w:left="900" w:right="46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no intention to issue third party securities as units in the foreseeable future. We will ensure that any issuance of third party securities other than U.S. Treasuries complies with SEC interpretive guidance.</w:t>
      </w:r>
    </w:p>
    <w:p>
      <w:pPr>
        <w:spacing w:after="0" w:line="132"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business development company under the 1940 Act, which has qualified and intends to continue to qualify to maintain an election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4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59" w:lineRule="exact"/>
        <w:rPr>
          <w:sz w:val="20"/>
          <w:szCs w:val="20"/>
          <w:color w:val="auto"/>
        </w:rPr>
      </w:pPr>
    </w:p>
    <w:p>
      <w:pPr>
        <w:ind w:left="900" w:right="460" w:hanging="446"/>
        <w:spacing w:after="0" w:line="256"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80" w:hanging="567"/>
        <w:spacing w:after="0" w:line="259" w:lineRule="auto"/>
        <w:tabs>
          <w:tab w:leader="none" w:pos="14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spacing w:after="0" w:line="59" w:lineRule="exact"/>
        <w:rPr>
          <w:rFonts w:ascii="Arial" w:cs="Arial" w:eastAsia="Arial" w:hAnsi="Arial"/>
          <w:sz w:val="18"/>
          <w:szCs w:val="18"/>
          <w:color w:val="auto"/>
        </w:rPr>
      </w:pPr>
    </w:p>
    <w:p>
      <w:pPr>
        <w:ind w:left="1480" w:right="540" w:hanging="567"/>
        <w:spacing w:after="0" w:line="259" w:lineRule="auto"/>
        <w:tabs>
          <w:tab w:leader="none" w:pos="14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obligations as they came due without material assistance other than conventional lending or financing arrangements.</w:t>
      </w:r>
    </w:p>
    <w:p>
      <w:pPr>
        <w:spacing w:after="0" w:line="90" w:lineRule="exact"/>
        <w:rPr>
          <w:sz w:val="20"/>
          <w:szCs w:val="20"/>
          <w:color w:val="auto"/>
        </w:rPr>
      </w:pPr>
    </w:p>
    <w:p>
      <w:pPr>
        <w:ind w:left="900" w:right="10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 business development company, we are required to make available managerial assistance to our portfolio companies that constitute a qualifying asset within the meaning of Section 55 of the 1940 Act. However, if a business development company purchases securities in conjunction with one or more other persons acting together, one of the other persons in the group may make available such managerial assistance. Making available managerial assistance means any arrangement whereby the business development company,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amounts up to 5% of the value of our total assets for temporary or emergency purposes without regard to asset coverage. See “Risk Factors—Risks relating to our business and structure—Regulations governing our operation as a business development company will affect our ability to, and the way in which we, raise additional capital”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We and PennantPark Investment Advisers have adopted joint code of ethics pursuant to Rule 17j-1 under the 1940 Act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You may also obtain copies of our joint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filed as an exhibit to our Report on Form 10-K (File No. 814-00736 on December 13, 2007. You may also obtain copies of our privacy policy, after paying a duplicating fee, by electronic request at the following email address: publicinfo@sec.gov,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business development company,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Our chief compliance officer is responsible for administering such policies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Sarbanes-Oxley Act of 2002 imposes several regulatory requirements on publicly held companies and their insiders. Many of these requirements affect us. For example:</w:t>
      </w:r>
    </w:p>
    <w:p>
      <w:pPr>
        <w:spacing w:after="0" w:line="51" w:lineRule="exact"/>
        <w:rPr>
          <w:sz w:val="20"/>
          <w:szCs w:val="20"/>
          <w:color w:val="auto"/>
        </w:rPr>
      </w:pPr>
    </w:p>
    <w:p>
      <w:pPr>
        <w:ind w:left="900" w:right="38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right="120" w:hanging="446"/>
        <w:spacing w:after="0" w:line="306"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Administration Regulations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consolidated subsidiary, SBIC LP, is licensed under the SBA as a SBIC under Section 301(c) of the 1958 Act. SBIC LP received its license effective July 30, 2010.</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SBICs are designed to stimulate the flow of capital to businesses that meet specified eligibility requirements discussed below. Under SBA regulations, SBIC LP is subject to regulatory requirements including making investments in SBA eligible businesses, investing at least 25% of regulatory capital in eligible smaller businesses, placing certain limitations on the financing terms of investments, prohibiting investing in certain industries, required capitalization thresholds, and is subject to periodic audits and examinations among other regulations. If SBIC LP subsidiary fails to comply with applicable SBA regulations, the SBA could, depending on the severity of the violation, limit or prohibit its use of debentures, declare outstanding debentures immediately due and payable, and/or limit SBIC LP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SBIC LP subsidiary is our wholly owned subsidiary.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9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Under present SBA regulations, eligible small business include businesses that (together with their affiliates) have tangible net worth not exceeding $18.0 million and have average annual net income of $6.0 million for the two most recent fiscal years. In addition, an SBIC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SBA prohibits an SBIC from financing small businesses in certain industries such as relending, gambling, oil and gas exploration and other passive businesses. Additional SBA prohibitions include investing outside the United States, investing more than 30% of regulatory capital in one company and lending money to any officer, director or employee or to invest in any affiliate thereof. The SBA places certain limits on the financing terms of investments by SBICs in portfolio companies such as limiting the interest rate on debt securities and loans provided to portfolio companies of the SBIC. The SBA also limits fees, prepayment terms and other economic arrangements that are typically charged in lending arrangements.</w:t>
      </w:r>
    </w:p>
    <w:p>
      <w:pPr>
        <w:spacing w:after="0" w:line="1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SBA also prohibits, without prior written approval, a “change in control” of an SBIC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Idle Funds Limitation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limits an SBIC from investing idle funds to the following types of securities:</w:t>
      </w:r>
    </w:p>
    <w:p>
      <w:pPr>
        <w:spacing w:after="0" w:line="90" w:lineRule="exact"/>
        <w:rPr>
          <w:sz w:val="20"/>
          <w:szCs w:val="20"/>
          <w:color w:val="auto"/>
        </w:rPr>
      </w:pPr>
    </w:p>
    <w:p>
      <w:pPr>
        <w:ind w:left="900" w:right="14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15 months from the date of the investment;</w:t>
      </w:r>
    </w:p>
    <w:p>
      <w:pPr>
        <w:spacing w:after="0" w:line="5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withdrawl restriction of one year or less;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Leverage or Debentures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 This means that SBIC LP may access the maximum borrowing if it has $75 million in regulatory capital, which generally equates to the amount of its equity capital paid-in. However, we have capitalized SBIC LP with a lesser amount.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w:t>
      </w:r>
    </w:p>
    <w:p>
      <w:pPr>
        <w:spacing w:after="0" w:line="2" w:lineRule="exact"/>
        <w:rPr>
          <w:sz w:val="20"/>
          <w:szCs w:val="20"/>
          <w:color w:val="auto"/>
        </w:rPr>
      </w:pPr>
    </w:p>
    <w:p>
      <w:pPr>
        <w:ind w:right="20" w:firstLine="8"/>
        <w:spacing w:after="0" w:line="253" w:lineRule="auto"/>
        <w:tabs>
          <w:tab w:leader="none" w:pos="249" w:val="left"/>
        </w:tabs>
        <w:numPr>
          <w:ilvl w:val="0"/>
          <w:numId w:val="87"/>
        </w:numPr>
        <w:rPr>
          <w:rFonts w:ascii="Arial" w:cs="Arial" w:eastAsia="Arial" w:hAnsi="Arial"/>
          <w:sz w:val="18"/>
          <w:szCs w:val="18"/>
          <w:color w:val="auto"/>
        </w:rPr>
      </w:pPr>
      <w:r>
        <w:rPr>
          <w:rFonts w:ascii="Arial" w:cs="Arial" w:eastAsia="Arial" w:hAnsi="Arial"/>
          <w:sz w:val="18"/>
          <w:szCs w:val="18"/>
          <w:color w:val="auto"/>
        </w:rPr>
        <w:t>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maintain an election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1480" w:right="380" w:hanging="567"/>
        <w:spacing w:after="0" w:line="259" w:lineRule="auto"/>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59" w:lineRule="exact"/>
        <w:rPr>
          <w:rFonts w:ascii="Arial" w:cs="Arial" w:eastAsia="Arial" w:hAnsi="Arial"/>
          <w:sz w:val="18"/>
          <w:szCs w:val="18"/>
          <w:color w:val="auto"/>
        </w:rPr>
      </w:pPr>
    </w:p>
    <w:p>
      <w:pPr>
        <w:ind w:left="1480" w:hanging="567"/>
        <w:spacing w:after="0" w:line="306" w:lineRule="auto"/>
        <w:tabs>
          <w:tab w:leader="none" w:pos="1480" w:val="left"/>
        </w:tabs>
        <w:numPr>
          <w:ilvl w:val="1"/>
          <w:numId w:val="88"/>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20" w:firstLine="8"/>
        <w:spacing w:after="0" w:line="253" w:lineRule="auto"/>
        <w:tabs>
          <w:tab w:leader="none" w:pos="249"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for taxable years beginning before 2013 (but not for taxable years beginning thereafter unless the relevant provisions are extended by legislation),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62"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(through 2012),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U.S. stockholders may be subject to federal income tax withholding (“backup withholding”) currently at a rate of 28% (until 2013 when a higher rate may apply)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A Non-U.S. stockholder will also be subject to backup withholding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a withholding agent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After December 31, 2012, withholding at a rate of 30% on dividends in respect of, and gross proceeds from the sale of, our common stock held by or through certain foreign financial institutions (including investment funds will be required), unless such institution enters into an agreement with the Secretary of the Treasury to 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stock is held will affect the determination of whether such withholding is required. Similarly, dividends in respect of, and gross proceeds from the sale of, our common stock held by an investor that is a non-financial non-U.S. entity will be subject to withholding at a rate of 30%, unless such entity either (i) certifies to us that such entity does not have any “substantial United States owners” or (ii) provides certain information regarding the entity’s “substantial United States owners,” which will in turn provide to the Secretary of the Treasury. Non-U.S. stockholders are encouraged to consult with their tax advisers regarding the possible implications of these requirements on their investment in our common stock.</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60"/>
          </w:cols>
          <w:pgMar w:left="240" w:top="459" w:right="2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of 1933,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jc w:val="both"/>
        <w:ind w:right="700" w:firstLine="456"/>
        <w:spacing w:after="0" w:line="306"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BNY Mellon Investment Servicing (US) Inc. (formerly PNC Global Investment Servicing, Inc.), a subsidiary of Bank of New York Mellon, provides administrative and accounting services to us under a sub-administration and accounting services agreement. PFPC Trust Company, a subsidiary of Bank of New York Mellon, provides custodian services to us pursuant to a custodian services agreement. American Stock Transfer &amp; Trust Company acts as our transfer agent, distribution paying agent and registrar. The principal business address of American Stock Transfer &amp; Trust Company is P.O. Box 922, Wall Street Station, New York, New York 10269, telephone number: (800) 937-5449. Bank of New York Mellon may also serve as trustee for offerings of our debt securities.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Certain legal matters regarding the securities offered by this prospectus will be passed upon for PennantPark Investment by Dechert LLP, Washington, D.C.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by Venable LLP, as special Maryland counsel.</w:t>
      </w:r>
    </w:p>
    <w:p>
      <w:pPr>
        <w:spacing w:after="0" w:line="3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20" w:type="dxa"/>
            <w:vAlign w:val="bottom"/>
            <w:gridSpan w:val="16"/>
          </w:tcPr>
          <w:p>
            <w:pPr>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2540" w:type="dxa"/>
            <w:vAlign w:val="bottom"/>
          </w:tcPr>
          <w:p>
            <w:pPr>
              <w:spacing w:after="0"/>
              <w:rPr>
                <w:sz w:val="15"/>
                <w:szCs w:val="15"/>
                <w:color w:val="auto"/>
              </w:rPr>
            </w:pPr>
          </w:p>
        </w:tc>
      </w:tr>
      <w:tr>
        <w:trPr>
          <w:trHeight w:val="257"/>
        </w:trPr>
        <w:tc>
          <w:tcPr>
            <w:tcW w:w="8820" w:type="dxa"/>
            <w:vAlign w:val="bottom"/>
            <w:gridSpan w:val="16"/>
          </w:tcPr>
          <w:p>
            <w:pPr>
              <w:spacing w:after="0"/>
              <w:rPr>
                <w:sz w:val="20"/>
                <w:szCs w:val="20"/>
                <w:color w:val="auto"/>
              </w:rPr>
            </w:pPr>
            <w:r>
              <w:rPr>
                <w:rFonts w:ascii="Arial" w:cs="Arial" w:eastAsia="Arial" w:hAnsi="Arial"/>
                <w:sz w:val="14"/>
                <w:szCs w:val="14"/>
                <w:b w:val="1"/>
                <w:bCs w:val="1"/>
                <w:color w:val="auto"/>
              </w:rPr>
              <w:t>Interim Financial Statements</w:t>
            </w:r>
          </w:p>
        </w:tc>
        <w:tc>
          <w:tcPr>
            <w:tcW w:w="2540" w:type="dxa"/>
            <w:vAlign w:val="bottom"/>
          </w:tcPr>
          <w:p>
            <w:pPr>
              <w:spacing w:after="0"/>
              <w:rPr>
                <w:sz w:val="22"/>
                <w:szCs w:val="22"/>
                <w:color w:val="auto"/>
              </w:rPr>
            </w:pPr>
          </w:p>
        </w:tc>
      </w:tr>
      <w:tr>
        <w:trPr>
          <w:trHeight w:val="230"/>
        </w:trPr>
        <w:tc>
          <w:tcPr>
            <w:tcW w:w="3180" w:type="dxa"/>
            <w:vAlign w:val="bottom"/>
            <w:tcBorders>
              <w:bottom w:val="single" w:sz="8" w:color="0000EE"/>
            </w:tcBorders>
            <w:gridSpan w:val="3"/>
          </w:tcPr>
          <w:p>
            <w:pPr>
              <w:spacing w:after="0"/>
              <w:rPr>
                <w:rFonts w:ascii="Arial" w:cs="Arial" w:eastAsia="Arial" w:hAnsi="Arial"/>
                <w:sz w:val="14"/>
                <w:szCs w:val="14"/>
                <w:color w:val="0000EE"/>
                <w:w w:val="88"/>
              </w:rPr>
            </w:pPr>
            <w:hyperlink w:anchor="page139">
              <w:r>
                <w:rPr>
                  <w:rFonts w:ascii="Arial" w:cs="Arial" w:eastAsia="Arial" w:hAnsi="Arial"/>
                  <w:sz w:val="14"/>
                  <w:szCs w:val="14"/>
                  <w:color w:val="0000EE"/>
                  <w:w w:val="88"/>
                </w:rPr>
                <w:t>Report of Independent Registered Public Accounting Firm</w:t>
              </w:r>
            </w:hyperlink>
          </w:p>
        </w:tc>
        <w:tc>
          <w:tcPr>
            <w:tcW w:w="5640" w:type="dxa"/>
            <w:vAlign w:val="bottom"/>
            <w:gridSpan w:val="13"/>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4"/>
                <w:szCs w:val="14"/>
                <w:color w:val="auto"/>
              </w:rPr>
              <w:t>F-2</w:t>
            </w:r>
          </w:p>
        </w:tc>
      </w:tr>
      <w:tr>
        <w:trPr>
          <w:trHeight w:val="237"/>
        </w:trPr>
        <w:tc>
          <w:tcPr>
            <w:tcW w:w="6120" w:type="dxa"/>
            <w:vAlign w:val="bottom"/>
            <w:tcBorders>
              <w:bottom w:val="single" w:sz="8" w:color="0000EE"/>
            </w:tcBorders>
            <w:gridSpan w:val="14"/>
          </w:tcPr>
          <w:p>
            <w:pPr>
              <w:spacing w:after="0"/>
              <w:rPr>
                <w:rFonts w:ascii="Arial" w:cs="Arial" w:eastAsia="Arial" w:hAnsi="Arial"/>
                <w:sz w:val="14"/>
                <w:szCs w:val="14"/>
                <w:color w:val="0000EE"/>
                <w:w w:val="87"/>
              </w:rPr>
            </w:pPr>
            <w:hyperlink w:anchor="page140">
              <w:r>
                <w:rPr>
                  <w:rFonts w:ascii="Arial" w:cs="Arial" w:eastAsia="Arial" w:hAnsi="Arial"/>
                  <w:sz w:val="14"/>
                  <w:szCs w:val="14"/>
                  <w:color w:val="0000EE"/>
                  <w:w w:val="87"/>
                </w:rPr>
                <w:t>Consolidated Statements of Assets and Liabilities as of December 31, 2010 (unaudited) and September 30, 2010</w:t>
              </w:r>
            </w:hyperlink>
          </w:p>
        </w:tc>
        <w:tc>
          <w:tcPr>
            <w:tcW w:w="2700" w:type="dxa"/>
            <w:vAlign w:val="bottom"/>
            <w:gridSpan w:val="2"/>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4"/>
                <w:szCs w:val="14"/>
                <w:color w:val="auto"/>
              </w:rPr>
              <w:t>F-3</w:t>
            </w:r>
          </w:p>
        </w:tc>
      </w:tr>
      <w:tr>
        <w:trPr>
          <w:trHeight w:val="237"/>
        </w:trPr>
        <w:tc>
          <w:tcPr>
            <w:tcW w:w="5920" w:type="dxa"/>
            <w:vAlign w:val="bottom"/>
            <w:tcBorders>
              <w:bottom w:val="single" w:sz="8" w:color="0000EE"/>
            </w:tcBorders>
            <w:gridSpan w:val="12"/>
          </w:tcPr>
          <w:p>
            <w:pPr>
              <w:spacing w:after="0"/>
              <w:rPr>
                <w:rFonts w:ascii="Arial" w:cs="Arial" w:eastAsia="Arial" w:hAnsi="Arial"/>
                <w:sz w:val="14"/>
                <w:szCs w:val="14"/>
                <w:color w:val="0000EE"/>
                <w:w w:val="86"/>
              </w:rPr>
            </w:pPr>
            <w:hyperlink w:anchor="page141">
              <w:r>
                <w:rPr>
                  <w:rFonts w:ascii="Arial" w:cs="Arial" w:eastAsia="Arial" w:hAnsi="Arial"/>
                  <w:sz w:val="14"/>
                  <w:szCs w:val="14"/>
                  <w:color w:val="0000EE"/>
                  <w:w w:val="86"/>
                </w:rPr>
                <w:t>Consolidated Statements of Operations for the three months ended December 31, 2010 and 2009 (unaudited)</w:t>
              </w:r>
            </w:hyperlink>
          </w:p>
        </w:tc>
        <w:tc>
          <w:tcPr>
            <w:tcW w:w="2900" w:type="dxa"/>
            <w:vAlign w:val="bottom"/>
            <w:gridSpan w:val="4"/>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4"/>
                <w:szCs w:val="14"/>
                <w:color w:val="auto"/>
              </w:rPr>
              <w:t>F-4</w:t>
            </w:r>
          </w:p>
        </w:tc>
      </w:tr>
      <w:tr>
        <w:trPr>
          <w:trHeight w:val="237"/>
        </w:trPr>
        <w:tc>
          <w:tcPr>
            <w:tcW w:w="8820" w:type="dxa"/>
            <w:vAlign w:val="bottom"/>
            <w:gridSpan w:val="16"/>
          </w:tcPr>
          <w:p>
            <w:pPr>
              <w:spacing w:after="0"/>
              <w:rPr>
                <w:rFonts w:ascii="Arial" w:cs="Arial" w:eastAsia="Arial" w:hAnsi="Arial"/>
                <w:sz w:val="14"/>
                <w:szCs w:val="14"/>
                <w:color w:val="0000EE"/>
              </w:rPr>
            </w:pPr>
            <w:hyperlink w:anchor="page142">
              <w:r>
                <w:rPr>
                  <w:rFonts w:ascii="Arial" w:cs="Arial" w:eastAsia="Arial" w:hAnsi="Arial"/>
                  <w:sz w:val="14"/>
                  <w:szCs w:val="14"/>
                  <w:color w:val="0000EE"/>
                </w:rPr>
                <w:t>Consolidated Statements of Changes in Net Assets for the three months ended December 31, 2010 and 2009 (unaudited)</w:t>
              </w:r>
            </w:hyperlink>
          </w:p>
        </w:tc>
        <w:tc>
          <w:tcPr>
            <w:tcW w:w="2540" w:type="dxa"/>
            <w:vAlign w:val="bottom"/>
          </w:tcPr>
          <w:p>
            <w:pPr>
              <w:jc w:val="right"/>
              <w:spacing w:after="0"/>
              <w:rPr>
                <w:sz w:val="20"/>
                <w:szCs w:val="20"/>
                <w:color w:val="auto"/>
              </w:rPr>
            </w:pPr>
            <w:r>
              <w:rPr>
                <w:rFonts w:ascii="Arial" w:cs="Arial" w:eastAsia="Arial" w:hAnsi="Arial"/>
                <w:sz w:val="14"/>
                <w:szCs w:val="14"/>
                <w:color w:val="auto"/>
              </w:rPr>
              <w:t>F-5</w:t>
            </w:r>
          </w:p>
        </w:tc>
      </w:tr>
      <w:tr>
        <w:trPr>
          <w:trHeight w:val="237"/>
        </w:trPr>
        <w:tc>
          <w:tcPr>
            <w:tcW w:w="6540" w:type="dxa"/>
            <w:vAlign w:val="bottom"/>
            <w:tcBorders>
              <w:top w:val="single" w:sz="8" w:color="0000EE"/>
            </w:tcBorders>
            <w:gridSpan w:val="15"/>
          </w:tcPr>
          <w:p>
            <w:pPr>
              <w:spacing w:after="0"/>
              <w:rPr>
                <w:rFonts w:ascii="Arial" w:cs="Arial" w:eastAsia="Arial" w:hAnsi="Arial"/>
                <w:sz w:val="14"/>
                <w:szCs w:val="14"/>
                <w:color w:val="0000EE"/>
                <w:w w:val="95"/>
              </w:rPr>
            </w:pPr>
            <w:hyperlink w:anchor="page143">
              <w:r>
                <w:rPr>
                  <w:rFonts w:ascii="Arial" w:cs="Arial" w:eastAsia="Arial" w:hAnsi="Arial"/>
                  <w:sz w:val="14"/>
                  <w:szCs w:val="14"/>
                  <w:color w:val="0000EE"/>
                  <w:w w:val="95"/>
                </w:rPr>
                <w:t>Consolidated Statements of Cash Flows for the three months ended December 31, 2010 and 2009 (unaudited)</w:t>
              </w:r>
            </w:hyperlink>
          </w:p>
        </w:tc>
        <w:tc>
          <w:tcPr>
            <w:tcW w:w="228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4"/>
                <w:szCs w:val="14"/>
                <w:color w:val="auto"/>
              </w:rPr>
              <w:t>F-6</w:t>
            </w:r>
          </w:p>
        </w:tc>
      </w:tr>
      <w:tr>
        <w:trPr>
          <w:trHeight w:val="237"/>
        </w:trPr>
        <w:tc>
          <w:tcPr>
            <w:tcW w:w="5960" w:type="dxa"/>
            <w:vAlign w:val="bottom"/>
            <w:tcBorders>
              <w:top w:val="single" w:sz="8" w:color="0000EE"/>
            </w:tcBorders>
            <w:gridSpan w:val="13"/>
          </w:tcPr>
          <w:p>
            <w:pPr>
              <w:spacing w:after="0"/>
              <w:rPr>
                <w:rFonts w:ascii="Arial" w:cs="Arial" w:eastAsia="Arial" w:hAnsi="Arial"/>
                <w:sz w:val="14"/>
                <w:szCs w:val="14"/>
                <w:color w:val="0000EE"/>
                <w:w w:val="92"/>
              </w:rPr>
            </w:pPr>
            <w:hyperlink w:anchor="page144">
              <w:r>
                <w:rPr>
                  <w:rFonts w:ascii="Arial" w:cs="Arial" w:eastAsia="Arial" w:hAnsi="Arial"/>
                  <w:sz w:val="14"/>
                  <w:szCs w:val="14"/>
                  <w:color w:val="0000EE"/>
                  <w:w w:val="92"/>
                </w:rPr>
                <w:t>Consolidated Schedules of Investments as of December 31, 2010 (unaudited) and September 30, 2010</w:t>
              </w:r>
            </w:hyperlink>
          </w:p>
        </w:tc>
        <w:tc>
          <w:tcPr>
            <w:tcW w:w="2860" w:type="dxa"/>
            <w:vAlign w:val="bottom"/>
            <w:gridSpan w:val="3"/>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4"/>
                <w:szCs w:val="14"/>
                <w:color w:val="auto"/>
              </w:rPr>
              <w:t>F-7</w:t>
            </w:r>
          </w:p>
        </w:tc>
      </w:tr>
      <w:tr>
        <w:trPr>
          <w:trHeight w:val="237"/>
        </w:trPr>
        <w:tc>
          <w:tcPr>
            <w:tcW w:w="5520" w:type="dxa"/>
            <w:vAlign w:val="bottom"/>
            <w:tcBorders>
              <w:top w:val="single" w:sz="8" w:color="0000EE"/>
            </w:tcBorders>
            <w:gridSpan w:val="9"/>
          </w:tcPr>
          <w:p>
            <w:pPr>
              <w:spacing w:after="0"/>
              <w:rPr>
                <w:rFonts w:ascii="Arial" w:cs="Arial" w:eastAsia="Arial" w:hAnsi="Arial"/>
                <w:sz w:val="14"/>
                <w:szCs w:val="14"/>
                <w:color w:val="0000EE"/>
              </w:rPr>
            </w:pPr>
            <w:hyperlink w:anchor="page152">
              <w:r>
                <w:rPr>
                  <w:rFonts w:ascii="Arial" w:cs="Arial" w:eastAsia="Arial" w:hAnsi="Arial"/>
                  <w:sz w:val="14"/>
                  <w:szCs w:val="14"/>
                  <w:color w:val="0000EE"/>
                </w:rPr>
                <w:t>Notes to Consolidated Financial Statements (unaudited)</w:t>
              </w:r>
            </w:hyperlink>
          </w:p>
        </w:tc>
        <w:tc>
          <w:tcPr>
            <w:tcW w:w="3300" w:type="dxa"/>
            <w:vAlign w:val="bottom"/>
            <w:gridSpan w:val="7"/>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4"/>
                <w:szCs w:val="14"/>
                <w:color w:val="auto"/>
              </w:rPr>
              <w:t>F-15</w:t>
            </w:r>
          </w:p>
        </w:tc>
      </w:tr>
      <w:tr>
        <w:trPr>
          <w:trHeight w:val="371"/>
        </w:trPr>
        <w:tc>
          <w:tcPr>
            <w:tcW w:w="302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Annual Financial Statements</w:t>
            </w:r>
          </w:p>
        </w:tc>
        <w:tc>
          <w:tcPr>
            <w:tcW w:w="5800" w:type="dxa"/>
            <w:vAlign w:val="bottom"/>
            <w:gridSpan w:val="14"/>
          </w:tcPr>
          <w:p>
            <w:pPr>
              <w:spacing w:after="0"/>
              <w:rPr>
                <w:sz w:val="24"/>
                <w:szCs w:val="24"/>
                <w:color w:val="auto"/>
              </w:rPr>
            </w:pPr>
          </w:p>
        </w:tc>
        <w:tc>
          <w:tcPr>
            <w:tcW w:w="2540" w:type="dxa"/>
            <w:vAlign w:val="bottom"/>
          </w:tcPr>
          <w:p>
            <w:pPr>
              <w:spacing w:after="0"/>
              <w:rPr>
                <w:sz w:val="24"/>
                <w:szCs w:val="24"/>
                <w:color w:val="auto"/>
              </w:rPr>
            </w:pPr>
          </w:p>
        </w:tc>
      </w:tr>
      <w:tr>
        <w:trPr>
          <w:trHeight w:val="230"/>
        </w:trPr>
        <w:tc>
          <w:tcPr>
            <w:tcW w:w="3660" w:type="dxa"/>
            <w:vAlign w:val="bottom"/>
            <w:tcBorders>
              <w:bottom w:val="single" w:sz="8" w:color="0000EE"/>
            </w:tcBorders>
            <w:gridSpan w:val="4"/>
          </w:tcPr>
          <w:p>
            <w:pPr>
              <w:spacing w:after="0"/>
              <w:rPr>
                <w:rFonts w:ascii="Arial" w:cs="Arial" w:eastAsia="Arial" w:hAnsi="Arial"/>
                <w:sz w:val="14"/>
                <w:szCs w:val="14"/>
                <w:color w:val="0000EE"/>
                <w:w w:val="88"/>
              </w:rPr>
            </w:pPr>
            <w:hyperlink w:anchor="page166">
              <w:r>
                <w:rPr>
                  <w:rFonts w:ascii="Arial" w:cs="Arial" w:eastAsia="Arial" w:hAnsi="Arial"/>
                  <w:sz w:val="14"/>
                  <w:szCs w:val="14"/>
                  <w:color w:val="0000EE"/>
                  <w:w w:val="88"/>
                </w:rPr>
                <w:t>Management’s Report on Internal Control over Financial Reporting</w:t>
              </w:r>
            </w:hyperlink>
          </w:p>
        </w:tc>
        <w:tc>
          <w:tcPr>
            <w:tcW w:w="5160" w:type="dxa"/>
            <w:vAlign w:val="bottom"/>
            <w:gridSpan w:val="12"/>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4"/>
                <w:szCs w:val="14"/>
                <w:color w:val="auto"/>
              </w:rPr>
              <w:t>F-29</w:t>
            </w:r>
          </w:p>
        </w:tc>
      </w:tr>
      <w:tr>
        <w:trPr>
          <w:trHeight w:val="237"/>
        </w:trPr>
        <w:tc>
          <w:tcPr>
            <w:tcW w:w="3180" w:type="dxa"/>
            <w:vAlign w:val="bottom"/>
            <w:tcBorders>
              <w:bottom w:val="single" w:sz="8" w:color="0000EE"/>
            </w:tcBorders>
            <w:gridSpan w:val="3"/>
          </w:tcPr>
          <w:p>
            <w:pPr>
              <w:spacing w:after="0"/>
              <w:rPr>
                <w:rFonts w:ascii="Arial" w:cs="Arial" w:eastAsia="Arial" w:hAnsi="Arial"/>
                <w:sz w:val="14"/>
                <w:szCs w:val="14"/>
                <w:color w:val="0000EE"/>
                <w:w w:val="88"/>
              </w:rPr>
            </w:pPr>
            <w:hyperlink w:anchor="page167">
              <w:r>
                <w:rPr>
                  <w:rFonts w:ascii="Arial" w:cs="Arial" w:eastAsia="Arial" w:hAnsi="Arial"/>
                  <w:sz w:val="14"/>
                  <w:szCs w:val="14"/>
                  <w:color w:val="0000EE"/>
                  <w:w w:val="88"/>
                </w:rPr>
                <w:t>Report of Independent Registered Public Accounting Firm</w:t>
              </w:r>
            </w:hyperlink>
          </w:p>
        </w:tc>
        <w:tc>
          <w:tcPr>
            <w:tcW w:w="5640" w:type="dxa"/>
            <w:vAlign w:val="bottom"/>
            <w:gridSpan w:val="13"/>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4"/>
                <w:szCs w:val="14"/>
                <w:color w:val="auto"/>
              </w:rPr>
              <w:t>F-30</w:t>
            </w:r>
          </w:p>
        </w:tc>
      </w:tr>
      <w:tr>
        <w:trPr>
          <w:trHeight w:val="237"/>
        </w:trPr>
        <w:tc>
          <w:tcPr>
            <w:tcW w:w="8820" w:type="dxa"/>
            <w:vAlign w:val="bottom"/>
            <w:gridSpan w:val="16"/>
          </w:tcPr>
          <w:p>
            <w:pPr>
              <w:spacing w:after="0"/>
              <w:rPr>
                <w:rFonts w:ascii="Arial" w:cs="Arial" w:eastAsia="Arial" w:hAnsi="Arial"/>
                <w:sz w:val="14"/>
                <w:szCs w:val="14"/>
                <w:color w:val="0000EE"/>
              </w:rPr>
            </w:pPr>
            <w:hyperlink w:anchor="page168">
              <w:r>
                <w:rPr>
                  <w:rFonts w:ascii="Arial" w:cs="Arial" w:eastAsia="Arial" w:hAnsi="Arial"/>
                  <w:sz w:val="14"/>
                  <w:szCs w:val="14"/>
                  <w:color w:val="0000EE"/>
                </w:rPr>
                <w:t>Report of Independent Registered Public Accounting Firm On Internal Control Over Financial Reporting</w:t>
              </w:r>
            </w:hyperlink>
          </w:p>
        </w:tc>
        <w:tc>
          <w:tcPr>
            <w:tcW w:w="2540" w:type="dxa"/>
            <w:vAlign w:val="bottom"/>
          </w:tcPr>
          <w:p>
            <w:pPr>
              <w:jc w:val="right"/>
              <w:spacing w:after="0"/>
              <w:rPr>
                <w:sz w:val="20"/>
                <w:szCs w:val="20"/>
                <w:color w:val="auto"/>
              </w:rPr>
            </w:pPr>
            <w:r>
              <w:rPr>
                <w:rFonts w:ascii="Arial" w:cs="Arial" w:eastAsia="Arial" w:hAnsi="Arial"/>
                <w:sz w:val="14"/>
                <w:szCs w:val="14"/>
                <w:color w:val="auto"/>
              </w:rPr>
              <w:t>F-31</w:t>
            </w:r>
          </w:p>
        </w:tc>
      </w:tr>
      <w:tr>
        <w:trPr>
          <w:trHeight w:val="237"/>
        </w:trPr>
        <w:tc>
          <w:tcPr>
            <w:tcW w:w="4640" w:type="dxa"/>
            <w:vAlign w:val="bottom"/>
            <w:tcBorders>
              <w:top w:val="single" w:sz="8" w:color="0000EE"/>
              <w:bottom w:val="single" w:sz="8" w:color="0000EE"/>
            </w:tcBorders>
            <w:gridSpan w:val="6"/>
          </w:tcPr>
          <w:p>
            <w:pPr>
              <w:spacing w:after="0"/>
              <w:rPr>
                <w:rFonts w:ascii="Arial" w:cs="Arial" w:eastAsia="Arial" w:hAnsi="Arial"/>
                <w:sz w:val="14"/>
                <w:szCs w:val="14"/>
                <w:color w:val="0000EE"/>
                <w:w w:val="86"/>
              </w:rPr>
            </w:pPr>
            <w:hyperlink w:anchor="page169">
              <w:r>
                <w:rPr>
                  <w:rFonts w:ascii="Arial" w:cs="Arial" w:eastAsia="Arial" w:hAnsi="Arial"/>
                  <w:sz w:val="14"/>
                  <w:szCs w:val="14"/>
                  <w:color w:val="0000EE"/>
                  <w:w w:val="86"/>
                </w:rPr>
                <w:t>Consolidated Statements of Assets and Liabilities as of September 30, 2010 and 2009</w:t>
              </w:r>
            </w:hyperlink>
          </w:p>
        </w:tc>
        <w:tc>
          <w:tcPr>
            <w:tcW w:w="1040" w:type="dxa"/>
            <w:vAlign w:val="bottom"/>
            <w:tcBorders>
              <w:top w:val="single" w:sz="8" w:color="0000EE"/>
            </w:tcBorders>
            <w:gridSpan w:val="4"/>
          </w:tcPr>
          <w:p>
            <w:pPr>
              <w:spacing w:after="0"/>
              <w:rPr>
                <w:sz w:val="20"/>
                <w:szCs w:val="20"/>
                <w:color w:val="auto"/>
              </w:rPr>
            </w:pPr>
          </w:p>
        </w:tc>
        <w:tc>
          <w:tcPr>
            <w:tcW w:w="3140" w:type="dxa"/>
            <w:vAlign w:val="bottom"/>
            <w:gridSpan w:val="6"/>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4"/>
                <w:szCs w:val="14"/>
                <w:color w:val="auto"/>
              </w:rPr>
              <w:t>F-32</w:t>
            </w:r>
          </w:p>
        </w:tc>
      </w:tr>
      <w:tr>
        <w:trPr>
          <w:trHeight w:val="237"/>
        </w:trPr>
        <w:tc>
          <w:tcPr>
            <w:tcW w:w="5180" w:type="dxa"/>
            <w:vAlign w:val="bottom"/>
            <w:tcBorders>
              <w:bottom w:val="single" w:sz="8" w:color="0000EE"/>
            </w:tcBorders>
            <w:gridSpan w:val="7"/>
          </w:tcPr>
          <w:p>
            <w:pPr>
              <w:spacing w:after="0"/>
              <w:rPr>
                <w:rFonts w:ascii="Arial" w:cs="Arial" w:eastAsia="Arial" w:hAnsi="Arial"/>
                <w:sz w:val="14"/>
                <w:szCs w:val="14"/>
                <w:color w:val="0000EE"/>
                <w:w w:val="85"/>
              </w:rPr>
            </w:pPr>
            <w:hyperlink w:anchor="page170">
              <w:r>
                <w:rPr>
                  <w:rFonts w:ascii="Arial" w:cs="Arial" w:eastAsia="Arial" w:hAnsi="Arial"/>
                  <w:sz w:val="14"/>
                  <w:szCs w:val="14"/>
                  <w:color w:val="0000EE"/>
                  <w:w w:val="85"/>
                </w:rPr>
                <w:t>Consolidated Statements of Operations for the years ended September 30, 2010, 2009 and 2008</w:t>
              </w:r>
            </w:hyperlink>
          </w:p>
        </w:tc>
        <w:tc>
          <w:tcPr>
            <w:tcW w:w="3640" w:type="dxa"/>
            <w:vAlign w:val="bottom"/>
            <w:gridSpan w:val="9"/>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4"/>
                <w:szCs w:val="14"/>
                <w:color w:val="auto"/>
              </w:rPr>
              <w:t>F-33</w:t>
            </w:r>
          </w:p>
        </w:tc>
      </w:tr>
      <w:tr>
        <w:trPr>
          <w:trHeight w:val="237"/>
        </w:trPr>
        <w:tc>
          <w:tcPr>
            <w:tcW w:w="5840" w:type="dxa"/>
            <w:vAlign w:val="bottom"/>
            <w:tcBorders>
              <w:bottom w:val="single" w:sz="8" w:color="0000EE"/>
            </w:tcBorders>
            <w:gridSpan w:val="11"/>
          </w:tcPr>
          <w:p>
            <w:pPr>
              <w:spacing w:after="0"/>
              <w:rPr>
                <w:rFonts w:ascii="Arial" w:cs="Arial" w:eastAsia="Arial" w:hAnsi="Arial"/>
                <w:sz w:val="14"/>
                <w:szCs w:val="14"/>
                <w:color w:val="0000EE"/>
                <w:w w:val="86"/>
              </w:rPr>
            </w:pPr>
            <w:hyperlink w:anchor="page171">
              <w:r>
                <w:rPr>
                  <w:rFonts w:ascii="Arial" w:cs="Arial" w:eastAsia="Arial" w:hAnsi="Arial"/>
                  <w:sz w:val="14"/>
                  <w:szCs w:val="14"/>
                  <w:color w:val="0000EE"/>
                  <w:w w:val="86"/>
                </w:rPr>
                <w:t>Consolidated Statements of Changes in Net Assets for the years ended September 30, 2010, 2009 and 2008</w:t>
              </w:r>
            </w:hyperlink>
          </w:p>
        </w:tc>
        <w:tc>
          <w:tcPr>
            <w:tcW w:w="2980" w:type="dxa"/>
            <w:vAlign w:val="bottom"/>
            <w:gridSpan w:val="5"/>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4"/>
                <w:szCs w:val="14"/>
                <w:color w:val="auto"/>
              </w:rPr>
              <w:t>F-34</w:t>
            </w:r>
          </w:p>
        </w:tc>
      </w:tr>
      <w:tr>
        <w:trPr>
          <w:trHeight w:val="237"/>
        </w:trPr>
        <w:tc>
          <w:tcPr>
            <w:tcW w:w="5220" w:type="dxa"/>
            <w:vAlign w:val="bottom"/>
            <w:tcBorders>
              <w:bottom w:val="single" w:sz="8" w:color="0000EE"/>
            </w:tcBorders>
            <w:gridSpan w:val="8"/>
          </w:tcPr>
          <w:p>
            <w:pPr>
              <w:spacing w:after="0"/>
              <w:rPr>
                <w:rFonts w:ascii="Arial" w:cs="Arial" w:eastAsia="Arial" w:hAnsi="Arial"/>
                <w:sz w:val="14"/>
                <w:szCs w:val="14"/>
                <w:color w:val="0000EE"/>
                <w:w w:val="85"/>
              </w:rPr>
            </w:pPr>
            <w:hyperlink w:anchor="page172">
              <w:r>
                <w:rPr>
                  <w:rFonts w:ascii="Arial" w:cs="Arial" w:eastAsia="Arial" w:hAnsi="Arial"/>
                  <w:sz w:val="14"/>
                  <w:szCs w:val="14"/>
                  <w:color w:val="0000EE"/>
                  <w:w w:val="85"/>
                </w:rPr>
                <w:t>Consolidated Statements of Cash Flows for the years ended September 30, 2010, 2009 and 2008</w:t>
              </w:r>
            </w:hyperlink>
          </w:p>
        </w:tc>
        <w:tc>
          <w:tcPr>
            <w:tcW w:w="3600" w:type="dxa"/>
            <w:vAlign w:val="bottom"/>
            <w:gridSpan w:val="8"/>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4"/>
                <w:szCs w:val="14"/>
                <w:color w:val="auto"/>
              </w:rPr>
              <w:t>F-35</w:t>
            </w:r>
          </w:p>
        </w:tc>
      </w:tr>
      <w:tr>
        <w:trPr>
          <w:trHeight w:val="237"/>
        </w:trPr>
        <w:tc>
          <w:tcPr>
            <w:tcW w:w="4080" w:type="dxa"/>
            <w:vAlign w:val="bottom"/>
            <w:tcBorders>
              <w:bottom w:val="single" w:sz="8" w:color="0000EE"/>
            </w:tcBorders>
            <w:gridSpan w:val="5"/>
          </w:tcPr>
          <w:p>
            <w:pPr>
              <w:spacing w:after="0"/>
              <w:rPr>
                <w:rFonts w:ascii="Arial" w:cs="Arial" w:eastAsia="Arial" w:hAnsi="Arial"/>
                <w:sz w:val="14"/>
                <w:szCs w:val="14"/>
                <w:color w:val="0000EE"/>
                <w:w w:val="85"/>
              </w:rPr>
            </w:pPr>
            <w:hyperlink w:anchor="page173">
              <w:r>
                <w:rPr>
                  <w:rFonts w:ascii="Arial" w:cs="Arial" w:eastAsia="Arial" w:hAnsi="Arial"/>
                  <w:sz w:val="14"/>
                  <w:szCs w:val="14"/>
                  <w:color w:val="0000EE"/>
                  <w:w w:val="85"/>
                </w:rPr>
                <w:t>Consolidated Schedules of Investments as of September 30, 2010 and 2009</w:t>
              </w:r>
            </w:hyperlink>
          </w:p>
        </w:tc>
        <w:tc>
          <w:tcPr>
            <w:tcW w:w="4740" w:type="dxa"/>
            <w:vAlign w:val="bottom"/>
            <w:gridSpan w:val="11"/>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4"/>
                <w:szCs w:val="14"/>
                <w:color w:val="auto"/>
              </w:rPr>
              <w:t>F-36</w:t>
            </w:r>
          </w:p>
        </w:tc>
      </w:tr>
      <w:tr>
        <w:trPr>
          <w:trHeight w:val="237"/>
        </w:trPr>
        <w:tc>
          <w:tcPr>
            <w:tcW w:w="2580" w:type="dxa"/>
            <w:vAlign w:val="bottom"/>
            <w:tcBorders>
              <w:bottom w:val="single" w:sz="8" w:color="0000EE"/>
            </w:tcBorders>
          </w:tcPr>
          <w:p>
            <w:pPr>
              <w:spacing w:after="0"/>
              <w:rPr>
                <w:rFonts w:ascii="Arial" w:cs="Arial" w:eastAsia="Arial" w:hAnsi="Arial"/>
                <w:sz w:val="14"/>
                <w:szCs w:val="14"/>
                <w:color w:val="0000EE"/>
                <w:w w:val="86"/>
              </w:rPr>
            </w:pPr>
            <w:hyperlink w:anchor="page180">
              <w:r>
                <w:rPr>
                  <w:rFonts w:ascii="Arial" w:cs="Arial" w:eastAsia="Arial" w:hAnsi="Arial"/>
                  <w:sz w:val="14"/>
                  <w:szCs w:val="14"/>
                  <w:color w:val="0000EE"/>
                  <w:w w:val="86"/>
                </w:rPr>
                <w:t>Notes to the Consolidated Financial Statements</w:t>
              </w:r>
            </w:hyperlink>
          </w:p>
        </w:tc>
        <w:tc>
          <w:tcPr>
            <w:tcW w:w="6240" w:type="dxa"/>
            <w:vAlign w:val="bottom"/>
            <w:gridSpan w:val="15"/>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4"/>
                <w:szCs w:val="14"/>
                <w:color w:val="auto"/>
              </w:rPr>
              <w:t>F-43</w:t>
            </w:r>
          </w:p>
        </w:tc>
      </w:tr>
    </w:tbl>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60"/>
          </w:cols>
          <w:pgMar w:left="240" w:top="459" w:right="2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reviewed the accompanying consolidated statement of assets and liabilities of PennantPark Investment Corporation and subsidiaries (the “Company”), including the consolidated schedules of investments, as of December 31, 2010, and the consolidated statements of operations, changes in net assets, and cash flows for the three month periods ended December 31, 2010 and 2009. These interim consolidated financial statements are the responsibility of the Company’s management.</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statement of assets and liabilities of PennantPark Investment Corporation and subsidiaries, including the consolidated schedule of investments, as of September 30, 2010; and in our report dated November 17, 2010,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643255"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3255" cy="13716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 2011</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459" w:right="2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6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2010</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9"/>
              </w:rPr>
              <w:t>(unaudited)</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 (cost—$651,948,035 and $631,280,755,</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680,710,779</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641,290,626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Non-controlled, affiliated investments, at fair value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640"/>
              <w:spacing w:after="0"/>
              <w:rPr>
                <w:sz w:val="20"/>
                <w:szCs w:val="20"/>
                <w:color w:val="auto"/>
              </w:rPr>
            </w:pPr>
            <w:r>
              <w:rPr>
                <w:rFonts w:ascii="Arial" w:cs="Arial" w:eastAsia="Arial" w:hAnsi="Arial"/>
                <w:sz w:val="18"/>
                <w:szCs w:val="18"/>
                <w:color w:val="auto"/>
              </w:rPr>
              <w:t>(cost—$17,641,671 and $17,427,648, respectively)</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15,557,531</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15,433,680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Controlled, affiliated investments, at fair value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(cost—$8,000,100 and $8,000,100, respectively)</w:t>
            </w: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8,000,100</w:t>
            </w:r>
          </w:p>
        </w:tc>
        <w:tc>
          <w:tcPr>
            <w:tcW w:w="6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8,000,100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Total Investments, at fair value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1060"/>
              <w:spacing w:after="0"/>
              <w:rPr>
                <w:sz w:val="20"/>
                <w:szCs w:val="20"/>
                <w:color w:val="auto"/>
              </w:rPr>
            </w:pPr>
            <w:r>
              <w:rPr>
                <w:rFonts w:ascii="Arial" w:cs="Arial" w:eastAsia="Arial" w:hAnsi="Arial"/>
                <w:sz w:val="18"/>
                <w:szCs w:val="18"/>
                <w:color w:val="auto"/>
              </w:rPr>
              <w:t>(cost—$677,589,806 and $656,708,503, respectively)</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704,268,410</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664,724,406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(See Note 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3,022,137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Interest receivable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7,357,002</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12,814,096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Receivables for investments sold</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30,254,774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2,671,704</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717,319,253</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711,493,846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5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9,418,227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80" w:type="dxa"/>
            <w:vAlign w:val="bottom"/>
          </w:tcPr>
          <w:p>
            <w:pPr>
              <w:spacing w:after="0"/>
              <w:rPr>
                <w:sz w:val="18"/>
                <w:szCs w:val="18"/>
                <w:color w:val="auto"/>
              </w:rPr>
            </w:pPr>
          </w:p>
        </w:tc>
        <w:tc>
          <w:tcPr>
            <w:tcW w:w="15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52,785,000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18,580,431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22,203,434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Credit facility payable (cost—$255,800,000 and $233,100,000, respectively) (See Notes 5 and 10)</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248,445,750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219,141,125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 (cost—$30,000,000 and $14,500,000, respectively) (See Note 10)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30,000,000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267,310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3,498,594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2,792,994</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2,239,011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924,985</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128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313,928,291</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324,918,623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5"/>
              </w:rPr>
              <w:t>Common stock, par value $0.001 per share, 100,000,000 shares authorized, 36,223,950 and 36,158,772 shares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issued and outstanding, respectively</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36,224</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429,267,895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428,675,184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3,672,171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0"/>
              </w:rPr>
              <w:t>(63,618,182)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(65,911,544)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26,678,604</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8,015,903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7,354,250</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13,958,875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1280"/>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403,390,962</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386,575,223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liabilities and net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717,319,253</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711,493,846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6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18,559,165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12,951,233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846,584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319,603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363,432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327,649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210,000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19,979,181</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13,598,485</w:t>
            </w:r>
          </w:p>
        </w:tc>
        <w:tc>
          <w:tcPr>
            <w:tcW w:w="120" w:type="dxa"/>
            <w:vAlign w:val="bottom"/>
            <w:shd w:val="clear" w:color="auto" w:fill="CCEEFF"/>
          </w:tcPr>
          <w:p>
            <w:pPr>
              <w:spacing w:after="0"/>
              <w:rPr>
                <w:sz w:val="18"/>
                <w:szCs w:val="18"/>
                <w:color w:val="auto"/>
              </w:rPr>
            </w:pPr>
          </w:p>
        </w:tc>
      </w:tr>
      <w:tr>
        <w:trPr>
          <w:trHeight w:val="33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3,498,594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2,524,653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2,792,994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1,809,380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and SBA debentures (See Note 10)</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1,135,427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818,683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579,055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557,504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683,359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543,415</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420"/>
              <w:spacing w:after="0"/>
              <w:rPr>
                <w:sz w:val="20"/>
                <w:szCs w:val="20"/>
                <w:color w:val="auto"/>
              </w:rPr>
            </w:pPr>
            <w:r>
              <w:rPr>
                <w:rFonts w:ascii="Arial" w:cs="Arial" w:eastAsia="Arial" w:hAnsi="Arial"/>
                <w:sz w:val="18"/>
                <w:szCs w:val="18"/>
                <w:b w:val="1"/>
                <w:bCs w:val="1"/>
                <w:color w:val="auto"/>
              </w:rPr>
              <w:t>Expenses before taxes</w:t>
            </w:r>
          </w:p>
        </w:tc>
        <w:tc>
          <w:tcPr>
            <w:tcW w:w="1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8,689,429</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6,253,635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Excise tax (See Note 2)</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106,962</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1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8,808,396</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6,360,597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11,170,785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7,237,888</w:t>
            </w:r>
          </w:p>
        </w:tc>
        <w:tc>
          <w:tcPr>
            <w:tcW w:w="120" w:type="dxa"/>
            <w:vAlign w:val="bottom"/>
            <w:shd w:val="clear" w:color="auto" w:fill="CCEEFF"/>
          </w:tcPr>
          <w:p>
            <w:pPr>
              <w:spacing w:after="0"/>
              <w:rPr>
                <w:sz w:val="18"/>
                <w:szCs w:val="18"/>
                <w:color w:val="auto"/>
              </w:rPr>
            </w:pPr>
          </w:p>
        </w:tc>
      </w:tr>
      <w:tr>
        <w:trPr>
          <w:trHeight w:val="221"/>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non-controlled, non-affiliated investments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2,293,362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(16,603,865)</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18,752,873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24,093,662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(90,172)</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(212,524)</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Credit facility unrealized (appreciation) (See Note 5)</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(6,604,625)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(5,838,914)</w:t>
            </w:r>
          </w:p>
        </w:tc>
      </w:tr>
      <w:tr>
        <w:trPr>
          <w:trHeight w:val="230"/>
        </w:trPr>
        <w:tc>
          <w:tcPr>
            <w:tcW w:w="20" w:type="dxa"/>
            <w:vAlign w:val="bottom"/>
          </w:tcPr>
          <w:p>
            <w:pPr>
              <w:spacing w:after="0"/>
              <w:rPr>
                <w:sz w:val="20"/>
                <w:szCs w:val="20"/>
                <w:color w:val="auto"/>
              </w:rPr>
            </w:pPr>
          </w:p>
        </w:tc>
        <w:tc>
          <w:tcPr>
            <w:tcW w:w="7520" w:type="dxa"/>
            <w:vAlign w:val="bottom"/>
          </w:tcPr>
          <w:p>
            <w:pPr>
              <w:ind w:left="420"/>
              <w:spacing w:after="0"/>
              <w:rPr>
                <w:sz w:val="20"/>
                <w:szCs w:val="20"/>
                <w:color w:val="auto"/>
              </w:rPr>
            </w:pPr>
            <w:r>
              <w:rPr>
                <w:rFonts w:ascii="Arial" w:cs="Arial" w:eastAsia="Arial" w:hAnsi="Arial"/>
                <w:sz w:val="18"/>
                <w:szCs w:val="18"/>
                <w:b w:val="1"/>
                <w:bCs w:val="1"/>
                <w:color w:val="auto"/>
              </w:rPr>
              <w:t>Net change in unrealized appreciation</w:t>
            </w:r>
          </w:p>
        </w:tc>
        <w:tc>
          <w:tcPr>
            <w:tcW w:w="1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12,058,076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18,042,224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from investments and credit facility</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14,351,438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1,438,359</w:t>
            </w:r>
          </w:p>
        </w:tc>
        <w:tc>
          <w:tcPr>
            <w:tcW w:w="120" w:type="dxa"/>
            <w:vAlign w:val="bottom"/>
            <w:shd w:val="clear" w:color="auto" w:fill="CCEEFF"/>
          </w:tcPr>
          <w:p>
            <w:pPr>
              <w:spacing w:after="0"/>
              <w:rPr>
                <w:sz w:val="18"/>
                <w:szCs w:val="18"/>
                <w:color w:val="auto"/>
              </w:rPr>
            </w:pPr>
          </w:p>
        </w:tc>
      </w:tr>
      <w:tr>
        <w:trPr>
          <w:trHeight w:val="222"/>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25,522,223</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8,676,247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(See Note 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0.31</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net assets from operations: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11,170,785</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7,237,888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 (loss) on investments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2,293,362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(16,603,865)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Net change in unrealized appreciation on investments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18,662,701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23,881,138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on credit facility</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(6,604,625)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(5,838,914)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25,522,223</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8,676,247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Distributions from net investment income</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(9,418,227)</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(6,452,193)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Issuance of shares of common stock, net of offering costs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3,344,000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Reinvestment of dividends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711,743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Total increase in net assets</w:t>
            </w:r>
          </w:p>
        </w:tc>
        <w:tc>
          <w:tcPr>
            <w:tcW w:w="2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16,815,739</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5,568,054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Beginning of period</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386,575,223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300,580,268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403,390,962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306,148,322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Undistributed net investment income, at period end</w:t>
            </w: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40" w:type="dxa"/>
            <w:vAlign w:val="bottom"/>
            <w:gridSpan w:val="2"/>
            <w:vMerge w:val="continue"/>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3,672,171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2,675,930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Public offering</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Reinvestment of dividends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5"/>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25,522,223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8,676,247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Adjustments to reconcile net increase in net assets resulting from operations to net cash used for operating</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Net change in unrealized appreciation on investments</w:t>
            </w:r>
          </w:p>
        </w:tc>
        <w:tc>
          <w:tcPr>
            <w:tcW w:w="10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(18,662,701)</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(23,881,138)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on credit facility</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6,604,625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5,838,914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(2,293,362)</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16,603,865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(1,214,474)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(1,271,930)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(99,940,829)</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(50,481,259)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(2,968,067)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(1,159,733)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Proceeds from dispositions of investments</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85,535,428</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16,808,942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interest receivable</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5,457,094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Decrease in receivables for investments sold</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30,254,774</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2,680,116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255,290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Decrease in payables for investments purchased</w:t>
            </w:r>
          </w:p>
        </w:tc>
        <w:tc>
          <w:tcPr>
            <w:tcW w:w="10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(52,785,000)</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(19,489,525)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unfunded investments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(3,623,003)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Increase (Decrease) in interest payable on credit facility and/or SBA debentures</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52,175</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 payable</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211,778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553,983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accrued expenses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(221,836)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vMerge w:val="restart"/>
          </w:tcPr>
          <w:p>
            <w:pPr>
              <w:ind w:left="1280"/>
              <w:spacing w:after="0"/>
              <w:rPr>
                <w:sz w:val="20"/>
                <w:szCs w:val="20"/>
                <w:color w:val="auto"/>
              </w:rPr>
            </w:pPr>
            <w:r>
              <w:rPr>
                <w:rFonts w:ascii="Arial" w:cs="Arial" w:eastAsia="Arial" w:hAnsi="Arial"/>
                <w:sz w:val="18"/>
                <w:szCs w:val="18"/>
                <w:color w:val="auto"/>
              </w:rPr>
              <w:t>Net cash used for operating activities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(27,261,902)</w:t>
            </w:r>
          </w:p>
        </w:tc>
        <w:tc>
          <w:tcPr>
            <w:tcW w:w="1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(45,083,996)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Issuance of shares of common stock, net of offering costs</w:t>
            </w:r>
          </w:p>
        </w:tc>
        <w:tc>
          <w:tcPr>
            <w:tcW w:w="10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paid to stockholders, net of dividends reinvested</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(8,689,537)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Borrowings under SBA debentures (See Note 10)</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15,500,000</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Capitalized borrowing costs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(1,040,875)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10)</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136,000,000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51,300,000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10)</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5"/>
              </w:rPr>
              <w:t>(113,300,000)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(30,700,000)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28,469,588</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18,887,495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1,207,686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(26,196,501)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1,814,451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33,247,666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3,022,137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7,051,165</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 (See Note 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931,687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762,328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Dividends reinvested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711,743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Basis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Point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220" w:type="dxa"/>
            <w:vAlign w:val="bottom"/>
          </w:tcPr>
          <w:p>
            <w:pPr>
              <w:spacing w:after="0"/>
              <w:rPr>
                <w:sz w:val="12"/>
                <w:szCs w:val="12"/>
                <w:color w:val="auto"/>
              </w:rPr>
            </w:pP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Par/</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86"/>
              </w:rPr>
              <w:t>Current</w:t>
            </w:r>
          </w:p>
        </w:tc>
        <w:tc>
          <w:tcPr>
            <w:tcW w:w="7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4"/>
              </w:rPr>
              <w:t>Above</w:t>
            </w:r>
          </w:p>
        </w:tc>
        <w:tc>
          <w:tcPr>
            <w:tcW w:w="2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0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Maturity</w:t>
            </w:r>
          </w:p>
        </w:tc>
        <w:tc>
          <w:tcPr>
            <w:tcW w:w="760" w:type="dxa"/>
            <w:vAlign w:val="bottom"/>
          </w:tcPr>
          <w:p>
            <w:pPr>
              <w:spacing w:after="0"/>
              <w:rPr>
                <w:sz w:val="14"/>
                <w:szCs w:val="14"/>
                <w:color w:val="auto"/>
              </w:rPr>
            </w:pPr>
          </w:p>
        </w:tc>
        <w:tc>
          <w:tcPr>
            <w:tcW w:w="15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0"/>
              </w:rPr>
              <w:t>Industry</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Coupon</w:t>
            </w:r>
          </w:p>
        </w:tc>
        <w:tc>
          <w:tcPr>
            <w:tcW w:w="720" w:type="dxa"/>
            <w:vAlign w:val="bottom"/>
            <w:gridSpan w:val="2"/>
          </w:tcPr>
          <w:p>
            <w:pPr>
              <w:jc w:val="center"/>
              <w:ind w:right="200"/>
              <w:spacing w:after="0" w:line="162"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18"/>
                <w:szCs w:val="18"/>
                <w:b w:val="1"/>
                <w:bCs w:val="1"/>
                <w:color w:val="auto"/>
                <w:vertAlign w:val="superscript"/>
              </w:rPr>
              <w:t>(4)</w:t>
            </w:r>
          </w:p>
        </w:tc>
        <w:tc>
          <w:tcPr>
            <w:tcW w:w="22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tcPr>
          <w:p>
            <w:pPr>
              <w:spacing w:after="0"/>
              <w:rPr>
                <w:sz w:val="14"/>
                <w:szCs w:val="14"/>
                <w:color w:val="auto"/>
              </w:rPr>
            </w:pPr>
          </w:p>
        </w:tc>
        <w:tc>
          <w:tcPr>
            <w:tcW w:w="6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76"/>
              </w:rPr>
              <w:t>Cost</w:t>
            </w:r>
          </w:p>
        </w:tc>
        <w:tc>
          <w:tcPr>
            <w:tcW w:w="180" w:type="dxa"/>
            <w:vAlign w:val="bottom"/>
          </w:tcPr>
          <w:p>
            <w:pPr>
              <w:spacing w:after="0"/>
              <w:rPr>
                <w:sz w:val="14"/>
                <w:szCs w:val="14"/>
                <w:color w:val="auto"/>
              </w:rPr>
            </w:pPr>
          </w:p>
        </w:tc>
        <w:tc>
          <w:tcPr>
            <w:tcW w:w="680" w:type="dxa"/>
            <w:vAlign w:val="bottom"/>
            <w:gridSpan w:val="3"/>
          </w:tcPr>
          <w:p>
            <w:pPr>
              <w:jc w:val="center"/>
              <w:ind w:right="24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gridSpan w:val="5"/>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Companies—168.7% </w:t>
            </w:r>
            <w:r>
              <w:rPr>
                <w:rFonts w:ascii="Arial" w:cs="Arial" w:eastAsia="Arial" w:hAnsi="Arial"/>
                <w:sz w:val="17"/>
                <w:szCs w:val="17"/>
                <w:b w:val="1"/>
                <w:bCs w:val="1"/>
                <w:color w:val="auto"/>
                <w:vertAlign w:val="superscript"/>
              </w:rPr>
              <w:t>(1),(2)</w:t>
            </w: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80" w:type="dxa"/>
            <w:vAlign w:val="bottom"/>
            <w:gridSpan w:val="2"/>
          </w:tcPr>
          <w:p>
            <w:pPr>
              <w:spacing w:after="0" w:line="122" w:lineRule="exact"/>
              <w:rPr>
                <w:sz w:val="20"/>
                <w:szCs w:val="20"/>
                <w:color w:val="auto"/>
              </w:rPr>
            </w:pPr>
            <w:r>
              <w:rPr>
                <w:rFonts w:ascii="Arial" w:cs="Arial" w:eastAsia="Arial" w:hAnsi="Arial"/>
                <w:sz w:val="14"/>
                <w:szCs w:val="14"/>
                <w:b w:val="1"/>
                <w:bCs w:val="1"/>
                <w:color w:val="auto"/>
              </w:rPr>
              <w:t>First Lien Secured Debt—67.4%</w:t>
            </w: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gridSpan w:val="2"/>
          </w:tcPr>
          <w:p>
            <w:pPr>
              <w:spacing w:after="0" w:line="176" w:lineRule="exact"/>
              <w:rPr>
                <w:sz w:val="20"/>
                <w:szCs w:val="20"/>
                <w:color w:val="auto"/>
              </w:rPr>
            </w:pPr>
            <w:r>
              <w:rPr>
                <w:rFonts w:ascii="Arial" w:cs="Arial" w:eastAsia="Arial" w:hAnsi="Arial"/>
                <w:sz w:val="13"/>
                <w:szCs w:val="13"/>
                <w:color w:val="auto"/>
              </w:rPr>
              <w:t>Affinity Group Holdings, Inc.</w:t>
            </w:r>
            <w:r>
              <w:rPr>
                <w:rFonts w:ascii="Arial" w:cs="Arial" w:eastAsia="Arial" w:hAnsi="Arial"/>
                <w:sz w:val="20"/>
                <w:szCs w:val="20"/>
                <w:color w:val="auto"/>
                <w:vertAlign w:val="superscript"/>
              </w:rPr>
              <w:t>(5)</w:t>
            </w:r>
          </w:p>
        </w:tc>
        <w:tc>
          <w:tcPr>
            <w:tcW w:w="1560" w:type="dxa"/>
            <w:vAlign w:val="bottom"/>
            <w:gridSpan w:val="3"/>
          </w:tcPr>
          <w:p>
            <w:pPr>
              <w:jc w:val="right"/>
              <w:ind w:right="260"/>
              <w:spacing w:after="0"/>
              <w:rPr>
                <w:sz w:val="20"/>
                <w:szCs w:val="20"/>
                <w:color w:val="auto"/>
              </w:rPr>
            </w:pPr>
            <w:r>
              <w:rPr>
                <w:rFonts w:ascii="Arial" w:cs="Arial" w:eastAsia="Arial" w:hAnsi="Arial"/>
                <w:sz w:val="14"/>
                <w:szCs w:val="14"/>
                <w:color w:val="auto"/>
              </w:rPr>
              <w:t>12/01/2016</w:t>
            </w:r>
          </w:p>
        </w:tc>
        <w:tc>
          <w:tcPr>
            <w:tcW w:w="2260" w:type="dxa"/>
            <w:vAlign w:val="bottom"/>
            <w:gridSpan w:val="3"/>
          </w:tcPr>
          <w:p>
            <w:pPr>
              <w:jc w:val="center"/>
              <w:ind w:right="200"/>
              <w:spacing w:after="0"/>
              <w:rPr>
                <w:sz w:val="20"/>
                <w:szCs w:val="20"/>
                <w:color w:val="auto"/>
              </w:rPr>
            </w:pPr>
            <w:r>
              <w:rPr>
                <w:rFonts w:ascii="Arial" w:cs="Arial" w:eastAsia="Arial" w:hAnsi="Arial"/>
                <w:sz w:val="14"/>
                <w:szCs w:val="14"/>
                <w:color w:val="auto"/>
                <w:w w:val="85"/>
              </w:rPr>
              <w:t>Consumer Products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11.50%</w:t>
            </w:r>
          </w:p>
        </w:tc>
        <w:tc>
          <w:tcPr>
            <w:tcW w:w="720" w:type="dxa"/>
            <w:vAlign w:val="bottom"/>
            <w:gridSpan w:val="2"/>
          </w:tcPr>
          <w:p>
            <w:pPr>
              <w:ind w:left="32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9"/>
                <w:szCs w:val="9"/>
                <w:color w:val="auto"/>
              </w:rPr>
              <w:t xml:space="preserve"> (8)</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w w:val="92"/>
              </w:rPr>
              <w:t>$ 12,000,000</w:t>
            </w:r>
          </w:p>
        </w:tc>
        <w:tc>
          <w:tcPr>
            <w:tcW w:w="940" w:type="dxa"/>
            <w:vAlign w:val="bottom"/>
            <w:gridSpan w:val="4"/>
          </w:tcPr>
          <w:p>
            <w:pPr>
              <w:jc w:val="right"/>
              <w:ind w:right="160"/>
              <w:spacing w:after="0"/>
              <w:rPr>
                <w:sz w:val="20"/>
                <w:szCs w:val="20"/>
                <w:color w:val="auto"/>
              </w:rPr>
            </w:pPr>
            <w:r>
              <w:rPr>
                <w:rFonts w:ascii="Arial" w:cs="Arial" w:eastAsia="Arial" w:hAnsi="Arial"/>
                <w:sz w:val="14"/>
                <w:szCs w:val="14"/>
                <w:color w:val="auto"/>
                <w:w w:val="92"/>
              </w:rPr>
              <w:t>$ 11,751,046</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w w:val="95"/>
              </w:rPr>
              <w:t>$ 11,790,000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300" w:type="dxa"/>
            <w:vAlign w:val="bottom"/>
            <w:gridSpan w:val="3"/>
          </w:tcPr>
          <w:p>
            <w:pPr>
              <w:spacing w:after="0" w:line="121" w:lineRule="exact"/>
              <w:rPr>
                <w:sz w:val="20"/>
                <w:szCs w:val="20"/>
                <w:color w:val="auto"/>
              </w:rPr>
            </w:pPr>
            <w:r>
              <w:rPr>
                <w:rFonts w:ascii="Arial" w:cs="Arial" w:eastAsia="Arial" w:hAnsi="Arial"/>
                <w:sz w:val="14"/>
                <w:szCs w:val="14"/>
                <w:color w:val="auto"/>
              </w:rPr>
              <w:t>Airvana Networks Solution, Inc.</w:t>
            </w:r>
          </w:p>
        </w:tc>
        <w:tc>
          <w:tcPr>
            <w:tcW w:w="1560" w:type="dxa"/>
            <w:vAlign w:val="bottom"/>
            <w:gridSpan w:val="3"/>
          </w:tcPr>
          <w:p>
            <w:pPr>
              <w:jc w:val="right"/>
              <w:ind w:right="260"/>
              <w:spacing w:after="0" w:line="121" w:lineRule="exact"/>
              <w:rPr>
                <w:sz w:val="20"/>
                <w:szCs w:val="20"/>
                <w:color w:val="auto"/>
              </w:rPr>
            </w:pPr>
            <w:r>
              <w:rPr>
                <w:rFonts w:ascii="Arial" w:cs="Arial" w:eastAsia="Arial" w:hAnsi="Arial"/>
                <w:sz w:val="14"/>
                <w:szCs w:val="14"/>
                <w:color w:val="auto"/>
              </w:rPr>
              <w:t>08/27/2014</w:t>
            </w:r>
          </w:p>
        </w:tc>
        <w:tc>
          <w:tcPr>
            <w:tcW w:w="2260" w:type="dxa"/>
            <w:vAlign w:val="bottom"/>
            <w:gridSpan w:val="3"/>
          </w:tcPr>
          <w:p>
            <w:pPr>
              <w:jc w:val="center"/>
              <w:ind w:right="200"/>
              <w:spacing w:after="0" w:line="121" w:lineRule="exact"/>
              <w:rPr>
                <w:sz w:val="20"/>
                <w:szCs w:val="20"/>
                <w:color w:val="auto"/>
              </w:rPr>
            </w:pPr>
            <w:r>
              <w:rPr>
                <w:rFonts w:ascii="Arial" w:cs="Arial" w:eastAsia="Arial" w:hAnsi="Arial"/>
                <w:sz w:val="14"/>
                <w:szCs w:val="14"/>
                <w:color w:val="auto"/>
                <w:w w:val="90"/>
              </w:rPr>
              <w:t>Communications</w:t>
            </w:r>
          </w:p>
        </w:tc>
        <w:tc>
          <w:tcPr>
            <w:tcW w:w="840" w:type="dxa"/>
            <w:vAlign w:val="bottom"/>
            <w:gridSpan w:val="2"/>
          </w:tcPr>
          <w:p>
            <w:pPr>
              <w:jc w:val="right"/>
              <w:ind w:right="260"/>
              <w:spacing w:after="0" w:line="121" w:lineRule="exact"/>
              <w:rPr>
                <w:sz w:val="20"/>
                <w:szCs w:val="20"/>
                <w:color w:val="auto"/>
              </w:rPr>
            </w:pPr>
            <w:r>
              <w:rPr>
                <w:rFonts w:ascii="Arial" w:cs="Arial" w:eastAsia="Arial" w:hAnsi="Arial"/>
                <w:sz w:val="14"/>
                <w:szCs w:val="14"/>
                <w:color w:val="auto"/>
              </w:rPr>
              <w:t>11.00%</w:t>
            </w:r>
          </w:p>
        </w:tc>
        <w:tc>
          <w:tcPr>
            <w:tcW w:w="720" w:type="dxa"/>
            <w:vAlign w:val="bottom"/>
            <w:gridSpan w:val="2"/>
          </w:tcPr>
          <w:p>
            <w:pPr>
              <w:jc w:val="right"/>
              <w:ind w:right="200"/>
              <w:spacing w:after="0" w:line="121" w:lineRule="exact"/>
              <w:rPr>
                <w:sz w:val="20"/>
                <w:szCs w:val="20"/>
                <w:color w:val="auto"/>
              </w:rPr>
            </w:pPr>
            <w:r>
              <w:rPr>
                <w:rFonts w:ascii="Arial" w:cs="Arial" w:eastAsia="Arial" w:hAnsi="Arial"/>
                <w:sz w:val="14"/>
                <w:szCs w:val="14"/>
                <w:color w:val="auto"/>
              </w:rPr>
              <w:t>L+900</w:t>
            </w:r>
          </w:p>
        </w:tc>
        <w:tc>
          <w:tcPr>
            <w:tcW w:w="940" w:type="dxa"/>
            <w:vAlign w:val="bottom"/>
            <w:gridSpan w:val="3"/>
          </w:tcPr>
          <w:p>
            <w:pPr>
              <w:jc w:val="right"/>
              <w:ind w:right="160"/>
              <w:spacing w:after="0" w:line="121" w:lineRule="exact"/>
              <w:rPr>
                <w:sz w:val="20"/>
                <w:szCs w:val="20"/>
                <w:color w:val="auto"/>
              </w:rPr>
            </w:pPr>
            <w:r>
              <w:rPr>
                <w:rFonts w:ascii="Arial" w:cs="Arial" w:eastAsia="Arial" w:hAnsi="Arial"/>
                <w:sz w:val="14"/>
                <w:szCs w:val="14"/>
                <w:color w:val="auto"/>
              </w:rPr>
              <w:t>11,833,333</w:t>
            </w:r>
          </w:p>
        </w:tc>
        <w:tc>
          <w:tcPr>
            <w:tcW w:w="940" w:type="dxa"/>
            <w:vAlign w:val="bottom"/>
            <w:gridSpan w:val="4"/>
          </w:tcPr>
          <w:p>
            <w:pPr>
              <w:jc w:val="right"/>
              <w:ind w:right="160"/>
              <w:spacing w:after="0" w:line="121" w:lineRule="exact"/>
              <w:rPr>
                <w:sz w:val="20"/>
                <w:szCs w:val="20"/>
                <w:color w:val="auto"/>
              </w:rPr>
            </w:pPr>
            <w:r>
              <w:rPr>
                <w:rFonts w:ascii="Arial" w:cs="Arial" w:eastAsia="Arial" w:hAnsi="Arial"/>
                <w:sz w:val="14"/>
                <w:szCs w:val="14"/>
                <w:color w:val="auto"/>
              </w:rPr>
              <w:t>11,614,917</w:t>
            </w:r>
          </w:p>
        </w:tc>
        <w:tc>
          <w:tcPr>
            <w:tcW w:w="800" w:type="dxa"/>
            <w:vAlign w:val="bottom"/>
            <w:gridSpan w:val="3"/>
          </w:tcPr>
          <w:p>
            <w:pPr>
              <w:jc w:val="right"/>
              <w:spacing w:after="0" w:line="121" w:lineRule="exact"/>
              <w:rPr>
                <w:sz w:val="20"/>
                <w:szCs w:val="20"/>
                <w:color w:val="auto"/>
              </w:rPr>
            </w:pPr>
            <w:r>
              <w:rPr>
                <w:rFonts w:ascii="Arial" w:cs="Arial" w:eastAsia="Arial" w:hAnsi="Arial"/>
                <w:sz w:val="14"/>
                <w:szCs w:val="14"/>
                <w:color w:val="auto"/>
              </w:rPr>
              <w:t>11,853,060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Birch Communications, Inc.</w:t>
            </w:r>
          </w:p>
        </w:tc>
        <w:tc>
          <w:tcPr>
            <w:tcW w:w="15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06/21/2015</w:t>
            </w:r>
          </w:p>
        </w:tc>
        <w:tc>
          <w:tcPr>
            <w:tcW w:w="22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8"/>
              </w:rPr>
              <w:t>Telecommunications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L+1,300</w:t>
            </w:r>
            <w:r>
              <w:rPr>
                <w:rFonts w:ascii="Arial" w:cs="Arial" w:eastAsia="Arial" w:hAnsi="Arial"/>
                <w:sz w:val="17"/>
                <w:szCs w:val="17"/>
                <w:color w:val="auto"/>
                <w:vertAlign w:val="superscript"/>
              </w:rPr>
              <w:t>(8)</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20,000,000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19,444,282</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20,220,000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5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10/01/2016</w:t>
            </w:r>
          </w:p>
        </w:tc>
        <w:tc>
          <w:tcPr>
            <w:tcW w:w="760" w:type="dxa"/>
            <w:vAlign w:val="bottom"/>
          </w:tcPr>
          <w:p>
            <w:pPr>
              <w:spacing w:after="0"/>
              <w:rPr>
                <w:sz w:val="12"/>
                <w:szCs w:val="12"/>
                <w:color w:val="auto"/>
              </w:rPr>
            </w:pPr>
          </w:p>
        </w:tc>
        <w:tc>
          <w:tcPr>
            <w:tcW w:w="150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1"/>
              </w:rPr>
              <w:t>Logistics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11.63%</w:t>
            </w:r>
          </w:p>
        </w:tc>
        <w:tc>
          <w:tcPr>
            <w:tcW w:w="7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7,500,000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7,310,855</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8,231,250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gridSpan w:val="2"/>
          </w:tcPr>
          <w:p>
            <w:pPr>
              <w:spacing w:after="0" w:line="176" w:lineRule="exact"/>
              <w:rPr>
                <w:sz w:val="20"/>
                <w:szCs w:val="20"/>
                <w:color w:val="auto"/>
              </w:rPr>
            </w:pPr>
            <w:r>
              <w:rPr>
                <w:rFonts w:ascii="Arial" w:cs="Arial" w:eastAsia="Arial" w:hAnsi="Arial"/>
                <w:sz w:val="13"/>
                <w:szCs w:val="13"/>
                <w:color w:val="auto"/>
              </w:rPr>
              <w:t>CEVA Group PLC</w:t>
            </w:r>
            <w:r>
              <w:rPr>
                <w:rFonts w:ascii="Arial" w:cs="Arial" w:eastAsia="Arial" w:hAnsi="Arial"/>
                <w:sz w:val="20"/>
                <w:szCs w:val="20"/>
                <w:color w:val="auto"/>
                <w:vertAlign w:val="superscript"/>
              </w:rPr>
              <w:t>(5),(10)</w:t>
            </w:r>
          </w:p>
        </w:tc>
        <w:tc>
          <w:tcPr>
            <w:tcW w:w="1560" w:type="dxa"/>
            <w:vAlign w:val="bottom"/>
            <w:gridSpan w:val="3"/>
          </w:tcPr>
          <w:p>
            <w:pPr>
              <w:jc w:val="right"/>
              <w:ind w:right="260"/>
              <w:spacing w:after="0"/>
              <w:rPr>
                <w:sz w:val="20"/>
                <w:szCs w:val="20"/>
                <w:color w:val="auto"/>
              </w:rPr>
            </w:pPr>
            <w:r>
              <w:rPr>
                <w:rFonts w:ascii="Arial" w:cs="Arial" w:eastAsia="Arial" w:hAnsi="Arial"/>
                <w:sz w:val="14"/>
                <w:szCs w:val="14"/>
                <w:color w:val="auto"/>
              </w:rPr>
              <w:t>04/01/2018</w:t>
            </w:r>
          </w:p>
        </w:tc>
        <w:tc>
          <w:tcPr>
            <w:tcW w:w="760" w:type="dxa"/>
            <w:vAlign w:val="bottom"/>
          </w:tcPr>
          <w:p>
            <w:pPr>
              <w:spacing w:after="0"/>
              <w:rPr>
                <w:sz w:val="15"/>
                <w:szCs w:val="15"/>
                <w:color w:val="auto"/>
              </w:rPr>
            </w:pPr>
          </w:p>
        </w:tc>
        <w:tc>
          <w:tcPr>
            <w:tcW w:w="1500" w:type="dxa"/>
            <w:vAlign w:val="bottom"/>
            <w:gridSpan w:val="2"/>
          </w:tcPr>
          <w:p>
            <w:pPr>
              <w:jc w:val="center"/>
              <w:ind w:right="960"/>
              <w:spacing w:after="0"/>
              <w:rPr>
                <w:sz w:val="20"/>
                <w:szCs w:val="20"/>
                <w:color w:val="auto"/>
              </w:rPr>
            </w:pPr>
            <w:r>
              <w:rPr>
                <w:rFonts w:ascii="Arial" w:cs="Arial" w:eastAsia="Arial" w:hAnsi="Arial"/>
                <w:sz w:val="14"/>
                <w:szCs w:val="14"/>
                <w:color w:val="auto"/>
                <w:w w:val="91"/>
              </w:rPr>
              <w:t>Logistics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11.50%</w:t>
            </w:r>
          </w:p>
        </w:tc>
        <w:tc>
          <w:tcPr>
            <w:tcW w:w="720" w:type="dxa"/>
            <w:vAlign w:val="bottom"/>
            <w:gridSpan w:val="2"/>
          </w:tcPr>
          <w:p>
            <w:pPr>
              <w:ind w:left="32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9"/>
                <w:szCs w:val="9"/>
                <w:color w:val="auto"/>
              </w:rPr>
              <w:t xml:space="preserve"> (8)</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1,000,000</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988,048</w:t>
            </w:r>
          </w:p>
        </w:tc>
        <w:tc>
          <w:tcPr>
            <w:tcW w:w="1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1,080,000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300" w:type="dxa"/>
            <w:vAlign w:val="bottom"/>
            <w:gridSpan w:val="3"/>
          </w:tcPr>
          <w:p>
            <w:pPr>
              <w:spacing w:after="0" w:line="121" w:lineRule="exact"/>
              <w:rPr>
                <w:sz w:val="20"/>
                <w:szCs w:val="20"/>
                <w:color w:val="auto"/>
              </w:rPr>
            </w:pPr>
            <w:r>
              <w:rPr>
                <w:rFonts w:ascii="Arial" w:cs="Arial" w:eastAsia="Arial" w:hAnsi="Arial"/>
                <w:sz w:val="14"/>
                <w:szCs w:val="14"/>
                <w:color w:val="auto"/>
              </w:rPr>
              <w:t>Chester Downs and Marina, LLC</w:t>
            </w:r>
          </w:p>
        </w:tc>
        <w:tc>
          <w:tcPr>
            <w:tcW w:w="1560" w:type="dxa"/>
            <w:vAlign w:val="bottom"/>
            <w:gridSpan w:val="3"/>
          </w:tcPr>
          <w:p>
            <w:pPr>
              <w:jc w:val="right"/>
              <w:ind w:right="260"/>
              <w:spacing w:after="0" w:line="121" w:lineRule="exact"/>
              <w:rPr>
                <w:sz w:val="20"/>
                <w:szCs w:val="20"/>
                <w:color w:val="auto"/>
              </w:rPr>
            </w:pPr>
            <w:r>
              <w:rPr>
                <w:rFonts w:ascii="Arial" w:cs="Arial" w:eastAsia="Arial" w:hAnsi="Arial"/>
                <w:sz w:val="14"/>
                <w:szCs w:val="14"/>
                <w:color w:val="auto"/>
              </w:rPr>
              <w:t>07/31/2016</w:t>
            </w:r>
          </w:p>
        </w:tc>
        <w:tc>
          <w:tcPr>
            <w:tcW w:w="2260" w:type="dxa"/>
            <w:vAlign w:val="bottom"/>
            <w:gridSpan w:val="3"/>
          </w:tcPr>
          <w:p>
            <w:pPr>
              <w:jc w:val="center"/>
              <w:ind w:right="200"/>
              <w:spacing w:after="0" w:line="121" w:lineRule="exact"/>
              <w:rPr>
                <w:sz w:val="20"/>
                <w:szCs w:val="20"/>
                <w:color w:val="auto"/>
              </w:rPr>
            </w:pPr>
            <w:r>
              <w:rPr>
                <w:rFonts w:ascii="Arial" w:cs="Arial" w:eastAsia="Arial" w:hAnsi="Arial"/>
                <w:sz w:val="14"/>
                <w:szCs w:val="14"/>
                <w:color w:val="auto"/>
                <w:w w:val="87"/>
              </w:rPr>
              <w:t>Hotels, Motels, Inns and Gaming</w:t>
            </w:r>
          </w:p>
        </w:tc>
        <w:tc>
          <w:tcPr>
            <w:tcW w:w="840" w:type="dxa"/>
            <w:vAlign w:val="bottom"/>
            <w:gridSpan w:val="2"/>
          </w:tcPr>
          <w:p>
            <w:pPr>
              <w:jc w:val="right"/>
              <w:ind w:right="260"/>
              <w:spacing w:after="0" w:line="121" w:lineRule="exact"/>
              <w:rPr>
                <w:sz w:val="20"/>
                <w:szCs w:val="20"/>
                <w:color w:val="auto"/>
              </w:rPr>
            </w:pPr>
            <w:r>
              <w:rPr>
                <w:rFonts w:ascii="Arial" w:cs="Arial" w:eastAsia="Arial" w:hAnsi="Arial"/>
                <w:sz w:val="14"/>
                <w:szCs w:val="14"/>
                <w:color w:val="auto"/>
              </w:rPr>
              <w:t>12.38%</w:t>
            </w:r>
          </w:p>
        </w:tc>
        <w:tc>
          <w:tcPr>
            <w:tcW w:w="720" w:type="dxa"/>
            <w:vAlign w:val="bottom"/>
            <w:gridSpan w:val="2"/>
          </w:tcPr>
          <w:p>
            <w:pPr>
              <w:jc w:val="right"/>
              <w:ind w:right="200"/>
              <w:spacing w:after="0" w:line="121" w:lineRule="exact"/>
              <w:rPr>
                <w:sz w:val="20"/>
                <w:szCs w:val="20"/>
                <w:color w:val="auto"/>
              </w:rPr>
            </w:pPr>
            <w:r>
              <w:rPr>
                <w:rFonts w:ascii="Arial" w:cs="Arial" w:eastAsia="Arial" w:hAnsi="Arial"/>
                <w:sz w:val="14"/>
                <w:szCs w:val="14"/>
                <w:color w:val="auto"/>
              </w:rPr>
              <w:t>L+988</w:t>
            </w:r>
          </w:p>
        </w:tc>
        <w:tc>
          <w:tcPr>
            <w:tcW w:w="940" w:type="dxa"/>
            <w:vAlign w:val="bottom"/>
            <w:gridSpan w:val="3"/>
          </w:tcPr>
          <w:p>
            <w:pPr>
              <w:jc w:val="right"/>
              <w:ind w:right="160"/>
              <w:spacing w:after="0" w:line="121" w:lineRule="exact"/>
              <w:rPr>
                <w:sz w:val="20"/>
                <w:szCs w:val="20"/>
                <w:color w:val="auto"/>
              </w:rPr>
            </w:pPr>
            <w:r>
              <w:rPr>
                <w:rFonts w:ascii="Arial" w:cs="Arial" w:eastAsia="Arial" w:hAnsi="Arial"/>
                <w:sz w:val="14"/>
                <w:szCs w:val="14"/>
                <w:color w:val="auto"/>
              </w:rPr>
              <w:t>9,062,500</w:t>
            </w:r>
          </w:p>
        </w:tc>
        <w:tc>
          <w:tcPr>
            <w:tcW w:w="940" w:type="dxa"/>
            <w:vAlign w:val="bottom"/>
            <w:gridSpan w:val="4"/>
          </w:tcPr>
          <w:p>
            <w:pPr>
              <w:jc w:val="right"/>
              <w:ind w:right="160"/>
              <w:spacing w:after="0" w:line="121" w:lineRule="exact"/>
              <w:rPr>
                <w:sz w:val="20"/>
                <w:szCs w:val="20"/>
                <w:color w:val="auto"/>
              </w:rPr>
            </w:pPr>
            <w:r>
              <w:rPr>
                <w:rFonts w:ascii="Arial" w:cs="Arial" w:eastAsia="Arial" w:hAnsi="Arial"/>
                <w:sz w:val="14"/>
                <w:szCs w:val="14"/>
                <w:color w:val="auto"/>
              </w:rPr>
              <w:t>8,603,111</w:t>
            </w:r>
          </w:p>
        </w:tc>
        <w:tc>
          <w:tcPr>
            <w:tcW w:w="800" w:type="dxa"/>
            <w:vAlign w:val="bottom"/>
            <w:gridSpan w:val="3"/>
          </w:tcPr>
          <w:p>
            <w:pPr>
              <w:jc w:val="right"/>
              <w:spacing w:after="0" w:line="121" w:lineRule="exact"/>
              <w:rPr>
                <w:sz w:val="20"/>
                <w:szCs w:val="20"/>
                <w:color w:val="auto"/>
              </w:rPr>
            </w:pPr>
            <w:r>
              <w:rPr>
                <w:rFonts w:ascii="Arial" w:cs="Arial" w:eastAsia="Arial" w:hAnsi="Arial"/>
                <w:sz w:val="14"/>
                <w:szCs w:val="14"/>
                <w:color w:val="auto"/>
              </w:rPr>
              <w:t>9,141,797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 (10)</w:t>
            </w:r>
          </w:p>
        </w:tc>
        <w:tc>
          <w:tcPr>
            <w:tcW w:w="15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11/20/2014</w:t>
            </w:r>
          </w:p>
        </w:tc>
        <w:tc>
          <w:tcPr>
            <w:tcW w:w="22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0"/>
              </w:rPr>
              <w:t>Communications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10,000,000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10,000,000</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11,100,000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gridSpan w:val="2"/>
          </w:tcPr>
          <w:p>
            <w:pPr>
              <w:spacing w:after="0" w:line="176" w:lineRule="exact"/>
              <w:rPr>
                <w:sz w:val="20"/>
                <w:szCs w:val="20"/>
                <w:color w:val="auto"/>
              </w:rPr>
            </w:pPr>
            <w:r>
              <w:rPr>
                <w:rFonts w:ascii="Arial" w:cs="Arial" w:eastAsia="Arial" w:hAnsi="Arial"/>
                <w:sz w:val="13"/>
                <w:szCs w:val="13"/>
                <w:color w:val="auto"/>
              </w:rPr>
              <w:t>Covad Communications Group, Inc.</w:t>
            </w:r>
            <w:r>
              <w:rPr>
                <w:rFonts w:ascii="Arial" w:cs="Arial" w:eastAsia="Arial" w:hAnsi="Arial"/>
                <w:sz w:val="20"/>
                <w:szCs w:val="20"/>
                <w:color w:val="auto"/>
                <w:vertAlign w:val="superscript"/>
              </w:rPr>
              <w:t>(5)</w:t>
            </w:r>
          </w:p>
        </w:tc>
        <w:tc>
          <w:tcPr>
            <w:tcW w:w="1560" w:type="dxa"/>
            <w:vAlign w:val="bottom"/>
            <w:gridSpan w:val="3"/>
          </w:tcPr>
          <w:p>
            <w:pPr>
              <w:jc w:val="right"/>
              <w:ind w:right="260"/>
              <w:spacing w:after="0"/>
              <w:rPr>
                <w:sz w:val="20"/>
                <w:szCs w:val="20"/>
                <w:color w:val="auto"/>
              </w:rPr>
            </w:pPr>
            <w:r>
              <w:rPr>
                <w:rFonts w:ascii="Arial" w:cs="Arial" w:eastAsia="Arial" w:hAnsi="Arial"/>
                <w:sz w:val="14"/>
                <w:szCs w:val="14"/>
                <w:color w:val="auto"/>
              </w:rPr>
              <w:t>11/03/2015</w:t>
            </w:r>
          </w:p>
        </w:tc>
        <w:tc>
          <w:tcPr>
            <w:tcW w:w="2260" w:type="dxa"/>
            <w:vAlign w:val="bottom"/>
            <w:gridSpan w:val="3"/>
          </w:tcPr>
          <w:p>
            <w:pPr>
              <w:jc w:val="center"/>
              <w:ind w:right="200"/>
              <w:spacing w:after="0"/>
              <w:rPr>
                <w:sz w:val="20"/>
                <w:szCs w:val="20"/>
                <w:color w:val="auto"/>
              </w:rPr>
            </w:pPr>
            <w:r>
              <w:rPr>
                <w:rFonts w:ascii="Arial" w:cs="Arial" w:eastAsia="Arial" w:hAnsi="Arial"/>
                <w:sz w:val="14"/>
                <w:szCs w:val="14"/>
                <w:color w:val="auto"/>
                <w:w w:val="88"/>
              </w:rPr>
              <w:t>Telecommunications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80"/>
              <w:spacing w:after="0" w:line="176" w:lineRule="exact"/>
              <w:rPr>
                <w:sz w:val="20"/>
                <w:szCs w:val="20"/>
                <w:color w:val="auto"/>
              </w:rPr>
            </w:pPr>
            <w:r>
              <w:rPr>
                <w:rFonts w:ascii="Arial" w:cs="Arial" w:eastAsia="Arial" w:hAnsi="Arial"/>
                <w:sz w:val="13"/>
                <w:szCs w:val="13"/>
                <w:color w:val="auto"/>
                <w:w w:val="97"/>
              </w:rPr>
              <w:t>L+1,000</w:t>
            </w:r>
            <w:r>
              <w:rPr>
                <w:rFonts w:ascii="Arial" w:cs="Arial" w:eastAsia="Arial" w:hAnsi="Arial"/>
                <w:sz w:val="20"/>
                <w:szCs w:val="20"/>
                <w:color w:val="auto"/>
                <w:w w:val="97"/>
                <w:vertAlign w:val="superscript"/>
              </w:rPr>
              <w:t>(8)</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7,000,000</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6,862,322</w:t>
            </w:r>
          </w:p>
        </w:tc>
        <w:tc>
          <w:tcPr>
            <w:tcW w:w="1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7,017,500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15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07/29/2013</w:t>
            </w:r>
          </w:p>
        </w:tc>
        <w:tc>
          <w:tcPr>
            <w:tcW w:w="226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Environmental Services</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6,666,666</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6,666,666</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6,666,666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Fairway Group Acquisition Company</w:t>
            </w:r>
          </w:p>
        </w:tc>
        <w:tc>
          <w:tcPr>
            <w:tcW w:w="15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10/01/2014</w:t>
            </w:r>
          </w:p>
        </w:tc>
        <w:tc>
          <w:tcPr>
            <w:tcW w:w="760" w:type="dxa"/>
            <w:vAlign w:val="bottom"/>
          </w:tcPr>
          <w:p>
            <w:pPr>
              <w:spacing w:after="0"/>
              <w:rPr>
                <w:sz w:val="12"/>
                <w:szCs w:val="12"/>
                <w:color w:val="auto"/>
              </w:rPr>
            </w:pPr>
          </w:p>
        </w:tc>
        <w:tc>
          <w:tcPr>
            <w:tcW w:w="150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2"/>
              </w:rPr>
              <w:t>Grocery</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11,875,057</w:t>
            </w:r>
          </w:p>
        </w:tc>
        <w:tc>
          <w:tcPr>
            <w:tcW w:w="94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11,633,164</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11,875,057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15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03/08/2014</w:t>
            </w:r>
          </w:p>
        </w:tc>
        <w:tc>
          <w:tcPr>
            <w:tcW w:w="226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Other Media</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2.56%</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L+225</w:t>
            </w: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8,730,000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8,730,000</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3,579,300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Instant Web, Inc.</w:t>
            </w:r>
          </w:p>
        </w:tc>
        <w:tc>
          <w:tcPr>
            <w:tcW w:w="15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08/07/2014</w:t>
            </w:r>
          </w:p>
        </w:tc>
        <w:tc>
          <w:tcPr>
            <w:tcW w:w="22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7"/>
              </w:rPr>
              <w:t>Printing and Publishing</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14.50%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24,812,500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24,355,557</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25,110,250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156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02/07/2014</w:t>
            </w:r>
          </w:p>
        </w:tc>
        <w:tc>
          <w:tcPr>
            <w:tcW w:w="2260" w:type="dxa"/>
            <w:vAlign w:val="bottom"/>
            <w:gridSpan w:val="3"/>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8"/>
              </w:rPr>
              <w:t>Home and Office Furnishings,</w:t>
            </w:r>
          </w:p>
        </w:tc>
        <w:tc>
          <w:tcPr>
            <w:tcW w:w="8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2.54%</w:t>
            </w:r>
          </w:p>
        </w:tc>
        <w:tc>
          <w:tcPr>
            <w:tcW w:w="7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L+225</w:t>
            </w:r>
          </w:p>
        </w:tc>
        <w:tc>
          <w:tcPr>
            <w:tcW w:w="9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9,726,351</w:t>
            </w:r>
          </w:p>
        </w:tc>
        <w:tc>
          <w:tcPr>
            <w:tcW w:w="7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9,726,351</w:t>
            </w:r>
          </w:p>
        </w:tc>
        <w:tc>
          <w:tcPr>
            <w:tcW w:w="1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7,878,345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Housewares and Durable Consumer</w:t>
            </w: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center"/>
              <w:ind w:right="960"/>
              <w:spacing w:after="0" w:line="159" w:lineRule="exact"/>
              <w:rPr>
                <w:sz w:val="20"/>
                <w:szCs w:val="20"/>
                <w:color w:val="auto"/>
              </w:rPr>
            </w:pPr>
            <w:r>
              <w:rPr>
                <w:rFonts w:ascii="Arial" w:cs="Arial" w:eastAsia="Arial" w:hAnsi="Arial"/>
                <w:sz w:val="14"/>
                <w:szCs w:val="14"/>
                <w:color w:val="auto"/>
                <w:w w:val="83"/>
              </w:rPr>
              <w:t>Products</w:t>
            </w: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K2 Pure Solutions NoCal, L.P.</w:t>
            </w:r>
          </w:p>
        </w:tc>
        <w:tc>
          <w:tcPr>
            <w:tcW w:w="15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09/10/2015</w:t>
            </w:r>
          </w:p>
        </w:tc>
        <w:tc>
          <w:tcPr>
            <w:tcW w:w="22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5"/>
              </w:rPr>
              <w:t>Chemicals, Plastics and Rubber</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P+675</w:t>
            </w:r>
            <w:r>
              <w:rPr>
                <w:rFonts w:ascii="Arial" w:cs="Arial" w:eastAsia="Arial" w:hAnsi="Arial"/>
                <w:sz w:val="17"/>
                <w:szCs w:val="17"/>
                <w:color w:val="auto"/>
                <w:vertAlign w:val="superscript"/>
              </w:rPr>
              <w:t>(8)</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18,952,500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17,866,534</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18,573,450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15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04/27/2016</w:t>
            </w:r>
          </w:p>
        </w:tc>
        <w:tc>
          <w:tcPr>
            <w:tcW w:w="226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6"/>
              </w:rPr>
              <w:t>Education</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26,052,632</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25,498,156</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26,313,158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15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08/01/2014</w:t>
            </w:r>
          </w:p>
        </w:tc>
        <w:tc>
          <w:tcPr>
            <w:tcW w:w="22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0"/>
              </w:rPr>
              <w:t>Other Media</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L+400</w:t>
            </w:r>
            <w:r>
              <w:rPr>
                <w:rFonts w:ascii="Arial" w:cs="Arial" w:eastAsia="Arial" w:hAnsi="Arial"/>
                <w:sz w:val="17"/>
                <w:szCs w:val="17"/>
                <w:color w:val="auto"/>
                <w:vertAlign w:val="superscript"/>
              </w:rPr>
              <w:t>(8)</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9,827,611</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8,505,772</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7,763,812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w:t>
            </w:r>
          </w:p>
        </w:tc>
        <w:tc>
          <w:tcPr>
            <w:tcW w:w="15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12/16/2012</w:t>
            </w:r>
          </w:p>
        </w:tc>
        <w:tc>
          <w:tcPr>
            <w:tcW w:w="226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Other Media</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10.50%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53,441</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53,441</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52,052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15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12/16/2012</w:t>
            </w:r>
          </w:p>
        </w:tc>
        <w:tc>
          <w:tcPr>
            <w:tcW w:w="22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0"/>
              </w:rPr>
              <w:t>Other Media</w:t>
            </w: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213,764</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213,764</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208,206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Sugarhouse HSP Gaming Prop.</w:t>
            </w:r>
          </w:p>
        </w:tc>
        <w:tc>
          <w:tcPr>
            <w:tcW w:w="15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09/23/2014</w:t>
            </w:r>
          </w:p>
        </w:tc>
        <w:tc>
          <w:tcPr>
            <w:tcW w:w="226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7"/>
              </w:rPr>
              <w:t>Hotels, Motels, Inns and Gaming</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11.25%</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L+825</w:t>
            </w:r>
            <w:r>
              <w:rPr>
                <w:rFonts w:ascii="Arial" w:cs="Arial" w:eastAsia="Arial" w:hAnsi="Arial"/>
                <w:sz w:val="17"/>
                <w:szCs w:val="17"/>
                <w:color w:val="auto"/>
                <w:vertAlign w:val="superscript"/>
              </w:rPr>
              <w:t>(8)</w:t>
            </w: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29,500,000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28,776,580</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29,930,199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Three Rivers Pharmaceutical, L.L.C.</w:t>
            </w:r>
          </w:p>
        </w:tc>
        <w:tc>
          <w:tcPr>
            <w:tcW w:w="15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10/22/2011</w:t>
            </w:r>
          </w:p>
        </w:tc>
        <w:tc>
          <w:tcPr>
            <w:tcW w:w="22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L+1,300</w:t>
            </w:r>
            <w:r>
              <w:rPr>
                <w:rFonts w:ascii="Arial" w:cs="Arial" w:eastAsia="Arial" w:hAnsi="Arial"/>
                <w:sz w:val="17"/>
                <w:szCs w:val="17"/>
                <w:color w:val="auto"/>
                <w:vertAlign w:val="superscript"/>
              </w:rPr>
              <w:t>(8)</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30,000,000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27,648,145</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30,900,000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VPSI, Inc.</w:t>
            </w:r>
          </w:p>
        </w:tc>
        <w:tc>
          <w:tcPr>
            <w:tcW w:w="15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12/22/2015</w:t>
            </w:r>
          </w:p>
        </w:tc>
        <w:tc>
          <w:tcPr>
            <w:tcW w:w="226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6"/>
              </w:rPr>
              <w:t>Personal Transportation</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18,333,333</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18,029,449</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18,027,166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15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07/15/2016</w:t>
            </w:r>
          </w:p>
        </w:tc>
        <w:tc>
          <w:tcPr>
            <w:tcW w:w="22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7"/>
              </w:rPr>
              <w:t>Hotels, Motels, Inns and Gaming</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11.38%</w:t>
            </w:r>
          </w:p>
        </w:tc>
        <w:tc>
          <w:tcPr>
            <w:tcW w:w="7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4,500,000</w:t>
            </w:r>
          </w:p>
        </w:tc>
        <w:tc>
          <w:tcPr>
            <w:tcW w:w="7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4,384,196</w:t>
            </w:r>
          </w:p>
        </w:tc>
        <w:tc>
          <w:tcPr>
            <w:tcW w:w="160" w:type="dxa"/>
            <w:vAlign w:val="bottom"/>
          </w:tcPr>
          <w:p>
            <w:pPr>
              <w:spacing w:after="0"/>
              <w:rPr>
                <w:sz w:val="13"/>
                <w:szCs w:val="13"/>
                <w:color w:val="auto"/>
              </w:rPr>
            </w:pPr>
          </w:p>
        </w:tc>
        <w:tc>
          <w:tcPr>
            <w:tcW w:w="80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4,955,625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268,662,356</w:t>
            </w:r>
          </w:p>
        </w:tc>
        <w:tc>
          <w:tcPr>
            <w:tcW w:w="160" w:type="dxa"/>
            <w:vAlign w:val="bottom"/>
            <w:shd w:val="clear" w:color="auto" w:fill="CCEEFF"/>
          </w:tcPr>
          <w:p>
            <w:pPr>
              <w:spacing w:after="0"/>
              <w:rPr>
                <w:sz w:val="12"/>
                <w:szCs w:val="12"/>
                <w:color w:val="auto"/>
              </w:rPr>
            </w:pPr>
          </w:p>
        </w:tc>
        <w:tc>
          <w:tcPr>
            <w:tcW w:w="8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272,266,893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Debt—23.3%</w:t>
            </w: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5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02/07/2015</w:t>
            </w:r>
          </w:p>
        </w:tc>
        <w:tc>
          <w:tcPr>
            <w:tcW w:w="226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Energy/Utilities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6.31%</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L+600</w:t>
            </w: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13,600,000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13,234,699</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12,206,000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80" w:type="dxa"/>
            <w:vAlign w:val="bottom"/>
            <w:gridSpan w:val="2"/>
          </w:tcPr>
          <w:p>
            <w:pPr>
              <w:spacing w:after="0" w:line="122" w:lineRule="exact"/>
              <w:rPr>
                <w:sz w:val="20"/>
                <w:szCs w:val="20"/>
                <w:color w:val="auto"/>
              </w:rPr>
            </w:pPr>
            <w:r>
              <w:rPr>
                <w:rFonts w:ascii="Arial" w:cs="Arial" w:eastAsia="Arial" w:hAnsi="Arial"/>
                <w:sz w:val="14"/>
                <w:szCs w:val="14"/>
                <w:color w:val="auto"/>
              </w:rPr>
              <w:t>Brand Energy and Infrastructure Services, Inc.</w:t>
            </w:r>
          </w:p>
        </w:tc>
        <w:tc>
          <w:tcPr>
            <w:tcW w:w="1560" w:type="dxa"/>
            <w:vAlign w:val="bottom"/>
            <w:gridSpan w:val="3"/>
          </w:tcPr>
          <w:p>
            <w:pPr>
              <w:jc w:val="right"/>
              <w:ind w:right="260"/>
              <w:spacing w:after="0" w:line="122" w:lineRule="exact"/>
              <w:rPr>
                <w:sz w:val="20"/>
                <w:szCs w:val="20"/>
                <w:color w:val="auto"/>
              </w:rPr>
            </w:pPr>
            <w:r>
              <w:rPr>
                <w:rFonts w:ascii="Arial" w:cs="Arial" w:eastAsia="Arial" w:hAnsi="Arial"/>
                <w:sz w:val="14"/>
                <w:szCs w:val="14"/>
                <w:color w:val="auto"/>
              </w:rPr>
              <w:t>02/07/2015</w:t>
            </w:r>
          </w:p>
        </w:tc>
        <w:tc>
          <w:tcPr>
            <w:tcW w:w="2260" w:type="dxa"/>
            <w:vAlign w:val="bottom"/>
            <w:gridSpan w:val="3"/>
          </w:tcPr>
          <w:p>
            <w:pPr>
              <w:jc w:val="center"/>
              <w:ind w:right="200"/>
              <w:spacing w:after="0" w:line="122" w:lineRule="exact"/>
              <w:rPr>
                <w:sz w:val="20"/>
                <w:szCs w:val="20"/>
                <w:color w:val="auto"/>
              </w:rPr>
            </w:pPr>
            <w:r>
              <w:rPr>
                <w:rFonts w:ascii="Arial" w:cs="Arial" w:eastAsia="Arial" w:hAnsi="Arial"/>
                <w:sz w:val="14"/>
                <w:szCs w:val="14"/>
                <w:color w:val="auto"/>
                <w:w w:val="92"/>
              </w:rPr>
              <w:t>Energy/Utilities</w:t>
            </w:r>
          </w:p>
        </w:tc>
        <w:tc>
          <w:tcPr>
            <w:tcW w:w="840" w:type="dxa"/>
            <w:vAlign w:val="bottom"/>
            <w:gridSpan w:val="2"/>
          </w:tcPr>
          <w:p>
            <w:pPr>
              <w:jc w:val="right"/>
              <w:ind w:right="260"/>
              <w:spacing w:after="0" w:line="122" w:lineRule="exact"/>
              <w:rPr>
                <w:sz w:val="20"/>
                <w:szCs w:val="20"/>
                <w:color w:val="auto"/>
              </w:rPr>
            </w:pPr>
            <w:r>
              <w:rPr>
                <w:rFonts w:ascii="Arial" w:cs="Arial" w:eastAsia="Arial" w:hAnsi="Arial"/>
                <w:sz w:val="14"/>
                <w:szCs w:val="14"/>
                <w:color w:val="auto"/>
              </w:rPr>
              <w:t>7.31%</w:t>
            </w: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4"/>
                <w:szCs w:val="14"/>
                <w:color w:val="auto"/>
              </w:rPr>
              <w:t>L+700</w:t>
            </w:r>
          </w:p>
        </w:tc>
        <w:tc>
          <w:tcPr>
            <w:tcW w:w="940" w:type="dxa"/>
            <w:vAlign w:val="bottom"/>
            <w:gridSpan w:val="3"/>
          </w:tcPr>
          <w:p>
            <w:pPr>
              <w:jc w:val="right"/>
              <w:ind w:right="160"/>
              <w:spacing w:after="0" w:line="122" w:lineRule="exact"/>
              <w:rPr>
                <w:sz w:val="20"/>
                <w:szCs w:val="20"/>
                <w:color w:val="auto"/>
              </w:rPr>
            </w:pPr>
            <w:r>
              <w:rPr>
                <w:rFonts w:ascii="Arial" w:cs="Arial" w:eastAsia="Arial" w:hAnsi="Arial"/>
                <w:sz w:val="14"/>
                <w:szCs w:val="14"/>
                <w:color w:val="auto"/>
              </w:rPr>
              <w:t>12,000,000</w:t>
            </w:r>
          </w:p>
        </w:tc>
        <w:tc>
          <w:tcPr>
            <w:tcW w:w="940" w:type="dxa"/>
            <w:vAlign w:val="bottom"/>
            <w:gridSpan w:val="4"/>
          </w:tcPr>
          <w:p>
            <w:pPr>
              <w:jc w:val="right"/>
              <w:ind w:right="160"/>
              <w:spacing w:after="0" w:line="122" w:lineRule="exact"/>
              <w:rPr>
                <w:sz w:val="20"/>
                <w:szCs w:val="20"/>
                <w:color w:val="auto"/>
              </w:rPr>
            </w:pPr>
            <w:r>
              <w:rPr>
                <w:rFonts w:ascii="Arial" w:cs="Arial" w:eastAsia="Arial" w:hAnsi="Arial"/>
                <w:sz w:val="14"/>
                <w:szCs w:val="14"/>
                <w:color w:val="auto"/>
              </w:rPr>
              <w:t>11,787,606</w:t>
            </w:r>
          </w:p>
        </w:tc>
        <w:tc>
          <w:tcPr>
            <w:tcW w:w="800" w:type="dxa"/>
            <w:vAlign w:val="bottom"/>
            <w:gridSpan w:val="3"/>
          </w:tcPr>
          <w:p>
            <w:pPr>
              <w:jc w:val="right"/>
              <w:spacing w:after="0" w:line="122" w:lineRule="exact"/>
              <w:rPr>
                <w:sz w:val="20"/>
                <w:szCs w:val="20"/>
                <w:color w:val="auto"/>
              </w:rPr>
            </w:pPr>
            <w:r>
              <w:rPr>
                <w:rFonts w:ascii="Arial" w:cs="Arial" w:eastAsia="Arial" w:hAnsi="Arial"/>
                <w:sz w:val="14"/>
                <w:szCs w:val="14"/>
                <w:color w:val="auto"/>
              </w:rPr>
              <w:t>10,659,996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15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07/29/2014</w:t>
            </w:r>
          </w:p>
        </w:tc>
        <w:tc>
          <w:tcPr>
            <w:tcW w:w="22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8"/>
              </w:rPr>
              <w:t>Environmental Services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L+600</w:t>
            </w:r>
            <w:r>
              <w:rPr>
                <w:rFonts w:ascii="Arial" w:cs="Arial" w:eastAsia="Arial" w:hAnsi="Arial"/>
                <w:sz w:val="17"/>
                <w:szCs w:val="17"/>
                <w:color w:val="auto"/>
                <w:vertAlign w:val="superscript"/>
              </w:rPr>
              <w:t>(8)</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6,237,317</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6,237,317</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6,087,621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gridSpan w:val="2"/>
          </w:tcPr>
          <w:p>
            <w:pPr>
              <w:spacing w:after="0"/>
              <w:rPr>
                <w:sz w:val="20"/>
                <w:szCs w:val="20"/>
                <w:color w:val="auto"/>
              </w:rPr>
            </w:pPr>
            <w:r>
              <w:rPr>
                <w:rFonts w:ascii="Arial" w:cs="Arial" w:eastAsia="Arial" w:hAnsi="Arial"/>
                <w:sz w:val="14"/>
                <w:szCs w:val="14"/>
                <w:color w:val="auto"/>
              </w:rPr>
              <w:t>Greatwide Logistics Services, L.L.C.</w:t>
            </w:r>
          </w:p>
        </w:tc>
        <w:tc>
          <w:tcPr>
            <w:tcW w:w="1560" w:type="dxa"/>
            <w:vAlign w:val="bottom"/>
            <w:gridSpan w:val="3"/>
          </w:tcPr>
          <w:p>
            <w:pPr>
              <w:jc w:val="right"/>
              <w:ind w:right="260"/>
              <w:spacing w:after="0"/>
              <w:rPr>
                <w:sz w:val="20"/>
                <w:szCs w:val="20"/>
                <w:color w:val="auto"/>
              </w:rPr>
            </w:pPr>
            <w:r>
              <w:rPr>
                <w:rFonts w:ascii="Arial" w:cs="Arial" w:eastAsia="Arial" w:hAnsi="Arial"/>
                <w:sz w:val="14"/>
                <w:szCs w:val="14"/>
                <w:color w:val="auto"/>
              </w:rPr>
              <w:t>03/01/2014</w:t>
            </w:r>
          </w:p>
        </w:tc>
        <w:tc>
          <w:tcPr>
            <w:tcW w:w="2260" w:type="dxa"/>
            <w:vAlign w:val="bottom"/>
            <w:gridSpan w:val="3"/>
          </w:tcPr>
          <w:p>
            <w:pPr>
              <w:jc w:val="center"/>
              <w:ind w:right="200"/>
              <w:spacing w:after="0"/>
              <w:rPr>
                <w:sz w:val="20"/>
                <w:szCs w:val="20"/>
                <w:color w:val="auto"/>
              </w:rPr>
            </w:pPr>
            <w:r>
              <w:rPr>
                <w:rFonts w:ascii="Arial" w:cs="Arial" w:eastAsia="Arial" w:hAnsi="Arial"/>
                <w:sz w:val="14"/>
                <w:szCs w:val="14"/>
                <w:color w:val="auto"/>
                <w:w w:val="88"/>
              </w:rPr>
              <w:t>Cargo Transport</w:t>
            </w:r>
          </w:p>
        </w:tc>
        <w:tc>
          <w:tcPr>
            <w:tcW w:w="840" w:type="dxa"/>
            <w:vAlign w:val="bottom"/>
            <w:gridSpan w:val="2"/>
          </w:tcPr>
          <w:p>
            <w:pPr>
              <w:jc w:val="right"/>
              <w:ind w:right="140"/>
              <w:spacing w:after="0" w:line="176" w:lineRule="exact"/>
              <w:rPr>
                <w:sz w:val="20"/>
                <w:szCs w:val="20"/>
                <w:color w:val="auto"/>
              </w:rPr>
            </w:pPr>
            <w:r>
              <w:rPr>
                <w:rFonts w:ascii="Arial" w:cs="Arial" w:eastAsia="Arial" w:hAnsi="Arial"/>
                <w:sz w:val="13"/>
                <w:szCs w:val="13"/>
                <w:color w:val="auto"/>
              </w:rPr>
              <w:t>11.00%</w:t>
            </w:r>
            <w:r>
              <w:rPr>
                <w:rFonts w:ascii="Arial" w:cs="Arial" w:eastAsia="Arial" w:hAnsi="Arial"/>
                <w:sz w:val="20"/>
                <w:szCs w:val="20"/>
                <w:color w:val="auto"/>
                <w:vertAlign w:val="superscript"/>
              </w:rPr>
              <w:t>(6)</w:t>
            </w:r>
          </w:p>
        </w:tc>
        <w:tc>
          <w:tcPr>
            <w:tcW w:w="720" w:type="dxa"/>
            <w:vAlign w:val="bottom"/>
            <w:gridSpan w:val="2"/>
          </w:tcPr>
          <w:p>
            <w:pPr>
              <w:jc w:val="right"/>
              <w:ind w:right="80"/>
              <w:spacing w:after="0" w:line="176" w:lineRule="exact"/>
              <w:rPr>
                <w:sz w:val="20"/>
                <w:szCs w:val="20"/>
                <w:color w:val="auto"/>
              </w:rPr>
            </w:pPr>
            <w:r>
              <w:rPr>
                <w:rFonts w:ascii="Arial" w:cs="Arial" w:eastAsia="Arial" w:hAnsi="Arial"/>
                <w:sz w:val="13"/>
                <w:szCs w:val="13"/>
                <w:color w:val="auto"/>
              </w:rPr>
              <w:t>L+700</w:t>
            </w:r>
            <w:r>
              <w:rPr>
                <w:rFonts w:ascii="Arial" w:cs="Arial" w:eastAsia="Arial" w:hAnsi="Arial"/>
                <w:sz w:val="20"/>
                <w:szCs w:val="20"/>
                <w:color w:val="auto"/>
                <w:vertAlign w:val="superscript"/>
              </w:rPr>
              <w:t>(8)</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2,570,357</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2,570,357</w:t>
            </w:r>
          </w:p>
        </w:tc>
        <w:tc>
          <w:tcPr>
            <w:tcW w:w="1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2,594,775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5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12/15/2014</w:t>
            </w:r>
          </w:p>
        </w:tc>
        <w:tc>
          <w:tcPr>
            <w:tcW w:w="226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Other Media</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9.50%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3,211,210</w:t>
            </w:r>
          </w:p>
        </w:tc>
        <w:tc>
          <w:tcPr>
            <w:tcW w:w="94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3,211,210</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2,719,894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15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12/15/2015</w:t>
            </w:r>
          </w:p>
        </w:tc>
        <w:tc>
          <w:tcPr>
            <w:tcW w:w="22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0"/>
              </w:rPr>
              <w:t>Other Media</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L+750</w:t>
            </w:r>
            <w:r>
              <w:rPr>
                <w:rFonts w:ascii="Arial" w:cs="Arial" w:eastAsia="Arial" w:hAnsi="Arial"/>
                <w:sz w:val="17"/>
                <w:szCs w:val="17"/>
                <w:color w:val="auto"/>
                <w:vertAlign w:val="superscript"/>
              </w:rPr>
              <w:t>(8)</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1,827,075</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1,827,075</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1,458,006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15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10/15/2017</w:t>
            </w:r>
          </w:p>
        </w:tc>
        <w:tc>
          <w:tcPr>
            <w:tcW w:w="226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6"/>
              </w:rPr>
              <w:t>Buildings and Real Estate</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13.50%</w:t>
            </w:r>
          </w:p>
        </w:tc>
        <w:tc>
          <w:tcPr>
            <w:tcW w:w="7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10,893,750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Sheridan Holdings, Inc.</w:t>
            </w:r>
          </w:p>
        </w:tc>
        <w:tc>
          <w:tcPr>
            <w:tcW w:w="15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06/15/2015</w:t>
            </w:r>
          </w:p>
        </w:tc>
        <w:tc>
          <w:tcPr>
            <w:tcW w:w="22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6.04%</w:t>
            </w:r>
            <w:r>
              <w:rPr>
                <w:rFonts w:ascii="Arial" w:cs="Arial" w:eastAsia="Arial" w:hAnsi="Arial"/>
                <w:sz w:val="17"/>
                <w:szCs w:val="17"/>
                <w:color w:val="auto"/>
                <w:vertAlign w:val="superscript"/>
              </w:rPr>
              <w:t>(6)</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L+575</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18,500,000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16,414,348</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17,482,500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15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12/15/2014</w:t>
            </w:r>
          </w:p>
        </w:tc>
        <w:tc>
          <w:tcPr>
            <w:tcW w:w="226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6"/>
              </w:rPr>
              <w:t>Chemical, Plastics and Rubber</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7.26%</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L+700</w:t>
            </w: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22,500,000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22,490,659</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TransFirst Holdings, Inc.</w:t>
            </w:r>
          </w:p>
        </w:tc>
        <w:tc>
          <w:tcPr>
            <w:tcW w:w="15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06/15/2015</w:t>
            </w:r>
          </w:p>
        </w:tc>
        <w:tc>
          <w:tcPr>
            <w:tcW w:w="22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6"/>
              </w:rPr>
              <w:t>Financial Services</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6.31%</w:t>
            </w:r>
            <w:r>
              <w:rPr>
                <w:rFonts w:ascii="Arial" w:cs="Arial" w:eastAsia="Arial" w:hAnsi="Arial"/>
                <w:sz w:val="17"/>
                <w:szCs w:val="17"/>
                <w:color w:val="auto"/>
                <w:vertAlign w:val="superscript"/>
              </w:rPr>
              <w:t>(6)</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L+600</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7,811,488</w:t>
            </w:r>
          </w:p>
        </w:tc>
        <w:tc>
          <w:tcPr>
            <w:tcW w:w="7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7,362,858</w:t>
            </w:r>
          </w:p>
        </w:tc>
        <w:tc>
          <w:tcPr>
            <w:tcW w:w="160" w:type="dxa"/>
            <w:vAlign w:val="bottom"/>
          </w:tcPr>
          <w:p>
            <w:pPr>
              <w:spacing w:after="0"/>
              <w:rPr>
                <w:sz w:val="13"/>
                <w:szCs w:val="13"/>
                <w:color w:val="auto"/>
              </w:rPr>
            </w:pPr>
          </w:p>
        </w:tc>
        <w:tc>
          <w:tcPr>
            <w:tcW w:w="80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7,245,155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95,136,129</w:t>
            </w:r>
          </w:p>
        </w:tc>
        <w:tc>
          <w:tcPr>
            <w:tcW w:w="160" w:type="dxa"/>
            <w:vAlign w:val="bottom"/>
            <w:shd w:val="clear" w:color="auto" w:fill="CCEEFF"/>
          </w:tcPr>
          <w:p>
            <w:pPr>
              <w:spacing w:after="0"/>
              <w:rPr>
                <w:sz w:val="12"/>
                <w:szCs w:val="12"/>
                <w:color w:val="auto"/>
              </w:rPr>
            </w:pPr>
          </w:p>
        </w:tc>
        <w:tc>
          <w:tcPr>
            <w:tcW w:w="8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93,847,697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Notes—64.4%</w:t>
            </w: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(5)</w:t>
            </w:r>
          </w:p>
        </w:tc>
        <w:tc>
          <w:tcPr>
            <w:tcW w:w="15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11/15/2015</w:t>
            </w:r>
          </w:p>
        </w:tc>
        <w:tc>
          <w:tcPr>
            <w:tcW w:w="226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Consumer Products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11.63%</w:t>
            </w:r>
          </w:p>
        </w:tc>
        <w:tc>
          <w:tcPr>
            <w:tcW w:w="7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9,861,938</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10,375,000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1"/>
                <w:szCs w:val="11"/>
                <w:color w:val="auto"/>
              </w:rPr>
              <w:t>Aquilex Holdings, LLC</w:t>
            </w:r>
            <w:r>
              <w:rPr>
                <w:rFonts w:ascii="Arial" w:cs="Arial" w:eastAsia="Arial" w:hAnsi="Arial"/>
                <w:sz w:val="17"/>
                <w:szCs w:val="17"/>
                <w:color w:val="auto"/>
                <w:vertAlign w:val="superscript"/>
              </w:rPr>
              <w:t>(5)</w:t>
            </w:r>
          </w:p>
        </w:tc>
        <w:tc>
          <w:tcPr>
            <w:tcW w:w="15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12/15/2016</w:t>
            </w:r>
          </w:p>
        </w:tc>
        <w:tc>
          <w:tcPr>
            <w:tcW w:w="22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8"/>
              </w:rPr>
              <w:t>Diversified / Conglomerate Services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11.13%</w:t>
            </w:r>
          </w:p>
        </w:tc>
        <w:tc>
          <w:tcPr>
            <w:tcW w:w="7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18,885,000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18,395,462</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19,121,063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15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04/17/2015</w:t>
            </w:r>
          </w:p>
        </w:tc>
        <w:tc>
          <w:tcPr>
            <w:tcW w:w="226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3"/>
              </w:rPr>
              <w:t>Aerospace and Defense</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7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8,109,468</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7,976,881</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8,170,289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4"/>
                <w:szCs w:val="14"/>
                <w:color w:val="auto"/>
              </w:rPr>
              <w:t>CT Technologies Intermediate Holdings, Inc.</w:t>
            </w:r>
          </w:p>
        </w:tc>
        <w:tc>
          <w:tcPr>
            <w:tcW w:w="1560" w:type="dxa"/>
            <w:vAlign w:val="bottom"/>
            <w:gridSpan w:val="3"/>
          </w:tcPr>
          <w:p>
            <w:pPr>
              <w:jc w:val="right"/>
              <w:ind w:right="260"/>
              <w:spacing w:after="0"/>
              <w:rPr>
                <w:sz w:val="20"/>
                <w:szCs w:val="20"/>
                <w:color w:val="auto"/>
              </w:rPr>
            </w:pPr>
            <w:r>
              <w:rPr>
                <w:rFonts w:ascii="Arial" w:cs="Arial" w:eastAsia="Arial" w:hAnsi="Arial"/>
                <w:sz w:val="14"/>
                <w:szCs w:val="14"/>
                <w:color w:val="auto"/>
              </w:rPr>
              <w:t>03/22/2014</w:t>
            </w:r>
          </w:p>
        </w:tc>
        <w:tc>
          <w:tcPr>
            <w:tcW w:w="2260" w:type="dxa"/>
            <w:vAlign w:val="bottom"/>
            <w:gridSpan w:val="3"/>
          </w:tcPr>
          <w:p>
            <w:pPr>
              <w:jc w:val="center"/>
              <w:ind w:right="200"/>
              <w:spacing w:after="0"/>
              <w:rPr>
                <w:sz w:val="20"/>
                <w:szCs w:val="20"/>
                <w:color w:val="auto"/>
              </w:rPr>
            </w:pPr>
            <w:r>
              <w:rPr>
                <w:rFonts w:ascii="Arial" w:cs="Arial" w:eastAsia="Arial" w:hAnsi="Arial"/>
                <w:sz w:val="14"/>
                <w:szCs w:val="14"/>
                <w:color w:val="auto"/>
                <w:w w:val="85"/>
              </w:rPr>
              <w:t>Business Services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14.00%</w:t>
            </w:r>
            <w:r>
              <w:rPr>
                <w:rFonts w:ascii="Arial" w:cs="Arial" w:eastAsia="Arial" w:hAnsi="Arial"/>
                <w:sz w:val="22"/>
                <w:szCs w:val="22"/>
                <w:color w:val="auto"/>
                <w:vertAlign w:val="superscript"/>
              </w:rPr>
              <w:t>(6)</w:t>
            </w:r>
          </w:p>
        </w:tc>
        <w:tc>
          <w:tcPr>
            <w:tcW w:w="7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20,824,496</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20,484,443</w:t>
            </w:r>
          </w:p>
        </w:tc>
        <w:tc>
          <w:tcPr>
            <w:tcW w:w="1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21,522,117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-4121150</wp:posOffset>
            </wp:positionV>
            <wp:extent cx="7246620" cy="946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-3932555</wp:posOffset>
            </wp:positionV>
            <wp:extent cx="7246620" cy="946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-3743960</wp:posOffset>
            </wp:positionV>
            <wp:extent cx="7246620" cy="946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-3555365</wp:posOffset>
            </wp:positionV>
            <wp:extent cx="7246620" cy="946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-1445895</wp:posOffset>
            </wp:positionV>
            <wp:extent cx="7246620" cy="946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320" w:type="dxa"/>
            <w:vAlign w:val="bottom"/>
          </w:tcPr>
          <w:p>
            <w:pPr>
              <w:spacing w:after="0"/>
              <w:rPr>
                <w:sz w:val="12"/>
                <w:szCs w:val="12"/>
                <w:color w:val="auto"/>
              </w:rPr>
            </w:pP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Par/</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0"/>
              </w:rPr>
              <w:t>Current</w:t>
            </w:r>
          </w:p>
        </w:tc>
        <w:tc>
          <w:tcPr>
            <w:tcW w:w="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Above</w:t>
            </w:r>
          </w:p>
        </w:tc>
        <w:tc>
          <w:tcPr>
            <w:tcW w:w="3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3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Maturity</w:t>
            </w:r>
          </w:p>
        </w:tc>
        <w:tc>
          <w:tcPr>
            <w:tcW w:w="860" w:type="dxa"/>
            <w:vAlign w:val="bottom"/>
          </w:tcPr>
          <w:p>
            <w:pPr>
              <w:spacing w:after="0"/>
              <w:rPr>
                <w:sz w:val="14"/>
                <w:szCs w:val="14"/>
                <w:color w:val="auto"/>
              </w:rPr>
            </w:pPr>
          </w:p>
        </w:tc>
        <w:tc>
          <w:tcPr>
            <w:tcW w:w="14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4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32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tcPr>
          <w:p>
            <w:pPr>
              <w:spacing w:after="0"/>
              <w:rPr>
                <w:sz w:val="14"/>
                <w:szCs w:val="14"/>
                <w:color w:val="auto"/>
              </w:rPr>
            </w:pPr>
          </w:p>
        </w:tc>
        <w:tc>
          <w:tcPr>
            <w:tcW w:w="6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76"/>
              </w:rPr>
              <w:t>Cost</w:t>
            </w:r>
          </w:p>
        </w:tc>
        <w:tc>
          <w:tcPr>
            <w:tcW w:w="180" w:type="dxa"/>
            <w:vAlign w:val="bottom"/>
          </w:tcPr>
          <w:p>
            <w:pPr>
              <w:spacing w:after="0"/>
              <w:rPr>
                <w:sz w:val="14"/>
                <w:szCs w:val="14"/>
                <w:color w:val="auto"/>
              </w:rPr>
            </w:pPr>
          </w:p>
        </w:tc>
        <w:tc>
          <w:tcPr>
            <w:tcW w:w="680" w:type="dxa"/>
            <w:vAlign w:val="bottom"/>
            <w:gridSpan w:val="3"/>
          </w:tcPr>
          <w:p>
            <w:pPr>
              <w:jc w:val="center"/>
              <w:ind w:right="24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Da-Lite Screen Company, Inc.</w:t>
            </w:r>
            <w:r>
              <w:rPr>
                <w:rFonts w:ascii="Arial" w:cs="Arial" w:eastAsia="Arial" w:hAnsi="Arial"/>
                <w:sz w:val="15"/>
                <w:szCs w:val="15"/>
                <w:color w:val="auto"/>
                <w:vertAlign w:val="superscript"/>
              </w:rPr>
              <w:t>(5)</w:t>
            </w:r>
          </w:p>
        </w:tc>
        <w:tc>
          <w:tcPr>
            <w:tcW w:w="108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04/01/2015</w:t>
            </w:r>
          </w:p>
        </w:tc>
        <w:tc>
          <w:tcPr>
            <w:tcW w:w="2340" w:type="dxa"/>
            <w:vAlign w:val="bottom"/>
            <w:gridSpan w:val="3"/>
            <w:shd w:val="clear" w:color="auto" w:fill="CCEEFF"/>
          </w:tcPr>
          <w:p>
            <w:pPr>
              <w:jc w:val="center"/>
              <w:ind w:right="60"/>
              <w:spacing w:after="0" w:line="138" w:lineRule="exact"/>
              <w:rPr>
                <w:sz w:val="20"/>
                <w:szCs w:val="20"/>
                <w:color w:val="auto"/>
              </w:rPr>
            </w:pPr>
            <w:r>
              <w:rPr>
                <w:rFonts w:ascii="Arial" w:cs="Arial" w:eastAsia="Arial" w:hAnsi="Arial"/>
                <w:sz w:val="14"/>
                <w:szCs w:val="14"/>
                <w:color w:val="auto"/>
                <w:w w:val="88"/>
              </w:rPr>
              <w:t>Home and Office Furnishings,</w:t>
            </w:r>
          </w:p>
        </w:tc>
        <w:tc>
          <w:tcPr>
            <w:tcW w:w="8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12.50%</w:t>
            </w:r>
          </w:p>
        </w:tc>
        <w:tc>
          <w:tcPr>
            <w:tcW w:w="460" w:type="dxa"/>
            <w:vAlign w:val="bottom"/>
            <w:shd w:val="clear" w:color="auto" w:fill="CCEEFF"/>
          </w:tcPr>
          <w:p>
            <w:pPr>
              <w:ind w:left="260"/>
              <w:spacing w:after="0" w:line="138"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$ 25,000,000</w:t>
            </w:r>
          </w:p>
        </w:tc>
        <w:tc>
          <w:tcPr>
            <w:tcW w:w="7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2"/>
              </w:rPr>
              <w:t>$ 24,407,004</w:t>
            </w:r>
          </w:p>
        </w:tc>
        <w:tc>
          <w:tcPr>
            <w:tcW w:w="1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5"/>
              </w:rPr>
              <w:t>$ 27,375,000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Housewares and Durable Consumer</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940"/>
              <w:spacing w:after="0" w:line="159" w:lineRule="exact"/>
              <w:rPr>
                <w:sz w:val="20"/>
                <w:szCs w:val="20"/>
                <w:color w:val="auto"/>
              </w:rPr>
            </w:pPr>
            <w:r>
              <w:rPr>
                <w:rFonts w:ascii="Arial" w:cs="Arial" w:eastAsia="Arial" w:hAnsi="Arial"/>
                <w:sz w:val="14"/>
                <w:szCs w:val="14"/>
                <w:color w:val="auto"/>
                <w:w w:val="83"/>
              </w:rPr>
              <w:t>Products</w:t>
            </w: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Escort Inc.</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06/01/2016</w:t>
            </w:r>
          </w:p>
        </w:tc>
        <w:tc>
          <w:tcPr>
            <w:tcW w:w="23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0"/>
              </w:rPr>
              <w:t>Electronics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14.75%</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24,055,000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23,398,381</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24,055,000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06/06/2014</w:t>
            </w:r>
          </w:p>
        </w:tc>
        <w:tc>
          <w:tcPr>
            <w:tcW w:w="23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3"/>
              </w:rPr>
              <w:t>Aerospace and Defense</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23,444,680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23,147,686</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23,608,793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06/30/2016</w:t>
            </w:r>
          </w:p>
        </w:tc>
        <w:tc>
          <w:tcPr>
            <w:tcW w:w="23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6"/>
              </w:rPr>
              <w:t>Education</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4,248,355</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3,513,586</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3,908,487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MailSouth, Inc.</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05/15/2018</w:t>
            </w:r>
          </w:p>
        </w:tc>
        <w:tc>
          <w:tcPr>
            <w:tcW w:w="23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7"/>
              </w:rPr>
              <w:t>Printing and Publishing</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14.50%</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15,000,000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14,550,234</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MedQuist, Inc.</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10/15/2016</w:t>
            </w:r>
          </w:p>
        </w:tc>
        <w:tc>
          <w:tcPr>
            <w:tcW w:w="23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13.00%</w:t>
            </w:r>
            <w:r>
              <w:rPr>
                <w:rFonts w:ascii="Arial" w:cs="Arial" w:eastAsia="Arial" w:hAnsi="Arial"/>
                <w:sz w:val="17"/>
                <w:szCs w:val="17"/>
                <w:color w:val="auto"/>
                <w:vertAlign w:val="superscript"/>
              </w:rPr>
              <w:t>(6)</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19,000,000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18,442,542</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18,620,000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Technologies, Inc.</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05/12/2017</w:t>
            </w:r>
          </w:p>
        </w:tc>
        <w:tc>
          <w:tcPr>
            <w:tcW w:w="23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3"/>
              </w:rPr>
              <w:t>Aerospace and Defense</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14.02%</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16,785,000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16,368,574</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16,785,000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04/15/2015</w:t>
            </w:r>
          </w:p>
        </w:tc>
        <w:tc>
          <w:tcPr>
            <w:tcW w:w="23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Buildings and Real Estate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12.38%</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10,000,000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9,093,958</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9,325,000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12/29/2015</w:t>
            </w:r>
          </w:p>
        </w:tc>
        <w:tc>
          <w:tcPr>
            <w:tcW w:w="23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11,795,903</w:t>
            </w:r>
          </w:p>
        </w:tc>
        <w:tc>
          <w:tcPr>
            <w:tcW w:w="94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11,444,373</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11,913,862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gridSpan w:val="2"/>
          </w:tcPr>
          <w:p>
            <w:pPr>
              <w:spacing w:after="0" w:line="138" w:lineRule="exact"/>
              <w:rPr>
                <w:sz w:val="20"/>
                <w:szCs w:val="20"/>
                <w:color w:val="auto"/>
              </w:rPr>
            </w:pPr>
            <w:r>
              <w:rPr>
                <w:rFonts w:ascii="Arial" w:cs="Arial" w:eastAsia="Arial" w:hAnsi="Arial"/>
                <w:sz w:val="14"/>
                <w:szCs w:val="14"/>
                <w:color w:val="auto"/>
              </w:rPr>
              <w:t>UP Support Services, Inc.</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17.00%</w:t>
            </w:r>
            <w:r>
              <w:rPr>
                <w:rFonts w:ascii="Arial" w:cs="Arial" w:eastAsia="Arial" w:hAnsi="Arial"/>
                <w:sz w:val="22"/>
                <w:szCs w:val="22"/>
                <w:color w:val="auto"/>
                <w:vertAlign w:val="superscript"/>
              </w:rPr>
              <w:t>(6)</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(formerly UP Acquisition Sub Inc.)</w:t>
            </w:r>
          </w:p>
        </w:tc>
        <w:tc>
          <w:tcPr>
            <w:tcW w:w="108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02/08/2015</w:t>
            </w:r>
          </w:p>
        </w:tc>
        <w:tc>
          <w:tcPr>
            <w:tcW w:w="234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9"/>
              </w:rPr>
              <w:t>Oil and Gas</w:t>
            </w:r>
          </w:p>
        </w:tc>
        <w:tc>
          <w:tcPr>
            <w:tcW w:w="860" w:type="dxa"/>
            <w:vAlign w:val="bottom"/>
            <w:gridSpan w:val="2"/>
            <w:vMerge w:val="continue"/>
          </w:tcPr>
          <w:p>
            <w:pPr>
              <w:spacing w:after="0"/>
              <w:rPr>
                <w:sz w:val="13"/>
                <w:szCs w:val="13"/>
                <w:color w:val="auto"/>
              </w:rPr>
            </w:pP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22,918,640</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22,488,701</w:t>
            </w:r>
          </w:p>
        </w:tc>
        <w:tc>
          <w:tcPr>
            <w:tcW w:w="160" w:type="dxa"/>
            <w:vAlign w:val="bottom"/>
          </w:tcPr>
          <w:p>
            <w:pPr>
              <w:spacing w:after="0"/>
              <w:rPr>
                <w:sz w:val="13"/>
                <w:szCs w:val="13"/>
                <w:color w:val="auto"/>
              </w:rPr>
            </w:pPr>
          </w:p>
        </w:tc>
        <w:tc>
          <w:tcPr>
            <w:tcW w:w="8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22,918,640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Veritext Corp.</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12/31/2015</w:t>
            </w:r>
          </w:p>
        </w:tc>
        <w:tc>
          <w:tcPr>
            <w:tcW w:w="23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15,000,000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14,648,375</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12/31/2012</w:t>
            </w:r>
          </w:p>
        </w:tc>
        <w:tc>
          <w:tcPr>
            <w:tcW w:w="23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12,000,000</w:t>
            </w:r>
          </w:p>
        </w:tc>
        <w:tc>
          <w:tcPr>
            <w:tcW w:w="94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11,700,000</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tcBorders>
              <w:top w:val="single" w:sz="8" w:color="auto"/>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249,922,138</w:t>
            </w:r>
          </w:p>
        </w:tc>
        <w:tc>
          <w:tcPr>
            <w:tcW w:w="160" w:type="dxa"/>
            <w:vAlign w:val="bottom"/>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259,698,251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Equity/Partnership Interests—3.2%</w:t>
            </w:r>
            <w:r>
              <w:rPr>
                <w:rFonts w:ascii="Arial" w:cs="Arial" w:eastAsia="Arial" w:hAnsi="Arial"/>
                <w:sz w:val="18"/>
                <w:szCs w:val="18"/>
                <w:b w:val="1"/>
                <w:bCs w:val="1"/>
                <w:color w:val="auto"/>
                <w:vertAlign w:val="superscript"/>
              </w:rPr>
              <w:t>(7)</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AHC Mezzanine, LLC (Advanstar Inc.)</w:t>
            </w:r>
          </w:p>
        </w:tc>
        <w:tc>
          <w:tcPr>
            <w:tcW w:w="3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23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Other Media</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319</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318,896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 Class A</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320" w:type="dxa"/>
            <w:vAlign w:val="bottom"/>
          </w:tcPr>
          <w:p>
            <w:pPr>
              <w:spacing w:after="0"/>
              <w:rPr>
                <w:sz w:val="13"/>
                <w:szCs w:val="13"/>
                <w:color w:val="auto"/>
              </w:rPr>
            </w:pPr>
          </w:p>
        </w:tc>
        <w:tc>
          <w:tcPr>
            <w:tcW w:w="7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9"/>
              </w:rPr>
              <w:t>—</w:t>
            </w:r>
          </w:p>
        </w:tc>
        <w:tc>
          <w:tcPr>
            <w:tcW w:w="234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3"/>
              </w:rPr>
              <w:t>Aerospace and Defense</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12.00%</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834</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833,997</w:t>
            </w:r>
          </w:p>
        </w:tc>
        <w:tc>
          <w:tcPr>
            <w:tcW w:w="160" w:type="dxa"/>
            <w:vAlign w:val="bottom"/>
          </w:tcPr>
          <w:p>
            <w:pPr>
              <w:spacing w:after="0"/>
              <w:rPr>
                <w:sz w:val="13"/>
                <w:szCs w:val="13"/>
                <w:color w:val="auto"/>
              </w:rPr>
            </w:pPr>
          </w:p>
        </w:tc>
        <w:tc>
          <w:tcPr>
            <w:tcW w:w="8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1,140,554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6"/>
              </w:rPr>
              <w:t>CT Technologies Holdings, LLC (CT Technologies Intermediate</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Holdings, Inc.)</w:t>
            </w:r>
          </w:p>
        </w:tc>
        <w:tc>
          <w:tcPr>
            <w:tcW w:w="3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99"/>
              </w:rPr>
              <w:t>—</w:t>
            </w:r>
          </w:p>
        </w:tc>
        <w:tc>
          <w:tcPr>
            <w:tcW w:w="2340" w:type="dxa"/>
            <w:vAlign w:val="bottom"/>
            <w:gridSpan w:val="3"/>
            <w:shd w:val="clear" w:color="auto" w:fill="CCEEFF"/>
          </w:tcPr>
          <w:p>
            <w:pPr>
              <w:jc w:val="center"/>
              <w:ind w:right="80"/>
              <w:spacing w:after="0" w:line="15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9.00%</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144,376</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144,376</w:t>
            </w:r>
          </w:p>
        </w:tc>
        <w:tc>
          <w:tcPr>
            <w:tcW w:w="16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152,344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3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23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3"/>
              </w:rPr>
              <w:t>Aerospace and Defense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4,137,240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4,137,240</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4,886,133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Tech Holdings, Inc. Series A-1</w:t>
            </w:r>
          </w:p>
        </w:tc>
        <w:tc>
          <w:tcPr>
            <w:tcW w:w="3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23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3"/>
              </w:rPr>
              <w:t>Aerospace and Defense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8.00%</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1,980,000</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320" w:type="dxa"/>
            <w:vAlign w:val="bottom"/>
          </w:tcPr>
          <w:p>
            <w:pPr>
              <w:spacing w:after="0"/>
              <w:rPr>
                <w:sz w:val="13"/>
                <w:szCs w:val="13"/>
                <w:color w:val="auto"/>
              </w:rPr>
            </w:pPr>
          </w:p>
        </w:tc>
        <w:tc>
          <w:tcPr>
            <w:tcW w:w="7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9"/>
              </w:rPr>
              <w:t>—</w:t>
            </w:r>
          </w:p>
        </w:tc>
        <w:tc>
          <w:tcPr>
            <w:tcW w:w="860" w:type="dxa"/>
            <w:vAlign w:val="bottom"/>
          </w:tcPr>
          <w:p>
            <w:pPr>
              <w:spacing w:after="0"/>
              <w:rPr>
                <w:sz w:val="13"/>
                <w:szCs w:val="13"/>
                <w:color w:val="auto"/>
              </w:rPr>
            </w:pPr>
          </w:p>
        </w:tc>
        <w:tc>
          <w:tcPr>
            <w:tcW w:w="1480" w:type="dxa"/>
            <w:vAlign w:val="bottom"/>
            <w:gridSpan w:val="2"/>
          </w:tcPr>
          <w:p>
            <w:pPr>
              <w:jc w:val="center"/>
              <w:ind w:right="940"/>
              <w:spacing w:after="0" w:line="159" w:lineRule="exact"/>
              <w:rPr>
                <w:sz w:val="20"/>
                <w:szCs w:val="20"/>
                <w:color w:val="auto"/>
              </w:rPr>
            </w:pPr>
            <w:r>
              <w:rPr>
                <w:rFonts w:ascii="Arial" w:cs="Arial" w:eastAsia="Arial" w:hAnsi="Arial"/>
                <w:sz w:val="14"/>
                <w:szCs w:val="14"/>
                <w:color w:val="auto"/>
                <w:w w:val="87"/>
              </w:rPr>
              <w:t>Insurance</w:t>
            </w: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686</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685,820</w:t>
            </w:r>
          </w:p>
        </w:tc>
        <w:tc>
          <w:tcPr>
            <w:tcW w:w="160" w:type="dxa"/>
            <w:vAlign w:val="bottom"/>
          </w:tcPr>
          <w:p>
            <w:pPr>
              <w:spacing w:after="0"/>
              <w:rPr>
                <w:sz w:val="13"/>
                <w:szCs w:val="13"/>
                <w:color w:val="auto"/>
              </w:rPr>
            </w:pPr>
          </w:p>
        </w:tc>
        <w:tc>
          <w:tcPr>
            <w:tcW w:w="8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3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99"/>
              </w:rPr>
              <w:t>—</w:t>
            </w:r>
          </w:p>
        </w:tc>
        <w:tc>
          <w:tcPr>
            <w:tcW w:w="8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940"/>
              <w:spacing w:after="0" w:line="159" w:lineRule="exact"/>
              <w:rPr>
                <w:sz w:val="20"/>
                <w:szCs w:val="20"/>
                <w:color w:val="auto"/>
              </w:rPr>
            </w:pPr>
            <w:r>
              <w:rPr>
                <w:rFonts w:ascii="Arial" w:cs="Arial" w:eastAsia="Arial" w:hAnsi="Arial"/>
                <w:sz w:val="14"/>
                <w:szCs w:val="14"/>
                <w:color w:val="auto"/>
                <w:w w:val="87"/>
              </w:rPr>
              <w:t>Insurance</w:t>
            </w:r>
          </w:p>
        </w:tc>
        <w:tc>
          <w:tcPr>
            <w:tcW w:w="8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6.50%</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1,312</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16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1,517,380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gridSpan w:val="2"/>
          </w:tcPr>
          <w:p>
            <w:pPr>
              <w:spacing w:after="0" w:line="138" w:lineRule="exact"/>
              <w:rPr>
                <w:sz w:val="20"/>
                <w:szCs w:val="20"/>
                <w:color w:val="auto"/>
              </w:rPr>
            </w:pPr>
            <w:r>
              <w:rPr>
                <w:rFonts w:ascii="Arial" w:cs="Arial" w:eastAsia="Arial" w:hAnsi="Arial"/>
                <w:sz w:val="14"/>
                <w:szCs w:val="14"/>
                <w:color w:val="auto"/>
              </w:rPr>
              <w:t>Universal Pegasus International, Inc.</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(formerly UP Holdings Inc.)</w:t>
            </w:r>
          </w:p>
        </w:tc>
        <w:tc>
          <w:tcPr>
            <w:tcW w:w="320" w:type="dxa"/>
            <w:vAlign w:val="bottom"/>
          </w:tcPr>
          <w:p>
            <w:pPr>
              <w:spacing w:after="0"/>
              <w:rPr>
                <w:sz w:val="13"/>
                <w:szCs w:val="13"/>
                <w:color w:val="auto"/>
              </w:rPr>
            </w:pPr>
          </w:p>
        </w:tc>
        <w:tc>
          <w:tcPr>
            <w:tcW w:w="7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9"/>
              </w:rPr>
              <w:t>—</w:t>
            </w:r>
          </w:p>
        </w:tc>
        <w:tc>
          <w:tcPr>
            <w:tcW w:w="234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9"/>
              </w:rPr>
              <w:t>Oil and Gas</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8.00%</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101,175</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2,738,050</w:t>
            </w:r>
          </w:p>
        </w:tc>
        <w:tc>
          <w:tcPr>
            <w:tcW w:w="160" w:type="dxa"/>
            <w:vAlign w:val="bottom"/>
          </w:tcPr>
          <w:p>
            <w:pPr>
              <w:spacing w:after="0"/>
              <w:rPr>
                <w:sz w:val="13"/>
                <w:szCs w:val="13"/>
                <w:color w:val="auto"/>
              </w:rPr>
            </w:pPr>
          </w:p>
        </w:tc>
        <w:tc>
          <w:tcPr>
            <w:tcW w:w="8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578,136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Verde Parent Holdings, Inc. (VPSI, Inc.)</w:t>
            </w:r>
          </w:p>
        </w:tc>
        <w:tc>
          <w:tcPr>
            <w:tcW w:w="3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23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6"/>
              </w:rPr>
              <w:t>Personal Transportation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8.00%</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1,824,167</w:t>
            </w: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1,824,167</w:t>
            </w:r>
          </w:p>
        </w:tc>
        <w:tc>
          <w:tcPr>
            <w:tcW w:w="160" w:type="dxa"/>
            <w:vAlign w:val="bottom"/>
            <w:shd w:val="clear" w:color="auto" w:fill="CCEEFF"/>
          </w:tcPr>
          <w:p>
            <w:pPr>
              <w:spacing w:after="0"/>
              <w:rPr>
                <w:sz w:val="12"/>
                <w:szCs w:val="12"/>
                <w:color w:val="auto"/>
              </w:rPr>
            </w:pPr>
          </w:p>
        </w:tc>
        <w:tc>
          <w:tcPr>
            <w:tcW w:w="8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1,824,167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8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13,974,552</w:t>
            </w:r>
          </w:p>
        </w:tc>
        <w:tc>
          <w:tcPr>
            <w:tcW w:w="160" w:type="dxa"/>
            <w:vAlign w:val="bottom"/>
          </w:tcPr>
          <w:p>
            <w:pPr>
              <w:spacing w:after="0"/>
              <w:rPr>
                <w:sz w:val="14"/>
                <w:szCs w:val="14"/>
                <w:color w:val="auto"/>
              </w:rPr>
            </w:pPr>
          </w:p>
        </w:tc>
        <w:tc>
          <w:tcPr>
            <w:tcW w:w="8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12,784,534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Equity/Warrants/Partnership Interests—10.4%</w:t>
            </w:r>
            <w:r>
              <w:rPr>
                <w:rFonts w:ascii="Arial" w:cs="Arial" w:eastAsia="Arial" w:hAnsi="Arial"/>
                <w:sz w:val="17"/>
                <w:szCs w:val="17"/>
                <w:b w:val="1"/>
                <w:bCs w:val="1"/>
                <w:color w:val="auto"/>
                <w:vertAlign w:val="superscript"/>
              </w:rPr>
              <w:t>(7)</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CEA Autumn Management, L.L.C.</w:t>
            </w:r>
          </w:p>
        </w:tc>
        <w:tc>
          <w:tcPr>
            <w:tcW w:w="3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23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6"/>
              </w:rPr>
              <w:t>Broadcasting and Entertainment</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1,333</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3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99"/>
              </w:rPr>
              <w:t>—</w:t>
            </w:r>
          </w:p>
        </w:tc>
        <w:tc>
          <w:tcPr>
            <w:tcW w:w="2340" w:type="dxa"/>
            <w:vAlign w:val="bottom"/>
            <w:gridSpan w:val="3"/>
            <w:shd w:val="clear" w:color="auto" w:fill="CCEEFF"/>
          </w:tcPr>
          <w:p>
            <w:pPr>
              <w:jc w:val="center"/>
              <w:ind w:right="80"/>
              <w:spacing w:after="0" w:line="159" w:lineRule="exact"/>
              <w:rPr>
                <w:sz w:val="20"/>
                <w:szCs w:val="20"/>
                <w:color w:val="auto"/>
              </w:rPr>
            </w:pPr>
            <w:r>
              <w:rPr>
                <w:rFonts w:ascii="Arial" w:cs="Arial" w:eastAsia="Arial" w:hAnsi="Arial"/>
                <w:sz w:val="14"/>
                <w:szCs w:val="14"/>
                <w:color w:val="auto"/>
                <w:w w:val="83"/>
              </w:rPr>
              <w:t>Aerospace and Defense</w:t>
            </w:r>
          </w:p>
        </w:tc>
        <w:tc>
          <w:tcPr>
            <w:tcW w:w="86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1,702</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17,020</w:t>
            </w:r>
          </w:p>
        </w:tc>
        <w:tc>
          <w:tcPr>
            <w:tcW w:w="16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456,745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gridSpan w:val="2"/>
          </w:tcPr>
          <w:p>
            <w:pPr>
              <w:spacing w:after="0" w:line="138" w:lineRule="exact"/>
              <w:rPr>
                <w:sz w:val="20"/>
                <w:szCs w:val="20"/>
                <w:color w:val="auto"/>
              </w:rPr>
            </w:pPr>
            <w:r>
              <w:rPr>
                <w:rFonts w:ascii="Arial" w:cs="Arial" w:eastAsia="Arial" w:hAnsi="Arial"/>
                <w:sz w:val="14"/>
                <w:szCs w:val="14"/>
                <w:color w:val="auto"/>
                <w:w w:val="96"/>
              </w:rPr>
              <w:t>CT Technologies Holdings, LLC (CT Technologies Intermediate</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 Inc.)</w:t>
            </w:r>
          </w:p>
        </w:tc>
        <w:tc>
          <w:tcPr>
            <w:tcW w:w="320" w:type="dxa"/>
            <w:vAlign w:val="bottom"/>
          </w:tcPr>
          <w:p>
            <w:pPr>
              <w:spacing w:after="0"/>
              <w:rPr>
                <w:sz w:val="13"/>
                <w:szCs w:val="13"/>
                <w:color w:val="auto"/>
              </w:rPr>
            </w:pPr>
          </w:p>
        </w:tc>
        <w:tc>
          <w:tcPr>
            <w:tcW w:w="7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9"/>
              </w:rPr>
              <w:t>—</w:t>
            </w:r>
          </w:p>
        </w:tc>
        <w:tc>
          <w:tcPr>
            <w:tcW w:w="234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5,556</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3,200,000</w:t>
            </w:r>
          </w:p>
        </w:tc>
        <w:tc>
          <w:tcPr>
            <w:tcW w:w="160" w:type="dxa"/>
            <w:vAlign w:val="bottom"/>
          </w:tcPr>
          <w:p>
            <w:pPr>
              <w:spacing w:after="0"/>
              <w:rPr>
                <w:sz w:val="13"/>
                <w:szCs w:val="13"/>
                <w:color w:val="auto"/>
              </w:rPr>
            </w:pPr>
          </w:p>
        </w:tc>
        <w:tc>
          <w:tcPr>
            <w:tcW w:w="8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8,859,057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w:t>
            </w:r>
          </w:p>
        </w:tc>
        <w:tc>
          <w:tcPr>
            <w:tcW w:w="3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23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Environmental Services</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24,375</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1,506,075</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1,941,369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 (Warrants)</w:t>
            </w:r>
          </w:p>
        </w:tc>
        <w:tc>
          <w:tcPr>
            <w:tcW w:w="3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23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8"/>
              </w:rPr>
              <w:t>Environmental Services</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49,005</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3,027,906</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3,902,557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3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23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3"/>
              </w:rPr>
              <w:t>Aerospace and Defense</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457,322</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454,030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gridSpan w:val="2"/>
          </w:tcPr>
          <w:p>
            <w:pPr>
              <w:spacing w:after="0" w:line="138" w:lineRule="exact"/>
              <w:rPr>
                <w:sz w:val="20"/>
                <w:szCs w:val="20"/>
                <w:color w:val="auto"/>
              </w:rPr>
            </w:pPr>
            <w:r>
              <w:rPr>
                <w:rFonts w:ascii="Arial" w:cs="Arial" w:eastAsia="Arial" w:hAnsi="Arial"/>
                <w:sz w:val="14"/>
                <w:szCs w:val="14"/>
                <w:color w:val="auto"/>
              </w:rPr>
              <w:t>Kadmon Holdings, L.L.C., Class A</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(Three Rivers Pharmaceutical, L.L.C.)</w:t>
            </w:r>
          </w:p>
        </w:tc>
        <w:tc>
          <w:tcPr>
            <w:tcW w:w="320" w:type="dxa"/>
            <w:vAlign w:val="bottom"/>
          </w:tcPr>
          <w:p>
            <w:pPr>
              <w:spacing w:after="0"/>
              <w:rPr>
                <w:sz w:val="13"/>
                <w:szCs w:val="13"/>
                <w:color w:val="auto"/>
              </w:rPr>
            </w:pPr>
          </w:p>
        </w:tc>
        <w:tc>
          <w:tcPr>
            <w:tcW w:w="7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9"/>
              </w:rPr>
              <w:t>—</w:t>
            </w:r>
          </w:p>
        </w:tc>
        <w:tc>
          <w:tcPr>
            <w:tcW w:w="234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6"/>
              </w:rPr>
              <w:t>Healthcare, Education and Childcare</w:t>
            </w: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10,799</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1,236,832</w:t>
            </w:r>
          </w:p>
        </w:tc>
        <w:tc>
          <w:tcPr>
            <w:tcW w:w="160" w:type="dxa"/>
            <w:vAlign w:val="bottom"/>
          </w:tcPr>
          <w:p>
            <w:pPr>
              <w:spacing w:after="0"/>
              <w:rPr>
                <w:sz w:val="13"/>
                <w:szCs w:val="13"/>
                <w:color w:val="auto"/>
              </w:rPr>
            </w:pPr>
          </w:p>
        </w:tc>
        <w:tc>
          <w:tcPr>
            <w:tcW w:w="8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1,492,826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Kadmon Holdings, L.L.C., Class D</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(Three Rivers Pharmaceutical, L.L.C.)</w:t>
            </w:r>
          </w:p>
        </w:tc>
        <w:tc>
          <w:tcPr>
            <w:tcW w:w="3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99"/>
              </w:rPr>
              <w:t>—</w:t>
            </w:r>
          </w:p>
        </w:tc>
        <w:tc>
          <w:tcPr>
            <w:tcW w:w="2340" w:type="dxa"/>
            <w:vAlign w:val="bottom"/>
            <w:gridSpan w:val="3"/>
            <w:shd w:val="clear" w:color="auto" w:fill="CCEEFF"/>
          </w:tcPr>
          <w:p>
            <w:pPr>
              <w:jc w:val="center"/>
              <w:ind w:right="80"/>
              <w:spacing w:after="0" w:line="159" w:lineRule="exact"/>
              <w:rPr>
                <w:sz w:val="20"/>
                <w:szCs w:val="20"/>
                <w:color w:val="auto"/>
              </w:rPr>
            </w:pPr>
            <w:r>
              <w:rPr>
                <w:rFonts w:ascii="Arial" w:cs="Arial" w:eastAsia="Arial" w:hAnsi="Arial"/>
                <w:sz w:val="14"/>
                <w:szCs w:val="14"/>
                <w:color w:val="auto"/>
                <w:w w:val="86"/>
              </w:rPr>
              <w:t>Healthcare, Education and Childcare</w:t>
            </w:r>
          </w:p>
        </w:tc>
        <w:tc>
          <w:tcPr>
            <w:tcW w:w="86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10,799</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1,028,807</w:t>
            </w:r>
          </w:p>
        </w:tc>
        <w:tc>
          <w:tcPr>
            <w:tcW w:w="16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1,028,807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04/27/2020</w:t>
            </w:r>
          </w:p>
        </w:tc>
        <w:tc>
          <w:tcPr>
            <w:tcW w:w="23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6"/>
              </w:rPr>
              <w:t>Education</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1,267</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779,920</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613,467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3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23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9"/>
              </w:rPr>
              <w:t>Oil and Gas</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1,055,932</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2,464,999</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7,644,948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Basis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Point</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Spread</w:t>
            </w:r>
          </w:p>
        </w:tc>
        <w:tc>
          <w:tcPr>
            <w:tcW w:w="180" w:type="dxa"/>
            <w:vAlign w:val="bottom"/>
          </w:tcPr>
          <w:p>
            <w:pPr>
              <w:spacing w:after="0"/>
              <w:rPr>
                <w:sz w:val="12"/>
                <w:szCs w:val="12"/>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0"/>
              </w:rPr>
              <w:t>Current</w:t>
            </w: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Above</w:t>
            </w:r>
          </w:p>
        </w:tc>
        <w:tc>
          <w:tcPr>
            <w:tcW w:w="1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Maturity</w:t>
            </w:r>
          </w:p>
        </w:tc>
        <w:tc>
          <w:tcPr>
            <w:tcW w:w="860" w:type="dxa"/>
            <w:vAlign w:val="bottom"/>
          </w:tcPr>
          <w:p>
            <w:pPr>
              <w:spacing w:after="0"/>
              <w:rPr>
                <w:sz w:val="14"/>
                <w:szCs w:val="14"/>
                <w:color w:val="auto"/>
              </w:rPr>
            </w:pPr>
          </w:p>
        </w:tc>
        <w:tc>
          <w:tcPr>
            <w:tcW w:w="14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680" w:type="dxa"/>
            <w:vAlign w:val="bottom"/>
            <w:gridSpan w:val="2"/>
          </w:tcPr>
          <w:p>
            <w:pPr>
              <w:jc w:val="center"/>
              <w:ind w:right="220"/>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1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center"/>
              <w:ind w:right="24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Tech Holdings, Inc.</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w:t>
            </w:r>
          </w:p>
        </w:tc>
        <w:tc>
          <w:tcPr>
            <w:tcW w:w="22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   20,000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6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A</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100" w:type="dxa"/>
            <w:vAlign w:val="bottom"/>
          </w:tcPr>
          <w:p>
            <w:pPr>
              <w:spacing w:after="0"/>
              <w:rPr>
                <w:sz w:val="13"/>
                <w:szCs w:val="13"/>
                <w:color w:val="auto"/>
              </w:rPr>
            </w:pPr>
          </w:p>
        </w:tc>
        <w:tc>
          <w:tcPr>
            <w:tcW w:w="68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85"/>
              </w:rPr>
              <w:t>—</w:t>
            </w:r>
          </w:p>
        </w:tc>
        <w:tc>
          <w:tcPr>
            <w:tcW w:w="226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4,325</w:t>
            </w:r>
          </w:p>
        </w:tc>
        <w:tc>
          <w:tcPr>
            <w:tcW w:w="10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1,306,167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1,487,339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B</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5"/>
              </w:rPr>
              <w:t>—</w:t>
            </w:r>
          </w:p>
        </w:tc>
        <w:tc>
          <w:tcPr>
            <w:tcW w:w="226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531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182,607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6"/>
              </w:rPr>
              <w:t>12/29/2019</w:t>
            </w:r>
          </w:p>
        </w:tc>
        <w:tc>
          <w:tcPr>
            <w:tcW w:w="22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3,500</w:t>
            </w:r>
          </w:p>
        </w:tc>
        <w:tc>
          <w:tcPr>
            <w:tcW w:w="10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29,400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957,408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5"/>
              </w:rPr>
              <w:t>—</w:t>
            </w:r>
          </w:p>
        </w:tc>
        <w:tc>
          <w:tcPr>
            <w:tcW w:w="226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6"/>
              </w:rPr>
              <w:t>Cargo Transport</w:t>
            </w:r>
          </w:p>
        </w:tc>
        <w:tc>
          <w:tcPr>
            <w:tcW w:w="86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137,923</w:t>
            </w:r>
          </w:p>
        </w:tc>
        <w:tc>
          <w:tcPr>
            <w:tcW w:w="100" w:type="dxa"/>
            <w:vAlign w:val="bottom"/>
            <w:shd w:val="clear" w:color="auto" w:fill="CCEEFF"/>
          </w:tcPr>
          <w:p>
            <w:pPr>
              <w:spacing w:after="0"/>
              <w:rPr>
                <w:sz w:val="13"/>
                <w:szCs w:val="13"/>
                <w:color w:val="auto"/>
              </w:rPr>
            </w:pPr>
          </w:p>
        </w:tc>
        <w:tc>
          <w:tcPr>
            <w:tcW w:w="840" w:type="dxa"/>
            <w:vAlign w:val="bottom"/>
            <w:gridSpan w:val="4"/>
            <w:shd w:val="clear" w:color="auto" w:fill="CCEEFF"/>
          </w:tcPr>
          <w:p>
            <w:pPr>
              <w:ind w:left="160"/>
              <w:spacing w:after="0" w:line="159" w:lineRule="exact"/>
              <w:rPr>
                <w:sz w:val="20"/>
                <w:szCs w:val="20"/>
                <w:color w:val="auto"/>
              </w:rPr>
            </w:pPr>
            <w:r>
              <w:rPr>
                <w:rFonts w:ascii="Arial" w:cs="Arial" w:eastAsia="Arial" w:hAnsi="Arial"/>
                <w:sz w:val="14"/>
                <w:szCs w:val="14"/>
                <w:color w:val="auto"/>
              </w:rPr>
              <w:t>2,111,588</w:t>
            </w:r>
          </w:p>
        </w:tc>
        <w:tc>
          <w:tcPr>
            <w:tcW w:w="1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4,363,330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w:t>
            </w:r>
          </w:p>
        </w:tc>
        <w:tc>
          <w:tcPr>
            <w:tcW w:w="22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4"/>
              </w:rPr>
              <w:t>Insurance</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9,843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1,421,292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Universal Pegasus International, Inc.</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(formerly UP Holdings Inc.)</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5"/>
              </w:rPr>
              <w:t>—</w:t>
            </w:r>
          </w:p>
        </w:tc>
        <w:tc>
          <w:tcPr>
            <w:tcW w:w="226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6"/>
              </w:rPr>
              <w:t>Oil and Gas</w:t>
            </w:r>
          </w:p>
        </w:tc>
        <w:tc>
          <w:tcPr>
            <w:tcW w:w="86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110,742</w:t>
            </w: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1,107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Verde Parent Holdings, Inc. (VPSI, Inc.)</w:t>
            </w: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w:t>
            </w:r>
          </w:p>
        </w:tc>
        <w:tc>
          <w:tcPr>
            <w:tcW w:w="22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Personal Transportation</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9,166</w:t>
            </w:r>
          </w:p>
        </w:tc>
        <w:tc>
          <w:tcPr>
            <w:tcW w:w="10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9,166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9,166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VText Holdings, Inc. (Veritext Corp.)</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w:t>
            </w:r>
          </w:p>
        </w:tc>
        <w:tc>
          <w:tcPr>
            <w:tcW w:w="22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35,526</w:t>
            </w: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4,050,000</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4,752,486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24,252,860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42,113,404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3"/>
              </w:rPr>
              <w:t>Investments in Non-Controlled, Non-Affiliated Portfolio Companies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tcBorders>
              <w:bottom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$ 651,948,035</w:t>
            </w:r>
          </w:p>
        </w:tc>
        <w:tc>
          <w:tcPr>
            <w:tcW w:w="160" w:type="dxa"/>
            <w:vAlign w:val="bottom"/>
            <w:shd w:val="clear" w:color="auto" w:fill="CCEEFF"/>
          </w:tcPr>
          <w:p>
            <w:pPr>
              <w:spacing w:after="0"/>
              <w:rPr>
                <w:sz w:val="12"/>
                <w:szCs w:val="12"/>
                <w:color w:val="auto"/>
              </w:rPr>
            </w:pPr>
          </w:p>
        </w:tc>
        <w:tc>
          <w:tcPr>
            <w:tcW w:w="800" w:type="dxa"/>
            <w:vAlign w:val="bottom"/>
            <w:tcBorders>
              <w:bottom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$ 680,710,779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gridSpan w:val="5"/>
          </w:tcPr>
          <w:p>
            <w:pPr>
              <w:spacing w:after="0" w:line="156" w:lineRule="exact"/>
              <w:rPr>
                <w:sz w:val="20"/>
                <w:szCs w:val="20"/>
                <w:color w:val="auto"/>
              </w:rPr>
            </w:pPr>
            <w:r>
              <w:rPr>
                <w:rFonts w:ascii="Arial" w:cs="Arial" w:eastAsia="Arial" w:hAnsi="Arial"/>
                <w:sz w:val="12"/>
                <w:szCs w:val="12"/>
                <w:b w:val="1"/>
                <w:bCs w:val="1"/>
                <w:color w:val="auto"/>
              </w:rPr>
              <w:t>Investments in Non-Controlled, Affiliated Portfolio Companies—3.9%</w:t>
            </w:r>
            <w:r>
              <w:rPr>
                <w:rFonts w:ascii="Arial" w:cs="Arial" w:eastAsia="Arial" w:hAnsi="Arial"/>
                <w:sz w:val="18"/>
                <w:szCs w:val="18"/>
                <w:b w:val="1"/>
                <w:bCs w:val="1"/>
                <w:color w:val="auto"/>
                <w:vertAlign w:val="superscript"/>
              </w:rPr>
              <w:t>(1),(2)</w:t>
            </w: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Second Lien Secured Debt—1.9%</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color w:val="auto"/>
                <w:w w:val="97"/>
              </w:rPr>
              <w:t>L+650</w:t>
            </w:r>
            <w:r>
              <w:rPr>
                <w:rFonts w:ascii="Arial" w:cs="Arial" w:eastAsia="Arial" w:hAnsi="Arial"/>
                <w:sz w:val="22"/>
                <w:szCs w:val="22"/>
                <w:color w:val="auto"/>
                <w:w w:val="97"/>
                <w:vertAlign w:val="superscript"/>
              </w:rPr>
              <w:t>(8)</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60" w:type="dxa"/>
            <w:vAlign w:val="bottom"/>
            <w:gridSpan w:val="2"/>
          </w:tcPr>
          <w:p>
            <w:pPr>
              <w:spacing w:after="0" w:line="138" w:lineRule="exact"/>
              <w:rPr>
                <w:sz w:val="20"/>
                <w:szCs w:val="20"/>
                <w:color w:val="auto"/>
              </w:rPr>
            </w:pPr>
            <w:r>
              <w:rPr>
                <w:rFonts w:ascii="Arial" w:cs="Arial" w:eastAsia="Arial" w:hAnsi="Arial"/>
                <w:sz w:val="14"/>
                <w:szCs w:val="14"/>
                <w:color w:val="auto"/>
              </w:rPr>
              <w:t>Performance, Inc.</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w w:val="96"/>
              </w:rPr>
              <w:t>01/16/2015</w:t>
            </w:r>
          </w:p>
        </w:tc>
        <w:tc>
          <w:tcPr>
            <w:tcW w:w="226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8"/>
              </w:rPr>
              <w:t>Leisure, Amusement, Motion Pictures</w:t>
            </w:r>
          </w:p>
        </w:tc>
        <w:tc>
          <w:tcPr>
            <w:tcW w:w="8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7.50%</w:t>
            </w:r>
          </w:p>
        </w:tc>
        <w:tc>
          <w:tcPr>
            <w:tcW w:w="680" w:type="dxa"/>
            <w:vAlign w:val="bottom"/>
            <w:gridSpan w:val="2"/>
            <w:vMerge w:val="continue"/>
          </w:tcPr>
          <w:p>
            <w:pPr>
              <w:spacing w:after="0"/>
              <w:rPr>
                <w:sz w:val="11"/>
                <w:szCs w:val="11"/>
                <w:color w:val="auto"/>
              </w:rPr>
            </w:pPr>
          </w:p>
        </w:tc>
        <w:tc>
          <w:tcPr>
            <w:tcW w:w="86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8,000,000</w:t>
            </w:r>
          </w:p>
        </w:tc>
        <w:tc>
          <w:tcPr>
            <w:tcW w:w="10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8,000,000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7,604,000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7"/>
              </w:rPr>
              <w:t>and Entertainment</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Notes—1.5%</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60" w:type="dxa"/>
            <w:vAlign w:val="bottom"/>
            <w:gridSpan w:val="2"/>
          </w:tcPr>
          <w:p>
            <w:pPr>
              <w:spacing w:after="0" w:line="138" w:lineRule="exact"/>
              <w:rPr>
                <w:sz w:val="20"/>
                <w:szCs w:val="20"/>
                <w:color w:val="auto"/>
              </w:rPr>
            </w:pPr>
            <w:r>
              <w:rPr>
                <w:rFonts w:ascii="Arial" w:cs="Arial" w:eastAsia="Arial" w:hAnsi="Arial"/>
                <w:sz w:val="14"/>
                <w:szCs w:val="14"/>
                <w:color w:val="auto"/>
              </w:rPr>
              <w:t>Performance Holdings, Inc.</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w w:val="96"/>
              </w:rPr>
              <w:t>07/16/2015</w:t>
            </w:r>
          </w:p>
        </w:tc>
        <w:tc>
          <w:tcPr>
            <w:tcW w:w="226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8"/>
              </w:rPr>
              <w:t>Leisure, Amusement, Motion Pictures</w:t>
            </w:r>
          </w:p>
        </w:tc>
        <w:tc>
          <w:tcPr>
            <w:tcW w:w="860" w:type="dxa"/>
            <w:vAlign w:val="bottom"/>
            <w:gridSpan w:val="2"/>
          </w:tcPr>
          <w:p>
            <w:pPr>
              <w:jc w:val="right"/>
              <w:ind w:right="140"/>
              <w:spacing w:after="0" w:line="138" w:lineRule="exact"/>
              <w:rPr>
                <w:sz w:val="20"/>
                <w:szCs w:val="20"/>
                <w:color w:val="auto"/>
              </w:rPr>
            </w:pPr>
            <w:r>
              <w:rPr>
                <w:rFonts w:ascii="Arial" w:cs="Arial" w:eastAsia="Arial" w:hAnsi="Arial"/>
                <w:sz w:val="10"/>
                <w:szCs w:val="10"/>
                <w:color w:val="auto"/>
              </w:rPr>
              <w:t>15.00%</w:t>
            </w:r>
            <w:r>
              <w:rPr>
                <w:rFonts w:ascii="Arial" w:cs="Arial" w:eastAsia="Arial" w:hAnsi="Arial"/>
                <w:sz w:val="15"/>
                <w:szCs w:val="15"/>
                <w:color w:val="auto"/>
                <w:vertAlign w:val="superscript"/>
              </w:rPr>
              <w:t>(6)</w:t>
            </w:r>
          </w:p>
        </w:tc>
        <w:tc>
          <w:tcPr>
            <w:tcW w:w="680" w:type="dxa"/>
            <w:vAlign w:val="bottom"/>
            <w:gridSpan w:val="2"/>
          </w:tcPr>
          <w:p>
            <w:pPr>
              <w:ind w:left="26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6,067,482</w:t>
            </w:r>
          </w:p>
        </w:tc>
        <w:tc>
          <w:tcPr>
            <w:tcW w:w="10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5,891,671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5,976,470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7"/>
              </w:rPr>
              <w:t>and Entertainment</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Equity/Partnership Interest—0.5%</w:t>
            </w:r>
            <w:r>
              <w:rPr>
                <w:rFonts w:ascii="Arial" w:cs="Arial" w:eastAsia="Arial" w:hAnsi="Arial"/>
                <w:sz w:val="17"/>
                <w:szCs w:val="17"/>
                <w:b w:val="1"/>
                <w:bCs w:val="1"/>
                <w:color w:val="auto"/>
                <w:vertAlign w:val="superscript"/>
              </w:rPr>
              <w:t>(7)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6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100" w:type="dxa"/>
            <w:vAlign w:val="bottom"/>
          </w:tcPr>
          <w:p>
            <w:pPr>
              <w:spacing w:after="0"/>
              <w:rPr>
                <w:sz w:val="11"/>
                <w:szCs w:val="11"/>
                <w:color w:val="auto"/>
              </w:rPr>
            </w:pPr>
          </w:p>
        </w:tc>
        <w:tc>
          <w:tcPr>
            <w:tcW w:w="680" w:type="dxa"/>
            <w:vAlign w:val="bottom"/>
            <w:gridSpan w:val="2"/>
          </w:tcPr>
          <w:p>
            <w:pPr>
              <w:jc w:val="center"/>
              <w:ind w:right="160"/>
              <w:spacing w:after="0" w:line="138" w:lineRule="exact"/>
              <w:rPr>
                <w:sz w:val="20"/>
                <w:szCs w:val="20"/>
                <w:color w:val="auto"/>
              </w:rPr>
            </w:pPr>
            <w:r>
              <w:rPr>
                <w:rFonts w:ascii="Arial" w:cs="Arial" w:eastAsia="Arial" w:hAnsi="Arial"/>
                <w:sz w:val="14"/>
                <w:szCs w:val="14"/>
                <w:color w:val="auto"/>
                <w:w w:val="85"/>
              </w:rPr>
              <w:t>—</w:t>
            </w:r>
          </w:p>
        </w:tc>
        <w:tc>
          <w:tcPr>
            <w:tcW w:w="226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8"/>
              </w:rPr>
              <w:t>Leisure, Amusement, Motion Pictures</w:t>
            </w:r>
          </w:p>
        </w:tc>
        <w:tc>
          <w:tcPr>
            <w:tcW w:w="860" w:type="dxa"/>
            <w:vAlign w:val="bottom"/>
            <w:gridSpan w:val="2"/>
          </w:tcPr>
          <w:p>
            <w:pPr>
              <w:jc w:val="right"/>
              <w:ind w:right="46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37,500</w:t>
            </w:r>
          </w:p>
        </w:tc>
        <w:tc>
          <w:tcPr>
            <w:tcW w:w="10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3,750,000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1,977,061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7"/>
              </w:rPr>
              <w:t>and Entertainment</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17,641,671</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15,557,531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Investments in Controlled, Affiliated Portfolio Companies—2.0%</w:t>
            </w:r>
            <w:r>
              <w:rPr>
                <w:rFonts w:ascii="Arial" w:cs="Arial" w:eastAsia="Arial" w:hAnsi="Arial"/>
                <w:sz w:val="18"/>
                <w:szCs w:val="18"/>
                <w:b w:val="1"/>
                <w:bCs w:val="1"/>
                <w:color w:val="auto"/>
                <w:vertAlign w:val="superscript"/>
              </w:rPr>
              <w:t>(1),(2)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First Lien Secured Debt—1.3%</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6"/>
              </w:rPr>
              <w:t>06/30/2020</w:t>
            </w:r>
          </w:p>
        </w:tc>
        <w:tc>
          <w:tcPr>
            <w:tcW w:w="22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4,800,000</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4,800,000</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5,352,000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6"/>
              </w:rPr>
              <w:t>06/30/2020</w:t>
            </w:r>
          </w:p>
        </w:tc>
        <w:tc>
          <w:tcPr>
            <w:tcW w:w="22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1,200,000</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1,200,000</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1,142,398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Equity—0.4%</w:t>
            </w:r>
            <w:r>
              <w:rPr>
                <w:rFonts w:ascii="Arial" w:cs="Arial" w:eastAsia="Arial" w:hAnsi="Arial"/>
                <w:sz w:val="17"/>
                <w:szCs w:val="17"/>
                <w:b w:val="1"/>
                <w:bCs w:val="1"/>
                <w:color w:val="auto"/>
                <w:vertAlign w:val="superscript"/>
              </w:rPr>
              <w:t>(7)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100" w:type="dxa"/>
            <w:vAlign w:val="bottom"/>
          </w:tcPr>
          <w:p>
            <w:pPr>
              <w:spacing w:after="0"/>
              <w:rPr>
                <w:sz w:val="13"/>
                <w:szCs w:val="13"/>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w:t>
            </w:r>
          </w:p>
        </w:tc>
        <w:tc>
          <w:tcPr>
            <w:tcW w:w="22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14.00%</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2,000</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2,000,000</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1,505,602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100" w:type="dxa"/>
            <w:vAlign w:val="bottom"/>
          </w:tcPr>
          <w:p>
            <w:pPr>
              <w:spacing w:after="0"/>
              <w:rPr>
                <w:sz w:val="13"/>
                <w:szCs w:val="13"/>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w:t>
            </w:r>
          </w:p>
        </w:tc>
        <w:tc>
          <w:tcPr>
            <w:tcW w:w="22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Controlled, Affiliated Portfolio Companies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8,000,100</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8,000,100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Investments—174.6%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84"/>
              </w:rPr>
              <w:t>677,589,806</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84"/>
              </w:rPr>
              <w:t>704,268,410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Equivalents—0.7%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3,022,137</w:t>
            </w: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3,022,137</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3,022,137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-2254885</wp:posOffset>
            </wp:positionV>
            <wp:extent cx="7246620" cy="946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6880" w:type="dxa"/>
            <w:vAlign w:val="bottom"/>
            <w:gridSpan w:val="4"/>
          </w:tcPr>
          <w:p>
            <w:pPr>
              <w:jc w:val="center"/>
              <w:ind w:left="816"/>
              <w:spacing w:after="0"/>
              <w:rPr>
                <w:sz w:val="20"/>
                <w:szCs w:val="20"/>
                <w:color w:val="auto"/>
              </w:rPr>
            </w:pPr>
            <w:r>
              <w:rPr>
                <w:rFonts w:ascii="Arial" w:cs="Arial" w:eastAsia="Arial" w:hAnsi="Arial"/>
                <w:sz w:val="18"/>
                <w:szCs w:val="18"/>
                <w:b w:val="1"/>
                <w:bCs w:val="1"/>
                <w:color w:val="auto"/>
                <w:w w:val="97"/>
              </w:rPr>
              <w:t>PENNANTPARK INVESTMENT CORPORATION AND SUBSIDIARIES</w:t>
            </w:r>
          </w:p>
        </w:tc>
      </w:tr>
      <w:tr>
        <w:trPr>
          <w:trHeight w:val="216"/>
        </w:trPr>
        <w:tc>
          <w:tcPr>
            <w:tcW w:w="1820" w:type="dxa"/>
            <w:vAlign w:val="bottom"/>
          </w:tcPr>
          <w:p>
            <w:pPr>
              <w:spacing w:after="0"/>
              <w:rPr>
                <w:sz w:val="18"/>
                <w:szCs w:val="18"/>
                <w:color w:val="auto"/>
              </w:rPr>
            </w:pPr>
          </w:p>
        </w:tc>
        <w:tc>
          <w:tcPr>
            <w:tcW w:w="6880" w:type="dxa"/>
            <w:vAlign w:val="bottom"/>
            <w:gridSpan w:val="4"/>
          </w:tcPr>
          <w:p>
            <w:pPr>
              <w:jc w:val="center"/>
              <w:ind w:left="836"/>
              <w:spacing w:after="0"/>
              <w:rPr>
                <w:sz w:val="20"/>
                <w:szCs w:val="20"/>
                <w:color w:val="auto"/>
              </w:rPr>
            </w:pPr>
            <w:r>
              <w:rPr>
                <w:rFonts w:ascii="Arial" w:cs="Arial" w:eastAsia="Arial" w:hAnsi="Arial"/>
                <w:sz w:val="18"/>
                <w:szCs w:val="18"/>
                <w:b w:val="1"/>
                <w:bCs w:val="1"/>
                <w:color w:val="auto"/>
                <w:w w:val="96"/>
              </w:rPr>
              <w:t>CONSOLIDATED SCHEDULE OF INVESTMENTS—(Continued)</w:t>
            </w:r>
          </w:p>
        </w:tc>
      </w:tr>
      <w:tr>
        <w:trPr>
          <w:trHeight w:val="216"/>
        </w:trPr>
        <w:tc>
          <w:tcPr>
            <w:tcW w:w="1820" w:type="dxa"/>
            <w:vAlign w:val="bottom"/>
          </w:tcPr>
          <w:p>
            <w:pPr>
              <w:spacing w:after="0"/>
              <w:rPr>
                <w:sz w:val="18"/>
                <w:szCs w:val="18"/>
                <w:color w:val="auto"/>
              </w:rPr>
            </w:pPr>
          </w:p>
        </w:tc>
        <w:tc>
          <w:tcPr>
            <w:tcW w:w="5420" w:type="dxa"/>
            <w:vAlign w:val="bottom"/>
            <w:gridSpan w:val="2"/>
          </w:tcPr>
          <w:p>
            <w:pPr>
              <w:jc w:val="center"/>
              <w:ind w:left="2296"/>
              <w:spacing w:after="0"/>
              <w:rPr>
                <w:sz w:val="20"/>
                <w:szCs w:val="20"/>
                <w:color w:val="auto"/>
              </w:rPr>
            </w:pPr>
            <w:r>
              <w:rPr>
                <w:rFonts w:ascii="Arial" w:cs="Arial" w:eastAsia="Arial" w:hAnsi="Arial"/>
                <w:sz w:val="18"/>
                <w:szCs w:val="18"/>
                <w:b w:val="1"/>
                <w:bCs w:val="1"/>
                <w:color w:val="auto"/>
                <w:w w:val="94"/>
              </w:rPr>
              <w:t>DECEMBER 31, 2010</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8"/>
        </w:trPr>
        <w:tc>
          <w:tcPr>
            <w:tcW w:w="1820" w:type="dxa"/>
            <w:vAlign w:val="bottom"/>
          </w:tcPr>
          <w:p>
            <w:pPr>
              <w:spacing w:after="0"/>
              <w:rPr>
                <w:sz w:val="19"/>
                <w:szCs w:val="19"/>
                <w:color w:val="auto"/>
              </w:rPr>
            </w:pPr>
          </w:p>
        </w:tc>
        <w:tc>
          <w:tcPr>
            <w:tcW w:w="4480" w:type="dxa"/>
            <w:vAlign w:val="bottom"/>
          </w:tcPr>
          <w:p>
            <w:pPr>
              <w:jc w:val="center"/>
              <w:ind w:left="3216"/>
              <w:spacing w:after="0"/>
              <w:rPr>
                <w:sz w:val="20"/>
                <w:szCs w:val="20"/>
                <w:color w:val="auto"/>
              </w:rPr>
            </w:pPr>
            <w:r>
              <w:rPr>
                <w:rFonts w:ascii="Arial" w:cs="Arial" w:eastAsia="Arial" w:hAnsi="Arial"/>
                <w:sz w:val="18"/>
                <w:szCs w:val="18"/>
                <w:b w:val="1"/>
                <w:bCs w:val="1"/>
                <w:color w:val="auto"/>
                <w:w w:val="89"/>
              </w:rPr>
              <w:t>(Unaudited)</w:t>
            </w: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86"/>
        </w:trPr>
        <w:tc>
          <w:tcPr>
            <w:tcW w:w="18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jc w:val="center"/>
              <w:ind w:left="32"/>
              <w:spacing w:after="0"/>
              <w:rPr>
                <w:sz w:val="20"/>
                <w:szCs w:val="20"/>
                <w:color w:val="auto"/>
              </w:rPr>
            </w:pPr>
            <w:r>
              <w:rPr>
                <w:rFonts w:ascii="Arial" w:cs="Arial" w:eastAsia="Arial" w:hAnsi="Arial"/>
                <w:sz w:val="14"/>
                <w:szCs w:val="14"/>
                <w:b w:val="1"/>
                <w:bCs w:val="1"/>
                <w:color w:val="auto"/>
                <w:w w:val="80"/>
              </w:rPr>
              <w:t>Basis</w:t>
            </w:r>
          </w:p>
        </w:tc>
      </w:tr>
      <w:tr>
        <w:trPr>
          <w:trHeight w:val="149"/>
        </w:trPr>
        <w:tc>
          <w:tcPr>
            <w:tcW w:w="18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5"/>
              </w:rPr>
              <w:t>Point</w:t>
            </w:r>
          </w:p>
        </w:tc>
      </w:tr>
      <w:tr>
        <w:trPr>
          <w:trHeight w:val="149"/>
        </w:trPr>
        <w:tc>
          <w:tcPr>
            <w:tcW w:w="18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Spread</w:t>
            </w:r>
          </w:p>
        </w:tc>
      </w:tr>
      <w:tr>
        <w:trPr>
          <w:trHeight w:val="134"/>
        </w:trPr>
        <w:tc>
          <w:tcPr>
            <w:tcW w:w="18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ind w:left="320"/>
              <w:spacing w:after="0" w:line="135" w:lineRule="exact"/>
              <w:rPr>
                <w:sz w:val="20"/>
                <w:szCs w:val="20"/>
                <w:color w:val="auto"/>
              </w:rPr>
            </w:pPr>
            <w:r>
              <w:rPr>
                <w:rFonts w:ascii="Arial" w:cs="Arial" w:eastAsia="Arial" w:hAnsi="Arial"/>
                <w:sz w:val="14"/>
                <w:szCs w:val="14"/>
                <w:b w:val="1"/>
                <w:bCs w:val="1"/>
                <w:color w:val="auto"/>
              </w:rPr>
              <w:t>Current</w:t>
            </w:r>
          </w:p>
        </w:tc>
        <w:tc>
          <w:tcPr>
            <w:tcW w:w="560" w:type="dxa"/>
            <w:vAlign w:val="bottom"/>
          </w:tcPr>
          <w:p>
            <w:pPr>
              <w:jc w:val="center"/>
              <w:ind w:left="32"/>
              <w:spacing w:after="0" w:line="135" w:lineRule="exact"/>
              <w:rPr>
                <w:sz w:val="20"/>
                <w:szCs w:val="20"/>
                <w:color w:val="auto"/>
              </w:rPr>
            </w:pPr>
            <w:r>
              <w:rPr>
                <w:rFonts w:ascii="Arial" w:cs="Arial" w:eastAsia="Arial" w:hAnsi="Arial"/>
                <w:sz w:val="14"/>
                <w:szCs w:val="14"/>
                <w:b w:val="1"/>
                <w:bCs w:val="1"/>
                <w:color w:val="auto"/>
                <w:w w:val="88"/>
              </w:rPr>
              <w:t>Above</w:t>
            </w:r>
          </w:p>
        </w:tc>
      </w:tr>
      <w:tr>
        <w:trPr>
          <w:trHeight w:val="190"/>
        </w:trPr>
        <w:tc>
          <w:tcPr>
            <w:tcW w:w="1820" w:type="dxa"/>
            <w:vAlign w:val="bottom"/>
          </w:tcPr>
          <w:p>
            <w:pPr>
              <w:spacing w:after="0"/>
              <w:rPr>
                <w:sz w:val="20"/>
                <w:szCs w:val="20"/>
                <w:color w:val="auto"/>
              </w:rPr>
            </w:pPr>
            <w:r>
              <w:rPr>
                <w:rFonts w:ascii="Arial" w:cs="Arial" w:eastAsia="Arial" w:hAnsi="Arial"/>
                <w:sz w:val="14"/>
                <w:szCs w:val="14"/>
                <w:b w:val="1"/>
                <w:bCs w:val="1"/>
                <w:u w:val="single" w:color="auto"/>
                <w:color w:val="auto"/>
              </w:rPr>
              <w:t>Issuer Name</w:t>
            </w:r>
          </w:p>
        </w:tc>
        <w:tc>
          <w:tcPr>
            <w:tcW w:w="4480" w:type="dxa"/>
            <w:vAlign w:val="bottom"/>
          </w:tcPr>
          <w:p>
            <w:pPr>
              <w:ind w:left="3400"/>
              <w:spacing w:after="0"/>
              <w:rPr>
                <w:sz w:val="20"/>
                <w:szCs w:val="20"/>
                <w:color w:val="auto"/>
              </w:rPr>
            </w:pPr>
            <w:r>
              <w:rPr>
                <w:rFonts w:ascii="Arial" w:cs="Arial" w:eastAsia="Arial" w:hAnsi="Arial"/>
                <w:sz w:val="14"/>
                <w:szCs w:val="14"/>
                <w:b w:val="1"/>
                <w:bCs w:val="1"/>
                <w:u w:val="single" w:color="auto"/>
                <w:color w:val="auto"/>
              </w:rPr>
              <w:t>Maturity</w:t>
            </w:r>
          </w:p>
        </w:tc>
        <w:tc>
          <w:tcPr>
            <w:tcW w:w="940" w:type="dxa"/>
            <w:vAlign w:val="bottom"/>
          </w:tcPr>
          <w:p>
            <w:pPr>
              <w:ind w:left="120"/>
              <w:spacing w:after="0"/>
              <w:rPr>
                <w:sz w:val="20"/>
                <w:szCs w:val="20"/>
                <w:color w:val="auto"/>
              </w:rPr>
            </w:pPr>
            <w:r>
              <w:rPr>
                <w:rFonts w:ascii="Arial" w:cs="Arial" w:eastAsia="Arial" w:hAnsi="Arial"/>
                <w:sz w:val="14"/>
                <w:szCs w:val="14"/>
                <w:b w:val="1"/>
                <w:bCs w:val="1"/>
                <w:u w:val="single" w:color="auto"/>
                <w:color w:val="auto"/>
              </w:rPr>
              <w:t>Industry</w:t>
            </w:r>
          </w:p>
        </w:tc>
        <w:tc>
          <w:tcPr>
            <w:tcW w:w="900" w:type="dxa"/>
            <w:vAlign w:val="bottom"/>
          </w:tcPr>
          <w:p>
            <w:pPr>
              <w:ind w:left="320"/>
              <w:spacing w:after="0"/>
              <w:rPr>
                <w:sz w:val="20"/>
                <w:szCs w:val="20"/>
                <w:color w:val="auto"/>
              </w:rPr>
            </w:pPr>
            <w:r>
              <w:rPr>
                <w:rFonts w:ascii="Arial" w:cs="Arial" w:eastAsia="Arial" w:hAnsi="Arial"/>
                <w:sz w:val="14"/>
                <w:szCs w:val="14"/>
                <w:b w:val="1"/>
                <w:bCs w:val="1"/>
                <w:u w:val="single" w:color="auto"/>
                <w:color w:val="auto"/>
              </w:rPr>
              <w:t>Coupon</w:t>
            </w:r>
          </w:p>
        </w:tc>
        <w:tc>
          <w:tcPr>
            <w:tcW w:w="560" w:type="dxa"/>
            <w:vAlign w:val="bottom"/>
          </w:tcPr>
          <w:p>
            <w:pPr>
              <w:jc w:val="center"/>
              <w:ind w:left="32"/>
              <w:spacing w:after="0" w:line="190" w:lineRule="exact"/>
              <w:rPr>
                <w:sz w:val="20"/>
                <w:szCs w:val="20"/>
                <w:color w:val="auto"/>
              </w:rPr>
            </w:pPr>
            <w:r>
              <w:rPr>
                <w:rFonts w:ascii="Arial" w:cs="Arial" w:eastAsia="Arial" w:hAnsi="Arial"/>
                <w:sz w:val="14"/>
                <w:szCs w:val="14"/>
                <w:b w:val="1"/>
                <w:bCs w:val="1"/>
                <w:u w:val="single" w:color="auto"/>
                <w:color w:val="auto"/>
                <w:w w:val="84"/>
              </w:rPr>
              <w:t>Index</w:t>
            </w:r>
            <w:r>
              <w:rPr>
                <w:rFonts w:ascii="Arial" w:cs="Arial" w:eastAsia="Arial" w:hAnsi="Arial"/>
                <w:sz w:val="22"/>
                <w:szCs w:val="22"/>
                <w:b w:val="1"/>
                <w:bCs w:val="1"/>
                <w:u w:val="single" w:color="auto"/>
                <w:color w:val="auto"/>
                <w:w w:val="84"/>
                <w:vertAlign w:val="superscript"/>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946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Total Investments and Cash and Cash Equivalents—175.3%</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in Excess of Other Assets—(75.3%)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946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Net Assets—100.0%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0"/>
              </w:rPr>
              <w:t>Par/</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Fair</w:t>
            </w:r>
          </w:p>
        </w:tc>
      </w:tr>
      <w:tr>
        <w:trPr>
          <w:trHeight w:val="196"/>
        </w:trPr>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Cost</w:t>
            </w:r>
          </w:p>
        </w:tc>
        <w:tc>
          <w:tcPr>
            <w:tcW w:w="4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(3)</w:t>
            </w:r>
          </w:p>
        </w:tc>
        <w:tc>
          <w:tcPr>
            <w:tcW w:w="200" w:type="dxa"/>
            <w:vAlign w:val="bottom"/>
            <w:gridSpan w:val="2"/>
          </w:tcPr>
          <w:p>
            <w:pPr>
              <w:spacing w:after="0"/>
              <w:rPr>
                <w:sz w:val="17"/>
                <w:szCs w:val="17"/>
                <w:color w:val="auto"/>
              </w:rPr>
            </w:pPr>
          </w:p>
        </w:tc>
      </w:tr>
      <w:tr>
        <w:trPr>
          <w:trHeight w:val="136"/>
        </w:trPr>
        <w:tc>
          <w:tcPr>
            <w:tcW w:w="420" w:type="dxa"/>
            <w:vAlign w:val="bottom"/>
          </w:tcPr>
          <w:p>
            <w:pPr>
              <w:spacing w:after="0"/>
              <w:rPr>
                <w:sz w:val="11"/>
                <w:szCs w:val="11"/>
                <w:color w:val="auto"/>
              </w:rPr>
            </w:pPr>
          </w:p>
        </w:tc>
        <w:tc>
          <w:tcPr>
            <w:tcW w:w="460" w:type="dxa"/>
            <w:vAlign w:val="bottom"/>
            <w:gridSpan w:val="2"/>
          </w:tcPr>
          <w:p>
            <w:pPr>
              <w:jc w:val="right"/>
              <w:ind w:right="180"/>
              <w:spacing w:after="0" w:line="136" w:lineRule="exact"/>
              <w:rPr>
                <w:sz w:val="20"/>
                <w:szCs w:val="20"/>
                <w:color w:val="auto"/>
              </w:rPr>
            </w:pPr>
            <w:r>
              <w:rPr>
                <w:rFonts w:ascii="Arial" w:cs="Arial" w:eastAsia="Arial" w:hAnsi="Arial"/>
                <w:sz w:val="14"/>
                <w:szCs w:val="14"/>
                <w:color w:val="auto"/>
              </w:rPr>
              <w:t>$</w:t>
            </w:r>
          </w:p>
        </w:tc>
        <w:tc>
          <w:tcPr>
            <w:tcW w:w="760" w:type="dxa"/>
            <w:vAlign w:val="bottom"/>
            <w:gridSpan w:val="3"/>
          </w:tcPr>
          <w:p>
            <w:pPr>
              <w:spacing w:after="0" w:line="136" w:lineRule="exact"/>
              <w:rPr>
                <w:sz w:val="20"/>
                <w:szCs w:val="20"/>
                <w:color w:val="auto"/>
              </w:rPr>
            </w:pPr>
            <w:r>
              <w:rPr>
                <w:rFonts w:ascii="Arial" w:cs="Arial" w:eastAsia="Arial" w:hAnsi="Arial"/>
                <w:sz w:val="14"/>
                <w:szCs w:val="14"/>
                <w:color w:val="auto"/>
                <w:w w:val="95"/>
              </w:rPr>
              <w:t>680,611,943</w:t>
            </w:r>
          </w:p>
        </w:tc>
        <w:tc>
          <w:tcPr>
            <w:tcW w:w="800" w:type="dxa"/>
            <w:vAlign w:val="bottom"/>
            <w:gridSpan w:val="3"/>
          </w:tcPr>
          <w:p>
            <w:pPr>
              <w:jc w:val="right"/>
              <w:spacing w:after="0" w:line="136" w:lineRule="exact"/>
              <w:rPr>
                <w:sz w:val="20"/>
                <w:szCs w:val="20"/>
                <w:color w:val="auto"/>
              </w:rPr>
            </w:pPr>
            <w:r>
              <w:rPr>
                <w:rFonts w:ascii="Arial" w:cs="Arial" w:eastAsia="Arial" w:hAnsi="Arial"/>
                <w:sz w:val="14"/>
                <w:szCs w:val="14"/>
                <w:color w:val="auto"/>
                <w:w w:val="87"/>
              </w:rPr>
              <w:t>$ 707,290,547</w:t>
            </w:r>
          </w:p>
        </w:tc>
        <w:tc>
          <w:tcPr>
            <w:tcW w:w="40" w:type="dxa"/>
            <w:vAlign w:val="bottom"/>
          </w:tcPr>
          <w:p>
            <w:pPr>
              <w:spacing w:after="0"/>
              <w:rPr>
                <w:sz w:val="11"/>
                <w:szCs w:val="1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0"/>
        </w:trPr>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w w:val="94"/>
              </w:rPr>
              <w:t>(303,899,585)</w:t>
            </w:r>
          </w:p>
        </w:tc>
      </w:tr>
      <w:tr>
        <w:trPr>
          <w:trHeight w:val="159"/>
        </w:trPr>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w w:val="87"/>
              </w:rPr>
              <w:t>$ 403,390,962</w:t>
            </w:r>
          </w:p>
        </w:tc>
        <w:tc>
          <w:tcPr>
            <w:tcW w:w="40" w:type="dxa"/>
            <w:vAlign w:val="bottom"/>
          </w:tcPr>
          <w:p>
            <w:pPr>
              <w:spacing w:after="0"/>
              <w:rPr>
                <w:sz w:val="13"/>
                <w:szCs w:val="13"/>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1" w:lineRule="exact"/>
        <w:rPr>
          <w:sz w:val="20"/>
          <w:szCs w:val="20"/>
          <w:color w:val="auto"/>
        </w:rPr>
      </w:pPr>
    </w:p>
    <w:p>
      <w:pPr>
        <w:sectPr>
          <w:pgSz w:w="11900" w:h="16838" w:orient="portrait"/>
          <w:cols w:equalWidth="0" w:num="2">
            <w:col w:w="8700" w:space="200"/>
            <w:col w:w="2480"/>
          </w:cols>
          <w:pgMar w:left="240" w:top="459" w:right="279" w:bottom="1440" w:gutter="0" w:footer="0" w:header="0"/>
        </w:sectPr>
      </w:pPr>
    </w:p>
    <w:p>
      <w:pPr>
        <w:ind w:left="340" w:right="60" w:hanging="332"/>
        <w:spacing w:after="0" w:line="268" w:lineRule="auto"/>
        <w:tabs>
          <w:tab w:leader="none" w:pos="3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00" w:hanging="332"/>
        <w:spacing w:after="0" w:line="258" w:lineRule="auto"/>
        <w:tabs>
          <w:tab w:leader="none" w:pos="3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hanging="332"/>
        <w:spacing w:after="0"/>
        <w:tabs>
          <w:tab w:leader="none" w:pos="3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40" w:hanging="332"/>
        <w:spacing w:after="0" w:line="221" w:lineRule="auto"/>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usually to qualified institutional buyers.</w:t>
      </w:r>
    </w:p>
    <w:p>
      <w:pPr>
        <w:ind w:left="340" w:hanging="332"/>
        <w:spacing w:after="0" w:line="221" w:lineRule="auto"/>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Coupon is payable in cash and/or payable in-kind (“PIK”).</w:t>
      </w:r>
    </w:p>
    <w:p>
      <w:pPr>
        <w:ind w:left="340" w:hanging="332"/>
        <w:spacing w:after="0" w:line="221" w:lineRule="auto"/>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Basis Point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Spread</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86"/>
              </w:rPr>
              <w:t>Current</w:t>
            </w: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Above</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94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Maturity</w:t>
            </w:r>
          </w:p>
        </w:tc>
        <w:tc>
          <w:tcPr>
            <w:tcW w:w="740" w:type="dxa"/>
            <w:vAlign w:val="bottom"/>
          </w:tcPr>
          <w:p>
            <w:pPr>
              <w:spacing w:after="0"/>
              <w:rPr>
                <w:sz w:val="15"/>
                <w:szCs w:val="15"/>
                <w:color w:val="auto"/>
              </w:rPr>
            </w:pPr>
          </w:p>
        </w:tc>
        <w:tc>
          <w:tcPr>
            <w:tcW w:w="14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0"/>
              </w:rPr>
              <w:t>Industry</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Coupon</w:t>
            </w:r>
          </w:p>
        </w:tc>
        <w:tc>
          <w:tcPr>
            <w:tcW w:w="86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8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Par/ Shares</w:t>
            </w:r>
          </w:p>
        </w:tc>
        <w:tc>
          <w:tcPr>
            <w:tcW w:w="100" w:type="dxa"/>
            <w:vAlign w:val="bottom"/>
          </w:tcPr>
          <w:p>
            <w:pPr>
              <w:spacing w:after="0"/>
              <w:rPr>
                <w:sz w:val="15"/>
                <w:szCs w:val="15"/>
                <w:color w:val="auto"/>
              </w:rPr>
            </w:pPr>
          </w:p>
        </w:tc>
        <w:tc>
          <w:tcPr>
            <w:tcW w:w="820" w:type="dxa"/>
            <w:vAlign w:val="bottom"/>
            <w:gridSpan w:val="4"/>
          </w:tcPr>
          <w:p>
            <w:pPr>
              <w:ind w:left="2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center"/>
              <w:ind w:right="200"/>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00" w:type="dxa"/>
            <w:vAlign w:val="bottom"/>
            <w:gridSpan w:val="5"/>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Companies—165.9%</w:t>
            </w:r>
            <w:r>
              <w:rPr>
                <w:rFonts w:ascii="Arial" w:cs="Arial" w:eastAsia="Arial" w:hAnsi="Arial"/>
                <w:sz w:val="16"/>
                <w:szCs w:val="16"/>
                <w:b w:val="1"/>
                <w:bCs w:val="1"/>
                <w:color w:val="auto"/>
                <w:vertAlign w:val="superscript"/>
              </w:rPr>
              <w:t>(1),(2)</w:t>
            </w: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Debt—59.3%</w:t>
            </w: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Airvana Networks Solution, Inc.</w:t>
            </w:r>
          </w:p>
        </w:tc>
        <w:tc>
          <w:tcPr>
            <w:tcW w:w="18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08/27/2014</w:t>
            </w:r>
          </w:p>
        </w:tc>
        <w:tc>
          <w:tcPr>
            <w:tcW w:w="2220" w:type="dxa"/>
            <w:vAlign w:val="bottom"/>
            <w:gridSpan w:val="3"/>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Communications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11.00%</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L+900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2"/>
              </w:rPr>
              <w:t>$ 13,583,333</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$ 13,316,337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$ 13,447,500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Birch Communications, Inc.</w:t>
            </w:r>
          </w:p>
        </w:tc>
        <w:tc>
          <w:tcPr>
            <w:tcW w:w="18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06/21/2015</w:t>
            </w:r>
          </w:p>
        </w:tc>
        <w:tc>
          <w:tcPr>
            <w:tcW w:w="22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7"/>
              </w:rPr>
              <w:t>Telecommunications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15.00%</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L+1,300</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16,363,636</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15,786,257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16,363,636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Birch Communications, Inc.</w:t>
            </w:r>
            <w:r>
              <w:rPr>
                <w:rFonts w:ascii="Arial" w:cs="Arial" w:eastAsia="Arial" w:hAnsi="Arial"/>
                <w:sz w:val="17"/>
                <w:szCs w:val="17"/>
                <w:color w:val="auto"/>
                <w:vertAlign w:val="superscript"/>
              </w:rPr>
              <w:t>(9)</w:t>
            </w:r>
          </w:p>
        </w:tc>
        <w:tc>
          <w:tcPr>
            <w:tcW w:w="18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01/31/2011</w:t>
            </w:r>
          </w:p>
        </w:tc>
        <w:tc>
          <w:tcPr>
            <w:tcW w:w="2220" w:type="dxa"/>
            <w:vAlign w:val="bottom"/>
            <w:gridSpan w:val="3"/>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7"/>
              </w:rPr>
              <w:t>Telecommunications</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3,636,364</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8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10/01/2016</w:t>
            </w:r>
          </w:p>
        </w:tc>
        <w:tc>
          <w:tcPr>
            <w:tcW w:w="740" w:type="dxa"/>
            <w:vAlign w:val="bottom"/>
          </w:tcPr>
          <w:p>
            <w:pPr>
              <w:spacing w:after="0"/>
              <w:rPr>
                <w:sz w:val="12"/>
                <w:szCs w:val="12"/>
                <w:color w:val="auto"/>
              </w:rPr>
            </w:pPr>
          </w:p>
        </w:tc>
        <w:tc>
          <w:tcPr>
            <w:tcW w:w="148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88"/>
              </w:rPr>
              <w:t>Logistics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11.63%</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7,500,000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7,305,603</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7,912,500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8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04/01/2018</w:t>
            </w:r>
          </w:p>
        </w:tc>
        <w:tc>
          <w:tcPr>
            <w:tcW w:w="7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960"/>
              <w:spacing w:after="0" w:line="149" w:lineRule="exact"/>
              <w:rPr>
                <w:sz w:val="20"/>
                <w:szCs w:val="20"/>
                <w:color w:val="auto"/>
              </w:rPr>
            </w:pPr>
            <w:r>
              <w:rPr>
                <w:rFonts w:ascii="Arial" w:cs="Arial" w:eastAsia="Arial" w:hAnsi="Arial"/>
                <w:sz w:val="14"/>
                <w:szCs w:val="14"/>
                <w:color w:val="auto"/>
                <w:w w:val="88"/>
              </w:rPr>
              <w:t>Logistics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987,774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1,045,000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18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07/31/2016</w:t>
            </w:r>
          </w:p>
        </w:tc>
        <w:tc>
          <w:tcPr>
            <w:tcW w:w="22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8"/>
              </w:rPr>
              <w:t>Hotels, Motels, Inns and Gaming</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12.38%</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L+988</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9,250,000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8,765,468</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9,296,250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(5),(10)</w:t>
            </w:r>
          </w:p>
        </w:tc>
        <w:tc>
          <w:tcPr>
            <w:tcW w:w="18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11/20/2014</w:t>
            </w:r>
          </w:p>
        </w:tc>
        <w:tc>
          <w:tcPr>
            <w:tcW w:w="2220" w:type="dxa"/>
            <w:vAlign w:val="bottom"/>
            <w:gridSpan w:val="3"/>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Communications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11,048,000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18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07/29/2013</w:t>
            </w:r>
          </w:p>
        </w:tc>
        <w:tc>
          <w:tcPr>
            <w:tcW w:w="22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7"/>
              </w:rPr>
              <w:t>Environmental Services</w:t>
            </w: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6,666,666</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6,666,666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6,666,666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Fairway Group Acquisition Company</w:t>
            </w:r>
          </w:p>
        </w:tc>
        <w:tc>
          <w:tcPr>
            <w:tcW w:w="1820" w:type="dxa"/>
            <w:vAlign w:val="bottom"/>
            <w:gridSpan w:val="3"/>
            <w:shd w:val="clear" w:color="auto" w:fill="CCEEFF"/>
          </w:tcPr>
          <w:p>
            <w:pPr>
              <w:jc w:val="right"/>
              <w:ind w:right="280"/>
              <w:spacing w:after="0" w:line="122" w:lineRule="exact"/>
              <w:rPr>
                <w:sz w:val="20"/>
                <w:szCs w:val="20"/>
                <w:color w:val="auto"/>
              </w:rPr>
            </w:pPr>
            <w:r>
              <w:rPr>
                <w:rFonts w:ascii="Arial" w:cs="Arial" w:eastAsia="Arial" w:hAnsi="Arial"/>
                <w:sz w:val="14"/>
                <w:szCs w:val="14"/>
                <w:color w:val="auto"/>
              </w:rPr>
              <w:t>10/01/2014</w:t>
            </w:r>
          </w:p>
        </w:tc>
        <w:tc>
          <w:tcPr>
            <w:tcW w:w="74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center"/>
              <w:ind w:right="960"/>
              <w:spacing w:after="0" w:line="122" w:lineRule="exact"/>
              <w:rPr>
                <w:sz w:val="20"/>
                <w:szCs w:val="20"/>
                <w:color w:val="auto"/>
              </w:rPr>
            </w:pPr>
            <w:r>
              <w:rPr>
                <w:rFonts w:ascii="Arial" w:cs="Arial" w:eastAsia="Arial" w:hAnsi="Arial"/>
                <w:sz w:val="14"/>
                <w:szCs w:val="14"/>
                <w:color w:val="auto"/>
                <w:w w:val="88"/>
              </w:rPr>
              <w:t>Grocery</w:t>
            </w:r>
          </w:p>
        </w:tc>
        <w:tc>
          <w:tcPr>
            <w:tcW w:w="84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4"/>
                <w:szCs w:val="14"/>
                <w:color w:val="auto"/>
              </w:rPr>
              <w:t>12.00%</w:t>
            </w:r>
          </w:p>
        </w:tc>
        <w:tc>
          <w:tcPr>
            <w:tcW w:w="86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4"/>
                <w:szCs w:val="14"/>
                <w:color w:val="auto"/>
              </w:rPr>
              <w:t>L+950</w:t>
            </w:r>
          </w:p>
        </w:tc>
        <w:tc>
          <w:tcPr>
            <w:tcW w:w="8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4"/>
                <w:szCs w:val="14"/>
                <w:color w:val="auto"/>
              </w:rPr>
              <w:t>11,905,025</w:t>
            </w:r>
          </w:p>
        </w:tc>
        <w:tc>
          <w:tcPr>
            <w:tcW w:w="920" w:type="dxa"/>
            <w:vAlign w:val="bottom"/>
            <w:gridSpan w:val="5"/>
            <w:shd w:val="clear" w:color="auto" w:fill="CCEEFF"/>
          </w:tcPr>
          <w:p>
            <w:pPr>
              <w:jc w:val="right"/>
              <w:ind w:right="80"/>
              <w:spacing w:after="0" w:line="122" w:lineRule="exact"/>
              <w:rPr>
                <w:sz w:val="20"/>
                <w:szCs w:val="20"/>
                <w:color w:val="auto"/>
              </w:rPr>
            </w:pPr>
            <w:r>
              <w:rPr>
                <w:rFonts w:ascii="Arial" w:cs="Arial" w:eastAsia="Arial" w:hAnsi="Arial"/>
                <w:sz w:val="14"/>
                <w:szCs w:val="14"/>
                <w:color w:val="auto"/>
              </w:rPr>
              <w:t>11,650,744</w:t>
            </w:r>
          </w:p>
        </w:tc>
        <w:tc>
          <w:tcPr>
            <w:tcW w:w="84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4"/>
                <w:szCs w:val="14"/>
                <w:color w:val="auto"/>
              </w:rPr>
              <w:t>11,845,500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3"/>
                <w:szCs w:val="13"/>
                <w:color w:val="auto"/>
              </w:rPr>
              <w:t>P+850</w:t>
            </w:r>
            <w:r>
              <w:rPr>
                <w:rFonts w:ascii="Arial" w:cs="Arial" w:eastAsia="Arial" w:hAnsi="Arial"/>
                <w:sz w:val="20"/>
                <w:szCs w:val="20"/>
                <w:color w:val="auto"/>
                <w:vertAlign w:val="superscript"/>
              </w:rPr>
              <w:t>(8)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18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03/08/2014</w:t>
            </w:r>
          </w:p>
        </w:tc>
        <w:tc>
          <w:tcPr>
            <w:tcW w:w="22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2.62%</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8,752,500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8,752,500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3,894,863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18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08/07/2014</w:t>
            </w:r>
          </w:p>
        </w:tc>
        <w:tc>
          <w:tcPr>
            <w:tcW w:w="2220" w:type="dxa"/>
            <w:vAlign w:val="bottom"/>
            <w:gridSpan w:val="3"/>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9"/>
              </w:rPr>
              <w:t>Printing and Publishing</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14.50%</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24,875,000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24,402,321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24,875,000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182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02/07/2014</w:t>
            </w:r>
          </w:p>
        </w:tc>
        <w:tc>
          <w:tcPr>
            <w:tcW w:w="2220" w:type="dxa"/>
            <w:vAlign w:val="bottom"/>
            <w:gridSpan w:val="3"/>
          </w:tcPr>
          <w:p>
            <w:pPr>
              <w:jc w:val="center"/>
              <w:ind w:right="220"/>
              <w:spacing w:after="0" w:line="138" w:lineRule="exact"/>
              <w:rPr>
                <w:sz w:val="20"/>
                <w:szCs w:val="20"/>
                <w:color w:val="auto"/>
              </w:rPr>
            </w:pPr>
            <w:r>
              <w:rPr>
                <w:rFonts w:ascii="Arial" w:cs="Arial" w:eastAsia="Arial" w:hAnsi="Arial"/>
                <w:sz w:val="14"/>
                <w:szCs w:val="14"/>
                <w:color w:val="auto"/>
                <w:w w:val="88"/>
              </w:rPr>
              <w:t>Home and Office Furnishings,</w:t>
            </w:r>
          </w:p>
        </w:tc>
        <w:tc>
          <w:tcPr>
            <w:tcW w:w="8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2.71%</w:t>
            </w:r>
          </w:p>
        </w:tc>
        <w:tc>
          <w:tcPr>
            <w:tcW w:w="86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9,744,595</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9,744,595</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7,874,850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6"/>
              </w:rPr>
              <w:t>Housewares and Durable Consumer</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gridSpan w:val="2"/>
          </w:tcPr>
          <w:p>
            <w:pPr>
              <w:jc w:val="center"/>
              <w:ind w:right="960"/>
              <w:spacing w:after="0" w:line="159" w:lineRule="exact"/>
              <w:rPr>
                <w:sz w:val="20"/>
                <w:szCs w:val="20"/>
                <w:color w:val="auto"/>
              </w:rPr>
            </w:pPr>
            <w:r>
              <w:rPr>
                <w:rFonts w:ascii="Arial" w:cs="Arial" w:eastAsia="Arial" w:hAnsi="Arial"/>
                <w:sz w:val="14"/>
                <w:szCs w:val="14"/>
                <w:color w:val="auto"/>
                <w:w w:val="86"/>
              </w:rPr>
              <w:t>Products</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8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09/10/2015</w:t>
            </w:r>
          </w:p>
        </w:tc>
        <w:tc>
          <w:tcPr>
            <w:tcW w:w="2220" w:type="dxa"/>
            <w:vAlign w:val="bottom"/>
            <w:gridSpan w:val="3"/>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6"/>
              </w:rPr>
              <w:t>Chemicals, Plastics and Rubber</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10.00%</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L+675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17,866,826</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18,240,000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Inc.</w:t>
            </w:r>
          </w:p>
        </w:tc>
        <w:tc>
          <w:tcPr>
            <w:tcW w:w="18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04/27/2016</w:t>
            </w:r>
          </w:p>
        </w:tc>
        <w:tc>
          <w:tcPr>
            <w:tcW w:w="22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Education</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26,052,631</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25,481,512</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26,052,631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182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01/18/2014</w:t>
            </w:r>
          </w:p>
        </w:tc>
        <w:tc>
          <w:tcPr>
            <w:tcW w:w="2220" w:type="dxa"/>
            <w:vAlign w:val="bottom"/>
            <w:gridSpan w:val="3"/>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8"/>
              </w:rPr>
              <w:t>Home and Office Furnishings,</w:t>
            </w:r>
          </w:p>
        </w:tc>
        <w:tc>
          <w:tcPr>
            <w:tcW w:w="8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2.54%</w:t>
            </w:r>
          </w:p>
        </w:tc>
        <w:tc>
          <w:tcPr>
            <w:tcW w:w="8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3,844,931</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3,844,931</w:t>
            </w:r>
          </w:p>
        </w:tc>
        <w:tc>
          <w:tcPr>
            <w:tcW w:w="8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3,345,090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6"/>
              </w:rPr>
              <w:t>Housewares and Durable Consumer</w:t>
            </w: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960"/>
              <w:spacing w:after="0" w:line="159" w:lineRule="exact"/>
              <w:rPr>
                <w:sz w:val="20"/>
                <w:szCs w:val="20"/>
                <w:color w:val="auto"/>
              </w:rPr>
            </w:pPr>
            <w:r>
              <w:rPr>
                <w:rFonts w:ascii="Arial" w:cs="Arial" w:eastAsia="Arial" w:hAnsi="Arial"/>
                <w:sz w:val="14"/>
                <w:szCs w:val="14"/>
                <w:color w:val="auto"/>
                <w:w w:val="86"/>
              </w:rPr>
              <w:t>Products</w:t>
            </w: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18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08/01/2014</w:t>
            </w:r>
          </w:p>
        </w:tc>
        <w:tc>
          <w:tcPr>
            <w:tcW w:w="22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L+400</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9,829,738</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8,432,037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6,995,500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w:t>
            </w:r>
          </w:p>
        </w:tc>
        <w:tc>
          <w:tcPr>
            <w:tcW w:w="18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12/16/2012</w:t>
            </w:r>
          </w:p>
        </w:tc>
        <w:tc>
          <w:tcPr>
            <w:tcW w:w="2220" w:type="dxa"/>
            <w:vAlign w:val="bottom"/>
            <w:gridSpan w:val="3"/>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10.50%</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66,801</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66,801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64,263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18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12/16/2012</w:t>
            </w:r>
          </w:p>
        </w:tc>
        <w:tc>
          <w:tcPr>
            <w:tcW w:w="22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200,404</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200,404</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192,789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Sugarhouse HSP Gaming Prop.</w:t>
            </w:r>
          </w:p>
        </w:tc>
        <w:tc>
          <w:tcPr>
            <w:tcW w:w="18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09/23/2014</w:t>
            </w:r>
          </w:p>
        </w:tc>
        <w:tc>
          <w:tcPr>
            <w:tcW w:w="2220" w:type="dxa"/>
            <w:vAlign w:val="bottom"/>
            <w:gridSpan w:val="3"/>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Hotels, Motels, Inns and Gaming</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11.25%</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L+825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28,756,343</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29,702,813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80" w:type="dxa"/>
            <w:vAlign w:val="bottom"/>
            <w:gridSpan w:val="2"/>
          </w:tcPr>
          <w:p>
            <w:pPr>
              <w:spacing w:after="0" w:line="122" w:lineRule="exact"/>
              <w:rPr>
                <w:sz w:val="20"/>
                <w:szCs w:val="20"/>
                <w:color w:val="auto"/>
              </w:rPr>
            </w:pPr>
            <w:r>
              <w:rPr>
                <w:rFonts w:ascii="Arial" w:cs="Arial" w:eastAsia="Arial" w:hAnsi="Arial"/>
                <w:sz w:val="14"/>
                <w:szCs w:val="14"/>
                <w:color w:val="auto"/>
              </w:rPr>
              <w:t>Three Rivers Pharmaceutical, L.L.C.</w:t>
            </w:r>
          </w:p>
        </w:tc>
        <w:tc>
          <w:tcPr>
            <w:tcW w:w="1820" w:type="dxa"/>
            <w:vAlign w:val="bottom"/>
            <w:gridSpan w:val="3"/>
          </w:tcPr>
          <w:p>
            <w:pPr>
              <w:jc w:val="right"/>
              <w:ind w:right="280"/>
              <w:spacing w:after="0" w:line="122" w:lineRule="exact"/>
              <w:rPr>
                <w:sz w:val="20"/>
                <w:szCs w:val="20"/>
                <w:color w:val="auto"/>
              </w:rPr>
            </w:pPr>
            <w:r>
              <w:rPr>
                <w:rFonts w:ascii="Arial" w:cs="Arial" w:eastAsia="Arial" w:hAnsi="Arial"/>
                <w:sz w:val="14"/>
                <w:szCs w:val="14"/>
                <w:color w:val="auto"/>
              </w:rPr>
              <w:t>10/22/2011</w:t>
            </w:r>
          </w:p>
        </w:tc>
        <w:tc>
          <w:tcPr>
            <w:tcW w:w="2220" w:type="dxa"/>
            <w:vAlign w:val="bottom"/>
            <w:gridSpan w:val="3"/>
          </w:tcPr>
          <w:p>
            <w:pPr>
              <w:jc w:val="center"/>
              <w:ind w:right="220"/>
              <w:spacing w:after="0" w:line="122" w:lineRule="exact"/>
              <w:rPr>
                <w:sz w:val="20"/>
                <w:szCs w:val="20"/>
                <w:color w:val="auto"/>
              </w:rPr>
            </w:pPr>
            <w:r>
              <w:rPr>
                <w:rFonts w:ascii="Arial" w:cs="Arial" w:eastAsia="Arial" w:hAnsi="Arial"/>
                <w:sz w:val="14"/>
                <w:szCs w:val="14"/>
                <w:color w:val="auto"/>
                <w:w w:val="87"/>
              </w:rPr>
              <w:t>Healthcare, Education and</w:t>
            </w:r>
          </w:p>
        </w:tc>
        <w:tc>
          <w:tcPr>
            <w:tcW w:w="840" w:type="dxa"/>
            <w:vAlign w:val="bottom"/>
            <w:gridSpan w:val="2"/>
          </w:tcPr>
          <w:p>
            <w:pPr>
              <w:jc w:val="right"/>
              <w:ind w:right="260"/>
              <w:spacing w:after="0" w:line="122" w:lineRule="exact"/>
              <w:rPr>
                <w:sz w:val="20"/>
                <w:szCs w:val="20"/>
                <w:color w:val="auto"/>
              </w:rPr>
            </w:pPr>
            <w:r>
              <w:rPr>
                <w:rFonts w:ascii="Arial" w:cs="Arial" w:eastAsia="Arial" w:hAnsi="Arial"/>
                <w:sz w:val="14"/>
                <w:szCs w:val="14"/>
                <w:color w:val="auto"/>
              </w:rPr>
              <w:t>15.25%</w:t>
            </w: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4"/>
                <w:szCs w:val="14"/>
                <w:color w:val="auto"/>
              </w:rPr>
              <w:t>L+1,300</w:t>
            </w:r>
          </w:p>
        </w:tc>
        <w:tc>
          <w:tcPr>
            <w:tcW w:w="860" w:type="dxa"/>
            <w:vAlign w:val="bottom"/>
            <w:gridSpan w:val="3"/>
          </w:tcPr>
          <w:p>
            <w:pPr>
              <w:jc w:val="right"/>
              <w:ind w:right="80"/>
              <w:spacing w:after="0" w:line="122" w:lineRule="exact"/>
              <w:rPr>
                <w:sz w:val="20"/>
                <w:szCs w:val="20"/>
                <w:color w:val="auto"/>
              </w:rPr>
            </w:pPr>
            <w:r>
              <w:rPr>
                <w:rFonts w:ascii="Arial" w:cs="Arial" w:eastAsia="Arial" w:hAnsi="Arial"/>
                <w:sz w:val="14"/>
                <w:szCs w:val="14"/>
                <w:color w:val="auto"/>
              </w:rPr>
              <w:t>25,000,000</w:t>
            </w: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21,861,968</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21,861,968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80" w:type="dxa"/>
            <w:vAlign w:val="bottom"/>
            <w:gridSpan w:val="2"/>
          </w:tcPr>
          <w:p>
            <w:pPr>
              <w:jc w:val="center"/>
              <w:ind w:right="960"/>
              <w:spacing w:after="0"/>
              <w:rPr>
                <w:sz w:val="20"/>
                <w:szCs w:val="20"/>
                <w:color w:val="auto"/>
              </w:rPr>
            </w:pPr>
            <w:r>
              <w:rPr>
                <w:rFonts w:ascii="Arial" w:cs="Arial" w:eastAsia="Arial" w:hAnsi="Arial"/>
                <w:sz w:val="14"/>
                <w:szCs w:val="14"/>
                <w:color w:val="auto"/>
                <w:w w:val="87"/>
              </w:rPr>
              <w:t>Childcare</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80"/>
              <w:spacing w:after="0" w:line="176" w:lineRule="exact"/>
              <w:rPr>
                <w:sz w:val="20"/>
                <w:szCs w:val="20"/>
                <w:color w:val="auto"/>
              </w:rPr>
            </w:pPr>
            <w:r>
              <w:rPr>
                <w:rFonts w:ascii="Arial" w:cs="Arial" w:eastAsia="Arial" w:hAnsi="Arial"/>
                <w:sz w:val="13"/>
                <w:szCs w:val="13"/>
                <w:color w:val="auto"/>
              </w:rPr>
              <w:t>P+1,200</w:t>
            </w:r>
            <w:r>
              <w:rPr>
                <w:rFonts w:ascii="Arial" w:cs="Arial" w:eastAsia="Arial" w:hAnsi="Arial"/>
                <w:sz w:val="20"/>
                <w:szCs w:val="20"/>
                <w:color w:val="auto"/>
                <w:vertAlign w:val="superscript"/>
              </w:rPr>
              <w:t>(8)</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18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07/15/2016</w:t>
            </w:r>
          </w:p>
        </w:tc>
        <w:tc>
          <w:tcPr>
            <w:tcW w:w="2220" w:type="dxa"/>
            <w:vAlign w:val="bottom"/>
            <w:gridSpan w:val="3"/>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Hotels, Motels, Inns and Gaming</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11.38%</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4,500,000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4,381,967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4,882,500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2"/>
              </w:rPr>
              <w:t>231,907,418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5"/>
              </w:rPr>
              <w:t>229,243,683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Basis Point</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Spread</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4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86"/>
              </w:rPr>
              <w:t>Current</w:t>
            </w: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8"/>
              </w:rPr>
              <w:t>Above</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8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Maturity</w:t>
            </w:r>
          </w:p>
        </w:tc>
        <w:tc>
          <w:tcPr>
            <w:tcW w:w="880" w:type="dxa"/>
            <w:vAlign w:val="bottom"/>
          </w:tcPr>
          <w:p>
            <w:pPr>
              <w:spacing w:after="0"/>
              <w:rPr>
                <w:sz w:val="15"/>
                <w:szCs w:val="15"/>
                <w:color w:val="auto"/>
              </w:rPr>
            </w:pPr>
          </w:p>
        </w:tc>
        <w:tc>
          <w:tcPr>
            <w:tcW w:w="15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0"/>
              </w:rPr>
              <w:t>Industry</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Coupon</w:t>
            </w:r>
          </w:p>
        </w:tc>
        <w:tc>
          <w:tcPr>
            <w:tcW w:w="86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Par/ Shares</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center"/>
              <w:ind w:right="200"/>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2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Second Lien Secured Debt—38.6%</w:t>
            </w: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4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02/07/2015</w:t>
            </w:r>
          </w:p>
        </w:tc>
        <w:tc>
          <w:tcPr>
            <w:tcW w:w="238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2"/>
              </w:rPr>
              <w:t>Energy/Utilities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6.43%</w:t>
            </w: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L+600</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0"/>
              </w:rPr>
              <w:t>$ 13,600,000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88"/>
              </w:rPr>
              <w:t>$ 13,216,845</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$ 11,696,000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4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02/07/2015</w:t>
            </w:r>
          </w:p>
        </w:tc>
        <w:tc>
          <w:tcPr>
            <w:tcW w:w="238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2"/>
              </w:rPr>
              <w:t>Energy/Utilities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7.39%</w:t>
            </w: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L+700</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12,000,000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11,776,589</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10,410,000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14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07/29/2014</w:t>
            </w:r>
          </w:p>
        </w:tc>
        <w:tc>
          <w:tcPr>
            <w:tcW w:w="2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Environmental Services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8.00%</w:t>
            </w:r>
          </w:p>
        </w:tc>
        <w:tc>
          <w:tcPr>
            <w:tcW w:w="860" w:type="dxa"/>
            <w:vAlign w:val="bottom"/>
            <w:gridSpan w:val="2"/>
          </w:tcPr>
          <w:p>
            <w:pPr>
              <w:ind w:left="280"/>
              <w:spacing w:after="0" w:line="149" w:lineRule="exact"/>
              <w:rPr>
                <w:sz w:val="20"/>
                <w:szCs w:val="20"/>
                <w:color w:val="auto"/>
              </w:rPr>
            </w:pPr>
            <w:r>
              <w:rPr>
                <w:rFonts w:ascii="Arial" w:cs="Arial" w:eastAsia="Arial" w:hAnsi="Arial"/>
                <w:sz w:val="11"/>
                <w:szCs w:val="11"/>
                <w:color w:val="auto"/>
              </w:rPr>
              <w:t>L+600</w:t>
            </w:r>
            <w:r>
              <w:rPr>
                <w:rFonts w:ascii="Arial" w:cs="Arial" w:eastAsia="Arial" w:hAnsi="Arial"/>
                <w:sz w:val="17"/>
                <w:szCs w:val="17"/>
                <w:color w:val="auto"/>
                <w:vertAlign w:val="superscript"/>
              </w:rPr>
              <w:t>(8)</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6,237,317</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6,237,317</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5,950,400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14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04/30/2015</w:t>
            </w:r>
          </w:p>
        </w:tc>
        <w:tc>
          <w:tcPr>
            <w:tcW w:w="2380" w:type="dxa"/>
            <w:vAlign w:val="bottom"/>
            <w:gridSpan w:val="3"/>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Healthcare, Education and</w:t>
            </w:r>
          </w:p>
        </w:tc>
        <w:tc>
          <w:tcPr>
            <w:tcW w:w="8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7.79%</w:t>
            </w:r>
          </w:p>
        </w:tc>
        <w:tc>
          <w:tcPr>
            <w:tcW w:w="8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L+750</w:t>
            </w:r>
          </w:p>
        </w:tc>
        <w:tc>
          <w:tcPr>
            <w:tcW w:w="9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12,000,000</w:t>
            </w:r>
          </w:p>
        </w:tc>
        <w:tc>
          <w:tcPr>
            <w:tcW w:w="7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11,958,469</w:t>
            </w:r>
          </w:p>
        </w:tc>
        <w:tc>
          <w:tcPr>
            <w:tcW w:w="92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11,940,000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38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7"/>
              </w:rPr>
              <w:t>Childcare</w:t>
            </w: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14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03/01/2014</w:t>
            </w:r>
          </w:p>
        </w:tc>
        <w:tc>
          <w:tcPr>
            <w:tcW w:w="2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Cargo Transport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860" w:type="dxa"/>
            <w:vAlign w:val="bottom"/>
            <w:gridSpan w:val="2"/>
          </w:tcPr>
          <w:p>
            <w:pPr>
              <w:ind w:left="28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2,570,357</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2,570,357</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2,594,775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Mohegan Tribal Gaming Authority</w:t>
            </w:r>
            <w:r>
              <w:rPr>
                <w:rFonts w:ascii="Arial" w:cs="Arial" w:eastAsia="Arial" w:hAnsi="Arial"/>
                <w:sz w:val="17"/>
                <w:szCs w:val="17"/>
                <w:color w:val="auto"/>
                <w:vertAlign w:val="superscript"/>
              </w:rPr>
              <w:t>(5)</w:t>
            </w:r>
          </w:p>
        </w:tc>
        <w:tc>
          <w:tcPr>
            <w:tcW w:w="14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11/01/2017</w:t>
            </w:r>
          </w:p>
        </w:tc>
        <w:tc>
          <w:tcPr>
            <w:tcW w:w="23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Hotels, Motels, Inns and Gaming</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5,000,000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4,825,762</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4,475,000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4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12/15/2014</w:t>
            </w:r>
          </w:p>
        </w:tc>
        <w:tc>
          <w:tcPr>
            <w:tcW w:w="2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9.50%</w:t>
            </w:r>
          </w:p>
        </w:tc>
        <w:tc>
          <w:tcPr>
            <w:tcW w:w="860" w:type="dxa"/>
            <w:vAlign w:val="bottom"/>
            <w:gridSpan w:val="2"/>
          </w:tcPr>
          <w:p>
            <w:pPr>
              <w:ind w:left="2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3,219,319</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3,219,319</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2,675,254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14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12/15/2015</w:t>
            </w:r>
          </w:p>
        </w:tc>
        <w:tc>
          <w:tcPr>
            <w:tcW w:w="23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1"/>
                <w:szCs w:val="11"/>
                <w:color w:val="auto"/>
              </w:rPr>
              <w:t>L+850</w:t>
            </w:r>
            <w:r>
              <w:rPr>
                <w:rFonts w:ascii="Arial" w:cs="Arial" w:eastAsia="Arial" w:hAnsi="Arial"/>
                <w:sz w:val="17"/>
                <w:szCs w:val="17"/>
                <w:color w:val="auto"/>
                <w:vertAlign w:val="superscript"/>
              </w:rPr>
              <w:t>(8)</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1,773,703</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1,773,703</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1,349,788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4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10/15/2017</w:t>
            </w:r>
          </w:p>
        </w:tc>
        <w:tc>
          <w:tcPr>
            <w:tcW w:w="2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Buildings and Real Estate</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13.50%</w:t>
            </w:r>
          </w:p>
        </w:tc>
        <w:tc>
          <w:tcPr>
            <w:tcW w:w="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10,000,000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10,000,000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10,600,000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14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05/15/2015</w:t>
            </w:r>
          </w:p>
        </w:tc>
        <w:tc>
          <w:tcPr>
            <w:tcW w:w="23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Transportation</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8.13%</w:t>
            </w: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L+775</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9,950,907</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9,325,000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14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05/15/2017</w:t>
            </w:r>
          </w:p>
        </w:tc>
        <w:tc>
          <w:tcPr>
            <w:tcW w:w="2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Transportation</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12.50%</w:t>
            </w:r>
          </w:p>
        </w:tc>
        <w:tc>
          <w:tcPr>
            <w:tcW w:w="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19,000,000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17,039,991</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19,118,750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14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06/15/2015</w:t>
            </w:r>
          </w:p>
        </w:tc>
        <w:tc>
          <w:tcPr>
            <w:tcW w:w="2380" w:type="dxa"/>
            <w:vAlign w:val="bottom"/>
            <w:gridSpan w:val="3"/>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Healthcare, Education and</w:t>
            </w:r>
          </w:p>
        </w:tc>
        <w:tc>
          <w:tcPr>
            <w:tcW w:w="84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6.05%</w:t>
            </w:r>
            <w:r>
              <w:rPr>
                <w:rFonts w:ascii="Arial" w:cs="Arial" w:eastAsia="Arial" w:hAnsi="Arial"/>
                <w:sz w:val="15"/>
                <w:szCs w:val="15"/>
                <w:color w:val="auto"/>
                <w:vertAlign w:val="superscript"/>
              </w:rPr>
              <w:t>(6)</w:t>
            </w:r>
          </w:p>
        </w:tc>
        <w:tc>
          <w:tcPr>
            <w:tcW w:w="8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L+575</w:t>
            </w:r>
          </w:p>
        </w:tc>
        <w:tc>
          <w:tcPr>
            <w:tcW w:w="9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21,500,000</w:t>
            </w:r>
          </w:p>
        </w:tc>
        <w:tc>
          <w:tcPr>
            <w:tcW w:w="7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19,211,412</w:t>
            </w:r>
          </w:p>
        </w:tc>
        <w:tc>
          <w:tcPr>
            <w:tcW w:w="92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19,887,500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38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7"/>
              </w:rPr>
              <w:t>Childcare</w:t>
            </w: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14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12/15/2014</w:t>
            </w:r>
          </w:p>
        </w:tc>
        <w:tc>
          <w:tcPr>
            <w:tcW w:w="238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6"/>
              </w:rPr>
              <w:t>Chemical, Plastics and Rubber</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7.26%</w:t>
            </w:r>
            <w:r>
              <w:rPr>
                <w:rFonts w:ascii="Arial" w:cs="Arial" w:eastAsia="Arial" w:hAnsi="Arial"/>
                <w:sz w:val="17"/>
                <w:szCs w:val="17"/>
                <w:color w:val="auto"/>
                <w:vertAlign w:val="superscript"/>
              </w:rPr>
              <w:t>(6)</w:t>
            </w: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L+700</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22,500,000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22,490,129</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14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06/15/2015</w:t>
            </w:r>
          </w:p>
        </w:tc>
        <w:tc>
          <w:tcPr>
            <w:tcW w:w="23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Financial Services</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6.29%</w:t>
            </w:r>
            <w:r>
              <w:rPr>
                <w:rFonts w:ascii="Arial" w:cs="Arial" w:eastAsia="Arial" w:hAnsi="Arial"/>
                <w:sz w:val="17"/>
                <w:szCs w:val="17"/>
                <w:color w:val="auto"/>
                <w:vertAlign w:val="superscript"/>
              </w:rPr>
              <w:t>(6)</w:t>
            </w: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L+600</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17,811,488</w:t>
            </w: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17,341,134</w:t>
            </w:r>
          </w:p>
        </w:tc>
        <w:tc>
          <w:tcPr>
            <w:tcW w:w="16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16,564,684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2"/>
              </w:rPr>
              <w:t>151,611,934</w:t>
            </w:r>
          </w:p>
        </w:tc>
        <w:tc>
          <w:tcPr>
            <w:tcW w:w="9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149,087,151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Notes—56.1%</w:t>
            </w: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(5)</w:t>
            </w:r>
          </w:p>
        </w:tc>
        <w:tc>
          <w:tcPr>
            <w:tcW w:w="14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11/15/2015</w:t>
            </w:r>
          </w:p>
        </w:tc>
        <w:tc>
          <w:tcPr>
            <w:tcW w:w="238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Consumer Products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11.63%</w:t>
            </w:r>
          </w:p>
        </w:tc>
        <w:tc>
          <w:tcPr>
            <w:tcW w:w="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10,000,000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9,855,000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Aquilex Holdings, LLC</w:t>
            </w:r>
            <w:r>
              <w:rPr>
                <w:rFonts w:ascii="Arial" w:cs="Arial" w:eastAsia="Arial" w:hAnsi="Arial"/>
                <w:sz w:val="17"/>
                <w:szCs w:val="17"/>
                <w:color w:val="auto"/>
                <w:vertAlign w:val="superscript"/>
              </w:rPr>
              <w:t>(5)</w:t>
            </w:r>
          </w:p>
        </w:tc>
        <w:tc>
          <w:tcPr>
            <w:tcW w:w="14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12/15/2016</w:t>
            </w:r>
          </w:p>
        </w:tc>
        <w:tc>
          <w:tcPr>
            <w:tcW w:w="23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Diversified / Conglomerate Services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11.13%</w:t>
            </w:r>
          </w:p>
        </w:tc>
        <w:tc>
          <w:tcPr>
            <w:tcW w:w="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18,885,000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18,380,337</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18,696,150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14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04/17/2015</w:t>
            </w:r>
          </w:p>
        </w:tc>
        <w:tc>
          <w:tcPr>
            <w:tcW w:w="2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Aerospace and Defense</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8,109,468</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7,973,429</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8,170,289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4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03/22/2014</w:t>
            </w:r>
          </w:p>
        </w:tc>
        <w:tc>
          <w:tcPr>
            <w:tcW w:w="23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20,720,892</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20,359,932</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21,425,401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tcPr>
          <w:p>
            <w:pPr>
              <w:spacing w:after="0" w:line="138" w:lineRule="exact"/>
              <w:rPr>
                <w:sz w:val="20"/>
                <w:szCs w:val="20"/>
                <w:color w:val="auto"/>
              </w:rPr>
            </w:pPr>
            <w:r>
              <w:rPr>
                <w:rFonts w:ascii="Arial" w:cs="Arial" w:eastAsia="Arial" w:hAnsi="Arial"/>
                <w:sz w:val="10"/>
                <w:szCs w:val="10"/>
                <w:color w:val="auto"/>
              </w:rPr>
              <w:t>Da-Lite Screen Company, Inc.</w:t>
            </w:r>
            <w:r>
              <w:rPr>
                <w:rFonts w:ascii="Arial" w:cs="Arial" w:eastAsia="Arial" w:hAnsi="Arial"/>
                <w:sz w:val="15"/>
                <w:szCs w:val="15"/>
                <w:color w:val="auto"/>
                <w:vertAlign w:val="superscript"/>
              </w:rPr>
              <w:t>(5)</w:t>
            </w:r>
          </w:p>
        </w:tc>
        <w:tc>
          <w:tcPr>
            <w:tcW w:w="144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04/01/2015</w:t>
            </w:r>
          </w:p>
        </w:tc>
        <w:tc>
          <w:tcPr>
            <w:tcW w:w="238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8"/>
              </w:rPr>
              <w:t>Home and Office Furnishings,</w:t>
            </w:r>
          </w:p>
        </w:tc>
        <w:tc>
          <w:tcPr>
            <w:tcW w:w="8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12.50%</w:t>
            </w:r>
          </w:p>
        </w:tc>
        <w:tc>
          <w:tcPr>
            <w:tcW w:w="8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25,000,000</w:t>
            </w:r>
          </w:p>
        </w:tc>
        <w:tc>
          <w:tcPr>
            <w:tcW w:w="74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24,379,843</w:t>
            </w:r>
          </w:p>
        </w:tc>
        <w:tc>
          <w:tcPr>
            <w:tcW w:w="9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25,625,000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Housewares and Durable Consumer</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00" w:type="dxa"/>
            <w:vAlign w:val="bottom"/>
            <w:gridSpan w:val="2"/>
          </w:tcPr>
          <w:p>
            <w:pPr>
              <w:jc w:val="center"/>
              <w:ind w:right="980"/>
              <w:spacing w:after="0" w:line="159" w:lineRule="exact"/>
              <w:rPr>
                <w:sz w:val="20"/>
                <w:szCs w:val="20"/>
                <w:color w:val="auto"/>
              </w:rPr>
            </w:pPr>
            <w:r>
              <w:rPr>
                <w:rFonts w:ascii="Arial" w:cs="Arial" w:eastAsia="Arial" w:hAnsi="Arial"/>
                <w:sz w:val="14"/>
                <w:szCs w:val="14"/>
                <w:color w:val="auto"/>
                <w:w w:val="86"/>
              </w:rPr>
              <w:t>Products</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14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06/06/2014</w:t>
            </w:r>
          </w:p>
        </w:tc>
        <w:tc>
          <w:tcPr>
            <w:tcW w:w="23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Aerospace and Defense</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23,283,292</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22,970,124</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23,283,292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w:t>
            </w:r>
          </w:p>
        </w:tc>
        <w:tc>
          <w:tcPr>
            <w:tcW w:w="14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06/30/2016</w:t>
            </w:r>
          </w:p>
        </w:tc>
        <w:tc>
          <w:tcPr>
            <w:tcW w:w="2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Education</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3,947,368</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3,194,611</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3,592,105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4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10/15/2016</w:t>
            </w:r>
          </w:p>
        </w:tc>
        <w:tc>
          <w:tcPr>
            <w:tcW w:w="23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13.00%</w:t>
            </w:r>
            <w:r>
              <w:rPr>
                <w:rFonts w:ascii="Arial" w:cs="Arial" w:eastAsia="Arial" w:hAnsi="Arial"/>
                <w:sz w:val="17"/>
                <w:szCs w:val="17"/>
                <w:color w:val="auto"/>
                <w:vertAlign w:val="superscript"/>
              </w:rPr>
              <w:t>(6)</w:t>
            </w:r>
          </w:p>
        </w:tc>
        <w:tc>
          <w:tcPr>
            <w:tcW w:w="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19,000,000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4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04/15/2015</w:t>
            </w:r>
          </w:p>
        </w:tc>
        <w:tc>
          <w:tcPr>
            <w:tcW w:w="2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Buildings and Real Estate</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12.38%</w:t>
            </w:r>
          </w:p>
        </w:tc>
        <w:tc>
          <w:tcPr>
            <w:tcW w:w="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10,000,000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9,055,731</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7,900,000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4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12/29/2015</w:t>
            </w:r>
          </w:p>
        </w:tc>
        <w:tc>
          <w:tcPr>
            <w:tcW w:w="23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11,721,019</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11,361,858</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11,838,229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Trizetto Group, Inc.</w:t>
            </w:r>
          </w:p>
        </w:tc>
        <w:tc>
          <w:tcPr>
            <w:tcW w:w="14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10/01/2016</w:t>
            </w:r>
          </w:p>
        </w:tc>
        <w:tc>
          <w:tcPr>
            <w:tcW w:w="2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4"/>
              </w:rPr>
              <w:t>Insurance</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20,501,960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20,331,704</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21,117,018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Acquisition Sub Inc.</w:t>
            </w:r>
          </w:p>
        </w:tc>
        <w:tc>
          <w:tcPr>
            <w:tcW w:w="14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02/08/2015</w:t>
            </w:r>
          </w:p>
        </w:tc>
        <w:tc>
          <w:tcPr>
            <w:tcW w:w="23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Oil and Gas</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15.50%</w:t>
            </w:r>
            <w:r>
              <w:rPr>
                <w:rFonts w:ascii="Arial" w:cs="Arial" w:eastAsia="Arial" w:hAnsi="Arial"/>
                <w:sz w:val="17"/>
                <w:szCs w:val="17"/>
                <w:color w:val="auto"/>
                <w:vertAlign w:val="superscript"/>
              </w:rPr>
              <w:t>(6)</w:t>
            </w:r>
          </w:p>
        </w:tc>
        <w:tc>
          <w:tcPr>
            <w:tcW w:w="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21,098,000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20,642,507</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20,148,590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Veritext Corp.</w:t>
            </w:r>
          </w:p>
        </w:tc>
        <w:tc>
          <w:tcPr>
            <w:tcW w:w="14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12/31/2015</w:t>
            </w:r>
          </w:p>
        </w:tc>
        <w:tc>
          <w:tcPr>
            <w:tcW w:w="2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15,000,000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14,636,487</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14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12/31/2012</w:t>
            </w:r>
          </w:p>
        </w:tc>
        <w:tc>
          <w:tcPr>
            <w:tcW w:w="23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12,000,000</w:t>
            </w: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11,700,000</w:t>
            </w:r>
          </w:p>
        </w:tc>
        <w:tc>
          <w:tcPr>
            <w:tcW w:w="16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2"/>
              </w:rPr>
              <w:t>213,271,563</w:t>
            </w:r>
          </w:p>
        </w:tc>
        <w:tc>
          <w:tcPr>
            <w:tcW w:w="16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5"/>
              </w:rPr>
              <w:t>217,081,074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Current</w:t>
            </w:r>
          </w:p>
        </w:tc>
        <w:tc>
          <w:tcPr>
            <w:tcW w:w="16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400" w:type="dxa"/>
            <w:vAlign w:val="bottom"/>
          </w:tcPr>
          <w:p>
            <w:pPr>
              <w:spacing w:after="0"/>
              <w:rPr>
                <w:sz w:val="11"/>
                <w:szCs w:val="11"/>
                <w:color w:val="auto"/>
              </w:rPr>
            </w:pPr>
          </w:p>
        </w:tc>
        <w:tc>
          <w:tcPr>
            <w:tcW w:w="58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right"/>
              <w:ind w:right="46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Maturity</w:t>
            </w:r>
          </w:p>
        </w:tc>
        <w:tc>
          <w:tcPr>
            <w:tcW w:w="820" w:type="dxa"/>
            <w:vAlign w:val="bottom"/>
          </w:tcPr>
          <w:p>
            <w:pPr>
              <w:spacing w:after="0"/>
              <w:rPr>
                <w:sz w:val="15"/>
                <w:szCs w:val="15"/>
                <w:color w:val="auto"/>
              </w:rPr>
            </w:pPr>
          </w:p>
        </w:tc>
        <w:tc>
          <w:tcPr>
            <w:tcW w:w="148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0"/>
              </w:rPr>
              <w:t>Industry</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6"/>
              </w:rPr>
              <w:t>Coupon</w:t>
            </w:r>
          </w:p>
        </w:tc>
        <w:tc>
          <w:tcPr>
            <w:tcW w:w="16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4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5"/>
                <w:szCs w:val="15"/>
                <w:color w:val="auto"/>
              </w:rPr>
            </w:pPr>
          </w:p>
        </w:tc>
        <w:tc>
          <w:tcPr>
            <w:tcW w:w="760" w:type="dxa"/>
            <w:vAlign w:val="bottom"/>
            <w:gridSpan w:val="4"/>
          </w:tcPr>
          <w:p>
            <w:pPr>
              <w:ind w:left="1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jc w:val="right"/>
              <w:ind w:right="360"/>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8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Preferred Equity/Partnership Interests —2.0%</w:t>
            </w:r>
            <w:r>
              <w:rPr>
                <w:rFonts w:ascii="Arial" w:cs="Arial" w:eastAsia="Arial" w:hAnsi="Arial"/>
                <w:sz w:val="16"/>
                <w:szCs w:val="16"/>
                <w:b w:val="1"/>
                <w:bCs w:val="1"/>
                <w:color w:val="auto"/>
                <w:vertAlign w:val="superscript"/>
              </w:rPr>
              <w:t>(7)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LLC (Advanstar Inc.)</w:t>
            </w:r>
          </w:p>
        </w:tc>
        <w:tc>
          <w:tcPr>
            <w:tcW w:w="10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8"/>
              </w:rPr>
              <w:t>Other Media</w:t>
            </w: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319</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318,896</w:t>
            </w:r>
          </w:p>
        </w:tc>
        <w:tc>
          <w:tcPr>
            <w:tcW w:w="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30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5"/>
              </w:rPr>
              <w:t>Aerospace and Defense</w:t>
            </w:r>
          </w:p>
        </w:tc>
        <w:tc>
          <w:tcPr>
            <w:tcW w:w="4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12.00%</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797</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797,288</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1,070,352</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10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30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3"/>
              </w:rPr>
              <w:t>Business Services</w:t>
            </w:r>
          </w:p>
        </w:tc>
        <w:tc>
          <w:tcPr>
            <w:tcW w:w="480" w:type="dxa"/>
            <w:vAlign w:val="bottom"/>
          </w:tcPr>
          <w:p>
            <w:pPr>
              <w:jc w:val="center"/>
              <w:spacing w:after="0" w:line="159" w:lineRule="exact"/>
              <w:rPr>
                <w:sz w:val="20"/>
                <w:szCs w:val="20"/>
                <w:color w:val="auto"/>
              </w:rPr>
            </w:pPr>
            <w:r>
              <w:rPr>
                <w:rFonts w:ascii="Arial" w:cs="Arial" w:eastAsia="Arial" w:hAnsi="Arial"/>
                <w:sz w:val="14"/>
                <w:szCs w:val="14"/>
                <w:color w:val="auto"/>
                <w:w w:val="90"/>
              </w:rPr>
              <w:t>9.00%</w:t>
            </w:r>
          </w:p>
        </w:tc>
        <w:tc>
          <w:tcPr>
            <w:tcW w:w="160" w:type="dxa"/>
            <w:vAlign w:val="bottom"/>
          </w:tcPr>
          <w:p>
            <w:pPr>
              <w:spacing w:after="0"/>
              <w:rPr>
                <w:sz w:val="13"/>
                <w:szCs w:val="13"/>
                <w:color w:val="auto"/>
              </w:rPr>
            </w:pPr>
          </w:p>
        </w:tc>
        <w:tc>
          <w:tcPr>
            <w:tcW w:w="640" w:type="dxa"/>
            <w:vAlign w:val="bottom"/>
          </w:tcPr>
          <w:p>
            <w:pPr>
              <w:ind w:left="44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144,375</w:t>
            </w:r>
          </w:p>
        </w:tc>
        <w:tc>
          <w:tcPr>
            <w:tcW w:w="14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144,376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148,909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Aerospace and Defense</w:t>
            </w:r>
          </w:p>
        </w:tc>
        <w:tc>
          <w:tcPr>
            <w:tcW w:w="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4,137,240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3,869,263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A (Trizetto Group, Inc.)</w:t>
            </w:r>
          </w:p>
        </w:tc>
        <w:tc>
          <w:tcPr>
            <w:tcW w:w="10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spacing w:after="0"/>
              <w:rPr>
                <w:sz w:val="12"/>
                <w:szCs w:val="12"/>
                <w:color w:val="auto"/>
              </w:rPr>
            </w:pPr>
          </w:p>
        </w:tc>
        <w:tc>
          <w:tcPr>
            <w:tcW w:w="148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84"/>
              </w:rPr>
              <w:t>Insurance</w:t>
            </w: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686</w:t>
            </w:r>
          </w:p>
        </w:tc>
        <w:tc>
          <w:tcPr>
            <w:tcW w:w="14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685,820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685,820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 (Trizetto Group, Inc.)</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960"/>
              <w:spacing w:after="0" w:line="149" w:lineRule="exact"/>
              <w:rPr>
                <w:sz w:val="20"/>
                <w:szCs w:val="20"/>
                <w:color w:val="auto"/>
              </w:rPr>
            </w:pPr>
            <w:r>
              <w:rPr>
                <w:rFonts w:ascii="Arial" w:cs="Arial" w:eastAsia="Arial" w:hAnsi="Arial"/>
                <w:sz w:val="14"/>
                <w:szCs w:val="14"/>
                <w:color w:val="auto"/>
                <w:w w:val="84"/>
              </w:rPr>
              <w:t>Insurance</w:t>
            </w:r>
          </w:p>
        </w:tc>
        <w:tc>
          <w:tcPr>
            <w:tcW w:w="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6.50%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1,312</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1,312,006</w:t>
            </w: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1,495,885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100" w:type="dxa"/>
            <w:vAlign w:val="bottom"/>
          </w:tcPr>
          <w:p>
            <w:pPr>
              <w:spacing w:after="0"/>
              <w:rPr>
                <w:sz w:val="14"/>
                <w:szCs w:val="14"/>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30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6"/>
              </w:rPr>
              <w:t>Oil and Gas</w:t>
            </w:r>
          </w:p>
        </w:tc>
        <w:tc>
          <w:tcPr>
            <w:tcW w:w="480" w:type="dxa"/>
            <w:vAlign w:val="bottom"/>
          </w:tcPr>
          <w:p>
            <w:pPr>
              <w:jc w:val="center"/>
              <w:spacing w:after="0" w:line="159" w:lineRule="exact"/>
              <w:rPr>
                <w:sz w:val="20"/>
                <w:szCs w:val="20"/>
                <w:color w:val="auto"/>
              </w:rPr>
            </w:pPr>
            <w:r>
              <w:rPr>
                <w:rFonts w:ascii="Arial" w:cs="Arial" w:eastAsia="Arial" w:hAnsi="Arial"/>
                <w:sz w:val="14"/>
                <w:szCs w:val="14"/>
                <w:color w:val="auto"/>
                <w:w w:val="90"/>
              </w:rPr>
              <w:t>8.00%</w:t>
            </w:r>
          </w:p>
        </w:tc>
        <w:tc>
          <w:tcPr>
            <w:tcW w:w="160" w:type="dxa"/>
            <w:vAlign w:val="bottom"/>
          </w:tcPr>
          <w:p>
            <w:pPr>
              <w:spacing w:after="0"/>
              <w:rPr>
                <w:sz w:val="14"/>
                <w:szCs w:val="14"/>
                <w:color w:val="auto"/>
              </w:rPr>
            </w:pPr>
          </w:p>
        </w:tc>
        <w:tc>
          <w:tcPr>
            <w:tcW w:w="640" w:type="dxa"/>
            <w:vAlign w:val="bottom"/>
          </w:tcPr>
          <w:p>
            <w:pPr>
              <w:ind w:left="44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91,608</w:t>
            </w:r>
          </w:p>
        </w:tc>
        <w:tc>
          <w:tcPr>
            <w:tcW w:w="140" w:type="dxa"/>
            <w:vAlign w:val="bottom"/>
          </w:tcPr>
          <w:p>
            <w:pPr>
              <w:spacing w:after="0"/>
              <w:rPr>
                <w:sz w:val="14"/>
                <w:szCs w:val="14"/>
                <w:color w:val="auto"/>
              </w:rPr>
            </w:pPr>
          </w:p>
        </w:tc>
        <w:tc>
          <w:tcPr>
            <w:tcW w:w="68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2,499,066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495,851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9,894,692</w:t>
            </w: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7,766,080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Equity/Warrants/Partnership Interests—9.9%</w:t>
            </w:r>
            <w:r>
              <w:rPr>
                <w:rFonts w:ascii="Arial" w:cs="Arial" w:eastAsia="Arial" w:hAnsi="Arial"/>
                <w:sz w:val="18"/>
                <w:szCs w:val="18"/>
                <w:b w:val="1"/>
                <w:bCs w:val="1"/>
                <w:color w:val="auto"/>
                <w:vertAlign w:val="superscript"/>
              </w:rPr>
              <w:t>(7)</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CEA Autumn Management, L.L.C.</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6"/>
              </w:rPr>
              <w:t>Broadcasting and Entertainment</w:t>
            </w:r>
          </w:p>
        </w:tc>
        <w:tc>
          <w:tcPr>
            <w:tcW w:w="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1,333</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10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30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5"/>
              </w:rPr>
              <w:t>Aerospace and Defense</w:t>
            </w:r>
          </w:p>
        </w:tc>
        <w:tc>
          <w:tcPr>
            <w:tcW w:w="4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640" w:type="dxa"/>
            <w:vAlign w:val="bottom"/>
          </w:tcPr>
          <w:p>
            <w:pPr>
              <w:ind w:left="44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1,627</w:t>
            </w:r>
          </w:p>
        </w:tc>
        <w:tc>
          <w:tcPr>
            <w:tcW w:w="14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16,271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387,012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30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3"/>
              </w:rPr>
              <w:t>Business Services</w:t>
            </w:r>
          </w:p>
        </w:tc>
        <w:tc>
          <w:tcPr>
            <w:tcW w:w="4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5,556</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3,200,000</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7,987,755</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10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7"/>
              </w:rPr>
              <w:t>Environmental Services</w:t>
            </w: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24,375</w:t>
            </w:r>
          </w:p>
        </w:tc>
        <w:tc>
          <w:tcPr>
            <w:tcW w:w="14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1,506,076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1,998,008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 (Warrants)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7"/>
              </w:rPr>
              <w:t>Environmental Services</w:t>
            </w:r>
          </w:p>
        </w:tc>
        <w:tc>
          <w:tcPr>
            <w:tcW w:w="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49,005</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3,027,906</w:t>
            </w: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4,016,429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10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Aerospace and Defense</w:t>
            </w: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457,322</w:t>
            </w:r>
          </w:p>
        </w:tc>
        <w:tc>
          <w:tcPr>
            <w:tcW w:w="14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454,030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Kadmon Holdings, L.L.C., Class A</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2300" w:type="dxa"/>
            <w:vAlign w:val="bottom"/>
            <w:gridSpan w:val="3"/>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87"/>
              </w:rPr>
              <w:t>Healthcare, Education and</w:t>
            </w:r>
          </w:p>
        </w:tc>
        <w:tc>
          <w:tcPr>
            <w:tcW w:w="4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8,999</w:t>
            </w: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1,780,693</w:t>
            </w: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1,780,693</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(Three Rivers Pharmaceutical, L.L.C.)</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960"/>
              <w:spacing w:after="0"/>
              <w:rPr>
                <w:sz w:val="20"/>
                <w:szCs w:val="20"/>
                <w:color w:val="auto"/>
              </w:rPr>
            </w:pPr>
            <w:r>
              <w:rPr>
                <w:rFonts w:ascii="Arial" w:cs="Arial" w:eastAsia="Arial" w:hAnsi="Arial"/>
                <w:sz w:val="14"/>
                <w:szCs w:val="14"/>
                <w:color w:val="auto"/>
                <w:w w:val="87"/>
              </w:rPr>
              <w:t>Childcare</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tcPr>
          <w:p>
            <w:pPr>
              <w:spacing w:after="0" w:line="138" w:lineRule="exact"/>
              <w:rPr>
                <w:sz w:val="20"/>
                <w:szCs w:val="20"/>
                <w:color w:val="auto"/>
              </w:rPr>
            </w:pPr>
            <w:r>
              <w:rPr>
                <w:rFonts w:ascii="Arial" w:cs="Arial" w:eastAsia="Arial" w:hAnsi="Arial"/>
                <w:sz w:val="14"/>
                <w:szCs w:val="14"/>
                <w:color w:val="auto"/>
              </w:rPr>
              <w:t>Kadmon Holdings, L.L.C., Class D</w:t>
            </w:r>
          </w:p>
        </w:tc>
        <w:tc>
          <w:tcPr>
            <w:tcW w:w="100" w:type="dxa"/>
            <w:vAlign w:val="bottom"/>
          </w:tcPr>
          <w:p>
            <w:pPr>
              <w:spacing w:after="0"/>
              <w:rPr>
                <w:sz w:val="11"/>
                <w:szCs w:val="11"/>
                <w:color w:val="auto"/>
              </w:rPr>
            </w:pPr>
          </w:p>
        </w:tc>
        <w:tc>
          <w:tcPr>
            <w:tcW w:w="82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2300" w:type="dxa"/>
            <w:vAlign w:val="bottom"/>
            <w:gridSpan w:val="3"/>
          </w:tcPr>
          <w:p>
            <w:pPr>
              <w:jc w:val="center"/>
              <w:ind w:right="140"/>
              <w:spacing w:after="0" w:line="138" w:lineRule="exact"/>
              <w:rPr>
                <w:sz w:val="20"/>
                <w:szCs w:val="20"/>
                <w:color w:val="auto"/>
              </w:rPr>
            </w:pPr>
            <w:r>
              <w:rPr>
                <w:rFonts w:ascii="Arial" w:cs="Arial" w:eastAsia="Arial" w:hAnsi="Arial"/>
                <w:sz w:val="14"/>
                <w:szCs w:val="14"/>
                <w:color w:val="auto"/>
                <w:w w:val="87"/>
              </w:rPr>
              <w:t>Healthcare, Education and</w:t>
            </w:r>
          </w:p>
        </w:tc>
        <w:tc>
          <w:tcPr>
            <w:tcW w:w="48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1"/>
                <w:szCs w:val="11"/>
                <w:color w:val="auto"/>
              </w:rPr>
            </w:pPr>
          </w:p>
        </w:tc>
        <w:tc>
          <w:tcPr>
            <w:tcW w:w="640" w:type="dxa"/>
            <w:vAlign w:val="bottom"/>
          </w:tcPr>
          <w:p>
            <w:pPr>
              <w:ind w:left="440"/>
              <w:spacing w:after="0" w:line="138"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8,999</w:t>
            </w:r>
          </w:p>
        </w:tc>
        <w:tc>
          <w:tcPr>
            <w:tcW w:w="14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857,339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857,339</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gridSpan w:val="2"/>
          </w:tcPr>
          <w:p>
            <w:pPr>
              <w:ind w:left="200"/>
              <w:spacing w:after="0"/>
              <w:rPr>
                <w:sz w:val="20"/>
                <w:szCs w:val="20"/>
                <w:color w:val="auto"/>
              </w:rPr>
            </w:pPr>
            <w:r>
              <w:rPr>
                <w:rFonts w:ascii="Arial" w:cs="Arial" w:eastAsia="Arial" w:hAnsi="Arial"/>
                <w:sz w:val="14"/>
                <w:szCs w:val="14"/>
                <w:color w:val="auto"/>
              </w:rPr>
              <w:t>(Three Rivers Pharmaceutical, L.L.C.)</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80" w:type="dxa"/>
            <w:vAlign w:val="bottom"/>
            <w:gridSpan w:val="2"/>
          </w:tcPr>
          <w:p>
            <w:pPr>
              <w:jc w:val="center"/>
              <w:ind w:right="960"/>
              <w:spacing w:after="0"/>
              <w:rPr>
                <w:sz w:val="20"/>
                <w:szCs w:val="20"/>
                <w:color w:val="auto"/>
              </w:rPr>
            </w:pPr>
            <w:r>
              <w:rPr>
                <w:rFonts w:ascii="Arial" w:cs="Arial" w:eastAsia="Arial" w:hAnsi="Arial"/>
                <w:sz w:val="14"/>
                <w:szCs w:val="14"/>
                <w:color w:val="auto"/>
                <w:w w:val="87"/>
              </w:rPr>
              <w:t>Childcare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04/27/2020</w:t>
            </w:r>
          </w:p>
        </w:tc>
        <w:tc>
          <w:tcPr>
            <w:tcW w:w="230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9"/>
              </w:rPr>
              <w:t>Education</w:t>
            </w:r>
          </w:p>
        </w:tc>
        <w:tc>
          <w:tcPr>
            <w:tcW w:w="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1,267</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779,920</w:t>
            </w: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633,308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10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6"/>
              </w:rPr>
              <w:t>Oil and Gas</w:t>
            </w: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1,055,932</w:t>
            </w:r>
          </w:p>
        </w:tc>
        <w:tc>
          <w:tcPr>
            <w:tcW w:w="14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2,464,999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4,350,440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A</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30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8"/>
              </w:rPr>
              <w:t>Other Media</w:t>
            </w:r>
          </w:p>
        </w:tc>
        <w:tc>
          <w:tcPr>
            <w:tcW w:w="4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4,325</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1,306,167</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1,081,683</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B</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10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30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8"/>
              </w:rPr>
              <w:t>Other Media</w:t>
            </w:r>
          </w:p>
        </w:tc>
        <w:tc>
          <w:tcPr>
            <w:tcW w:w="4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640" w:type="dxa"/>
            <w:vAlign w:val="bottom"/>
          </w:tcPr>
          <w:p>
            <w:pPr>
              <w:ind w:left="44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531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132,803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12/29/2019</w:t>
            </w:r>
          </w:p>
        </w:tc>
        <w:tc>
          <w:tcPr>
            <w:tcW w:w="230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3"/>
              </w:rPr>
              <w:t>Business Services</w:t>
            </w:r>
          </w:p>
        </w:tc>
        <w:tc>
          <w:tcPr>
            <w:tcW w:w="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973,875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10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30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6"/>
              </w:rPr>
              <w:t>Cargo Transport</w:t>
            </w:r>
          </w:p>
        </w:tc>
        <w:tc>
          <w:tcPr>
            <w:tcW w:w="4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640" w:type="dxa"/>
            <w:vAlign w:val="bottom"/>
          </w:tcPr>
          <w:p>
            <w:pPr>
              <w:ind w:left="44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137,923</w:t>
            </w:r>
          </w:p>
        </w:tc>
        <w:tc>
          <w:tcPr>
            <w:tcW w:w="140" w:type="dxa"/>
            <w:vAlign w:val="bottom"/>
          </w:tcPr>
          <w:p>
            <w:pPr>
              <w:spacing w:after="0"/>
              <w:rPr>
                <w:sz w:val="13"/>
                <w:szCs w:val="13"/>
                <w:color w:val="auto"/>
              </w:rPr>
            </w:pPr>
          </w:p>
        </w:tc>
        <w:tc>
          <w:tcPr>
            <w:tcW w:w="7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2,111,588</w:t>
            </w:r>
          </w:p>
        </w:tc>
        <w:tc>
          <w:tcPr>
            <w:tcW w:w="14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4,589,906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960"/>
              <w:spacing w:after="0" w:line="159" w:lineRule="exact"/>
              <w:rPr>
                <w:sz w:val="20"/>
                <w:szCs w:val="20"/>
                <w:color w:val="auto"/>
              </w:rPr>
            </w:pPr>
            <w:r>
              <w:rPr>
                <w:rFonts w:ascii="Arial" w:cs="Arial" w:eastAsia="Arial" w:hAnsi="Arial"/>
                <w:sz w:val="14"/>
                <w:szCs w:val="14"/>
                <w:color w:val="auto"/>
                <w:w w:val="84"/>
              </w:rPr>
              <w:t>Insurance</w:t>
            </w:r>
          </w:p>
        </w:tc>
        <w:tc>
          <w:tcPr>
            <w:tcW w:w="4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9,843</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1,688,629</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10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30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6"/>
              </w:rPr>
              <w:t>Oil and Gas</w:t>
            </w:r>
          </w:p>
        </w:tc>
        <w:tc>
          <w:tcPr>
            <w:tcW w:w="4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640" w:type="dxa"/>
            <w:vAlign w:val="bottom"/>
          </w:tcPr>
          <w:p>
            <w:pPr>
              <w:ind w:left="44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91,608</w:t>
            </w:r>
          </w:p>
        </w:tc>
        <w:tc>
          <w:tcPr>
            <w:tcW w:w="14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916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VText Holdings, Inc.</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3"/>
              </w:rPr>
              <w:t>Business Services</w:t>
            </w:r>
          </w:p>
        </w:tc>
        <w:tc>
          <w:tcPr>
            <w:tcW w:w="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35,526</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4,050,000</w:t>
            </w: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4,634,758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4"/>
              </w:rPr>
              <w:t>24,595,148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4"/>
          </w:tcPr>
          <w:p>
            <w:pPr>
              <w:jc w:val="right"/>
              <w:ind w:right="220"/>
              <w:spacing w:after="0" w:line="155" w:lineRule="exact"/>
              <w:rPr>
                <w:sz w:val="20"/>
                <w:szCs w:val="20"/>
                <w:color w:val="auto"/>
              </w:rPr>
            </w:pPr>
            <w:r>
              <w:rPr>
                <w:rFonts w:ascii="Arial" w:cs="Arial" w:eastAsia="Arial" w:hAnsi="Arial"/>
                <w:sz w:val="14"/>
                <w:szCs w:val="14"/>
                <w:color w:val="auto"/>
                <w:w w:val="94"/>
              </w:rPr>
              <w:t>38,112,638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9"/>
              </w:rPr>
              <w:t>Investments in Non-Controlled, Non-Affiliated Portfolio Companies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631,280,755</w:t>
            </w: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641,290,626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Basis Point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Spread</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86"/>
              </w:rPr>
              <w:t>Current</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Above</w:t>
            </w:r>
          </w:p>
        </w:tc>
        <w:tc>
          <w:tcPr>
            <w:tcW w:w="180" w:type="dxa"/>
            <w:vAlign w:val="bottom"/>
          </w:tcPr>
          <w:p>
            <w:pPr>
              <w:spacing w:after="0"/>
              <w:rPr>
                <w:sz w:val="11"/>
                <w:szCs w:val="11"/>
                <w:color w:val="auto"/>
              </w:rPr>
            </w:pPr>
          </w:p>
        </w:tc>
        <w:tc>
          <w:tcPr>
            <w:tcW w:w="60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36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22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Maturity</w:t>
            </w:r>
          </w:p>
        </w:tc>
        <w:tc>
          <w:tcPr>
            <w:tcW w:w="780" w:type="dxa"/>
            <w:vAlign w:val="bottom"/>
          </w:tcPr>
          <w:p>
            <w:pPr>
              <w:spacing w:after="0"/>
              <w:rPr>
                <w:sz w:val="15"/>
                <w:szCs w:val="15"/>
                <w:color w:val="auto"/>
              </w:rPr>
            </w:pPr>
          </w:p>
        </w:tc>
        <w:tc>
          <w:tcPr>
            <w:tcW w:w="14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0"/>
              </w:rPr>
              <w:t>Industry</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Coupon</w:t>
            </w:r>
          </w:p>
        </w:tc>
        <w:tc>
          <w:tcPr>
            <w:tcW w:w="88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8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right"/>
              <w:ind w:right="260"/>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00" w:type="dxa"/>
            <w:vAlign w:val="bottom"/>
            <w:gridSpan w:val="5"/>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Affiliated Portfolio Companies—4.0%</w:t>
            </w:r>
            <w:r>
              <w:rPr>
                <w:rFonts w:ascii="Arial" w:cs="Arial" w:eastAsia="Arial" w:hAnsi="Arial"/>
                <w:sz w:val="16"/>
                <w:szCs w:val="16"/>
                <w:b w:val="1"/>
                <w:bCs w:val="1"/>
                <w:color w:val="auto"/>
                <w:vertAlign w:val="superscript"/>
              </w:rPr>
              <w:t>(1),(2)</w:t>
            </w: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Second Lien Secured Debt—2.0%</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Performance, Inc.</w:t>
            </w:r>
          </w:p>
        </w:tc>
        <w:tc>
          <w:tcPr>
            <w:tcW w:w="10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01/16/2015</w:t>
            </w:r>
          </w:p>
        </w:tc>
        <w:tc>
          <w:tcPr>
            <w:tcW w:w="22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9"/>
              </w:rPr>
              <w:t>Leisure, Amusement, Motion</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7.50%</w:t>
            </w:r>
          </w:p>
        </w:tc>
        <w:tc>
          <w:tcPr>
            <w:tcW w:w="8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$8,000,000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7,584,000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3"/>
          </w:tcPr>
          <w:p>
            <w:pPr>
              <w:jc w:val="center"/>
              <w:ind w:right="180"/>
              <w:spacing w:after="0" w:line="155" w:lineRule="exact"/>
              <w:rPr>
                <w:sz w:val="20"/>
                <w:szCs w:val="20"/>
                <w:color w:val="auto"/>
              </w:rPr>
            </w:pPr>
            <w:r>
              <w:rPr>
                <w:rFonts w:ascii="Arial" w:cs="Arial" w:eastAsia="Arial" w:hAnsi="Arial"/>
                <w:sz w:val="14"/>
                <w:szCs w:val="14"/>
                <w:color w:val="auto"/>
                <w:w w:val="86"/>
              </w:rPr>
              <w:t>Pictures and Entertainment</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Notes—1.5%</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Performance Holdings, Inc.</w:t>
            </w:r>
          </w:p>
        </w:tc>
        <w:tc>
          <w:tcPr>
            <w:tcW w:w="10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07/16/2015</w:t>
            </w:r>
          </w:p>
        </w:tc>
        <w:tc>
          <w:tcPr>
            <w:tcW w:w="224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8"/>
              </w:rPr>
              <w:t>Leisure, Amusement, Motion</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8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5,848,176</w:t>
            </w: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5,677,648</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5,745,832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4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6"/>
              </w:rPr>
              <w:t>Pictures and Entertainment</w:t>
            </w: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Common Equity/Partnership Interest—0.5%</w:t>
            </w:r>
            <w:r>
              <w:rPr>
                <w:rFonts w:ascii="Arial" w:cs="Arial" w:eastAsia="Arial" w:hAnsi="Arial"/>
                <w:sz w:val="17"/>
                <w:szCs w:val="17"/>
                <w:b w:val="1"/>
                <w:bCs w:val="1"/>
                <w:color w:val="auto"/>
                <w:vertAlign w:val="superscript"/>
              </w:rPr>
              <w:t>(7)</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NCP-Performance (Performance Holdings, Inc.)</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2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9"/>
              </w:rPr>
              <w:t>Leisure, Amusement, Motion</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37,500</w:t>
            </w: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2,103,848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3"/>
          </w:tcPr>
          <w:p>
            <w:pPr>
              <w:jc w:val="center"/>
              <w:ind w:right="180"/>
              <w:spacing w:after="0" w:line="155" w:lineRule="exact"/>
              <w:rPr>
                <w:sz w:val="20"/>
                <w:szCs w:val="20"/>
                <w:color w:val="auto"/>
              </w:rPr>
            </w:pPr>
            <w:r>
              <w:rPr>
                <w:rFonts w:ascii="Arial" w:cs="Arial" w:eastAsia="Arial" w:hAnsi="Arial"/>
                <w:sz w:val="14"/>
                <w:szCs w:val="14"/>
                <w:color w:val="auto"/>
                <w:w w:val="86"/>
              </w:rPr>
              <w:t>Pictures and Entertainment</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2"/>
              </w:rPr>
              <w:t>Investments in Non-Controlled, Affiliated Portfolio Company</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17,427,648</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15,433,680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gridSpan w:val="5"/>
          </w:tcPr>
          <w:p>
            <w:pPr>
              <w:spacing w:after="0" w:line="156" w:lineRule="exact"/>
              <w:rPr>
                <w:sz w:val="20"/>
                <w:szCs w:val="20"/>
                <w:color w:val="auto"/>
              </w:rPr>
            </w:pPr>
            <w:r>
              <w:rPr>
                <w:rFonts w:ascii="Arial" w:cs="Arial" w:eastAsia="Arial" w:hAnsi="Arial"/>
                <w:sz w:val="12"/>
                <w:szCs w:val="12"/>
                <w:b w:val="1"/>
                <w:bCs w:val="1"/>
                <w:color w:val="auto"/>
              </w:rPr>
              <w:t>Investments in Controlled, Affiliated Portfolio Companies—2.1%</w:t>
            </w:r>
            <w:r>
              <w:rPr>
                <w:rFonts w:ascii="Arial" w:cs="Arial" w:eastAsia="Arial" w:hAnsi="Arial"/>
                <w:sz w:val="18"/>
                <w:szCs w:val="18"/>
                <w:b w:val="1"/>
                <w:bCs w:val="1"/>
                <w:color w:val="auto"/>
                <w:vertAlign w:val="superscript"/>
              </w:rPr>
              <w:t>(1),(2)</w:t>
            </w: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First Lien Secured Debt—1.4%</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10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06/30/2020</w:t>
            </w:r>
          </w:p>
        </w:tc>
        <w:tc>
          <w:tcPr>
            <w:tcW w:w="22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3"/>
              </w:rPr>
              <w:t>Business Services</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8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4,800,000</w:t>
            </w: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4,800,000</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5,352,000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10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06/30/2020</w:t>
            </w:r>
          </w:p>
        </w:tc>
        <w:tc>
          <w:tcPr>
            <w:tcW w:w="22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3"/>
              </w:rPr>
              <w:t>Business Services</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8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1,200,000</w:t>
            </w: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1,200,000</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1,142,398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Equity—0.4%</w:t>
            </w:r>
            <w:r>
              <w:rPr>
                <w:rFonts w:ascii="Arial" w:cs="Arial" w:eastAsia="Arial" w:hAnsi="Arial"/>
                <w:sz w:val="17"/>
                <w:szCs w:val="17"/>
                <w:b w:val="1"/>
                <w:bCs w:val="1"/>
                <w:color w:val="auto"/>
                <w:vertAlign w:val="superscript"/>
              </w:rPr>
              <w:t>(7)</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220" w:type="dxa"/>
            <w:vAlign w:val="bottom"/>
          </w:tcPr>
          <w:p>
            <w:pPr>
              <w:spacing w:after="0"/>
              <w:rPr>
                <w:sz w:val="13"/>
                <w:szCs w:val="13"/>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2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3"/>
              </w:rPr>
              <w:t>Business Services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14.00%</w:t>
            </w:r>
          </w:p>
        </w:tc>
        <w:tc>
          <w:tcPr>
            <w:tcW w:w="8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2,000,000</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1,505,602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(7)</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220" w:type="dxa"/>
            <w:vAlign w:val="bottom"/>
          </w:tcPr>
          <w:p>
            <w:pPr>
              <w:spacing w:after="0"/>
              <w:rPr>
                <w:sz w:val="13"/>
                <w:szCs w:val="13"/>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2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3"/>
              </w:rPr>
              <w:t>Business Services</w:t>
            </w: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Controlled, Affiliated Portfolio Company</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8,000,100</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8,000,100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Investments—172.0%</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84"/>
              </w:rPr>
              <w:t>656,708,503</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89"/>
              </w:rPr>
              <w:t>664,724,406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Equivalents—0.5%</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1,814,451</w:t>
            </w: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4"/>
              </w:rPr>
              <w:t>Total Investments and Cash and Cash Equivalents—172.5%</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84"/>
              </w:rPr>
              <w:t>658,522,954</w:t>
            </w:r>
          </w:p>
        </w:tc>
        <w:tc>
          <w:tcPr>
            <w:tcW w:w="2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89"/>
              </w:rPr>
              <w:t>666,538,857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OtherAssets—(72.5%)</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84"/>
              </w:rPr>
              <w:t>(279,963,634)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89"/>
              </w:rPr>
              <w:t>386,575,223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6636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hanging="332"/>
        <w:spacing w:after="0" w:line="221"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Prime Rate.</w:t>
      </w:r>
    </w:p>
    <w:p>
      <w:pPr>
        <w:ind w:left="340" w:right="380" w:hanging="332"/>
        <w:spacing w:after="0" w:line="221"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usually to qualified institutional buyers.</w:t>
      </w:r>
    </w:p>
    <w:p>
      <w:pPr>
        <w:ind w:left="340" w:hanging="332"/>
        <w:spacing w:after="0" w:line="221"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340" w:hanging="332"/>
        <w:spacing w:after="0" w:line="221"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Except where the context suggests otherwise, the terms “we,” “us,” “our” or “PennantPark Investment” refer to PennantPark Investment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References to our portfolio and investments include investments made through our consolidated SBIC subsidiary.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 is a closed-end, externally managed, non-diversified investment company that has elected to be treated as a business development company under the Investment Company Act of 1940 (the “1940 Act”). PennantPark Investment’s objective is to generate both current income and capital appreciation through debt and equity investments. PennantPark Investment invests primarily in U.S. middle-market companies in the form of senior secured loans, mezzanine debt and equity investments.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April 24, 2007, PennantPark Investment closed its initial public offering and its common stock trades on the NASDAQ Global Select Market under the symbol “PNNT”. We entered into an investment management agreement (the “Investment Management Agreement”) with PennantPark Investment Advisers, LLC (the “Investment Adviser” or “PennantPark Investment Advisers”), an external adviser that manages our day-to-day operations. We also entered into an administration agreement (the “Administration Agreement”) with PennantPark Investment Administration, LLC (the “Administrator” or “PennantPark Investment Administration”) that provides the administrative services necessary for us to operate.</w:t>
      </w:r>
    </w:p>
    <w:p>
      <w:pPr>
        <w:spacing w:after="0" w:line="116"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PennantPark Investment, through the Investment Adviser, manages day-to-day operations of and provides investment advisory services to PennantPark SBIC LP (“SBIC LP”) under a separate investment management agreement with us. PennantPark Investment, through the Administrator, also provides similar services to SBIC LP and our controlled affiliate SuttonPark Holdings, Inc. and its subsidiaries (“SPH”) under separate administration agreements with us. See Note 3 for more information.</w:t>
      </w:r>
    </w:p>
    <w:p>
      <w:pPr>
        <w:spacing w:after="0" w:line="14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SBIC LP and its general partner, SBIC GP, LLC (collectively “our SBIC”), were organized in Delaware as a limited partnership and a limited liability company, respectively, on May 7, 2010 and began operations on June 11, 2010. SBIC LP received a license from the Small Business Administration (“SBA”) to operate as a Small Business Investment Company (“SBIC”) effective July 30, 2010 under Section 301(c) of the Small Business Investment Act of 1958 (the “1958 Act”). Our SBIC subsidiaries are consolidated wholly owned subsidiaries of PennantPark Investment. The SBIC LP’s objective is to generate both current income and capital appreciation through debt and equity investments. SBIC LP generally invests with us in SBA eligible businesses that meet the investment criteria used by PennantPark Investment.</w:t>
      </w:r>
    </w:p>
    <w:p>
      <w:pPr>
        <w:spacing w:after="0" w:line="144"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PennantPark Investment completed its initial public offering of common stock in 2007 and issued 21.0 million shares raising $294.1 million in net proceeds. Since our initial public offering, we have sold 15.1 million shares of common stock through follow-on public offerings, resulting in net proceeds of $134.2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(“GAAP”) requires management to make estimates and assumptions that affect the reported amount of our consolidated assets and liabilities at the date of the consolidated financial statements and the reported amounts of income and expenses during the reported period. Actual results could differ from these estimates. We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5" w:lineRule="auto"/>
        <w:rPr>
          <w:sz w:val="20"/>
          <w:szCs w:val="20"/>
          <w:color w:val="auto"/>
        </w:rPr>
      </w:pPr>
      <w:r>
        <w:rPr>
          <w:rFonts w:ascii="Arial" w:cs="Arial" w:eastAsia="Arial" w:hAnsi="Arial"/>
          <w:sz w:val="15"/>
          <w:szCs w:val="15"/>
          <w:color w:val="auto"/>
        </w:rPr>
        <w:t>have reclassified certain prior period amounts to conform to the current period presentation. We have eliminated all intercompany balances and transactions. References to the Accounting Standards Codification (“ASC”) serve as a single source of accounting literature and are not intended to change accounting literature. Subsequent events are evaluated and disclosed as appropriate for events occurring through the date the consolidated financial statements are issued.</w:t>
      </w:r>
    </w:p>
    <w:p>
      <w:pPr>
        <w:spacing w:after="0" w:line="8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 and Article 6 or 10 of Regulation S-X, as appropriate. In accordance with Article 6-09 of Regulation S-X under the Exchange Act, we have provided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and our SBIC are:</w:t>
      </w:r>
    </w:p>
    <w:p>
      <w:pPr>
        <w:spacing w:after="0" w:line="293" w:lineRule="exact"/>
        <w:rPr>
          <w:sz w:val="20"/>
          <w:szCs w:val="20"/>
          <w:color w:val="auto"/>
        </w:rPr>
      </w:pPr>
    </w:p>
    <w:p>
      <w:pPr>
        <w:ind w:left="1480" w:hanging="567"/>
        <w:spacing w:after="0"/>
        <w:tabs>
          <w:tab w:leader="none" w:pos="1480"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consolidated financial statements.</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9" w:lineRule="exact"/>
        <w:rPr>
          <w:sz w:val="20"/>
          <w:szCs w:val="20"/>
          <w:color w:val="auto"/>
        </w:rPr>
      </w:pPr>
    </w:p>
    <w:p>
      <w:pPr>
        <w:ind w:left="900" w:right="300" w:hanging="446"/>
        <w:spacing w:after="0" w:line="33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254" w:lineRule="exact"/>
        <w:rPr>
          <w:sz w:val="20"/>
          <w:szCs w:val="20"/>
          <w:color w:val="auto"/>
        </w:rPr>
      </w:pPr>
    </w:p>
    <w:p>
      <w:pPr>
        <w:ind w:left="1480" w:hanging="567"/>
        <w:spacing w:after="0"/>
        <w:tabs>
          <w:tab w:leader="none" w:pos="1480" w:val="left"/>
        </w:tabs>
        <w:numPr>
          <w:ilvl w:val="0"/>
          <w:numId w:val="9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and deferred financing costs are capitalized and we then accreted or amortized such amounts using the effective interest method as interest income or interest expense as it relates to our deferred financing costs. We record prepayment premiums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34" w:lineRule="exact"/>
        <w:rPr>
          <w:sz w:val="20"/>
          <w:szCs w:val="20"/>
          <w:color w:val="auto"/>
        </w:rPr>
      </w:pPr>
    </w:p>
    <w:p>
      <w:pPr>
        <w:ind w:left="1480" w:hanging="567"/>
        <w:spacing w:after="0"/>
        <w:tabs>
          <w:tab w:leader="none" w:pos="1480" w:val="left"/>
        </w:tabs>
        <w:numPr>
          <w:ilvl w:val="0"/>
          <w:numId w:val="9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Since May 1, 2007, PennantPark Investment has complied with the requirements of Subchapter M of the Internal Revenue Code of 1986, as amended, (the “Code”), and expects to be subject to tax as a regulated investment company (“RIC”). As a RIC, PennantPark Investment accounts for income taxes using the asset liability method prescribed by ASC 740, Income Taxes. Under this method, income taxes were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Although we are subject to tax as a RIC, we elected to retain a portion of our calendar year income and incurred an excise tax of $0.1 million and $0.1 million for the three months ended December 31, 2010 and 2009, respectively. PennantPark Investment recognizes in its consolidated financial statements the effect of a tax position when it is more likely than not, based on the technical merits, that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inception-to-date federal tax years remain subject to examination by the Internal Revenue Service.</w:t>
      </w:r>
    </w:p>
    <w:p>
      <w:pPr>
        <w:spacing w:after="0" w:line="10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Book and tax basis differences relating to permanent book and tax differences are reclassified among PennantPark Investment’s capital accounts, as appropriate. Additionally, the character of income and gain distributions are determined in accordance with income tax regulations that may differ from U.S. generally accepted accounting principles.</w:t>
      </w:r>
    </w:p>
    <w:p>
      <w:pPr>
        <w:spacing w:after="0" w:line="262" w:lineRule="exact"/>
        <w:rPr>
          <w:sz w:val="20"/>
          <w:szCs w:val="20"/>
          <w:color w:val="auto"/>
        </w:rPr>
      </w:pPr>
    </w:p>
    <w:p>
      <w:pPr>
        <w:ind w:left="1480" w:hanging="567"/>
        <w:spacing w:after="0"/>
        <w:tabs>
          <w:tab w:leader="none" w:pos="1480" w:val="left"/>
        </w:tabs>
        <w:numPr>
          <w:ilvl w:val="0"/>
          <w:numId w:val="9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54" w:lineRule="exact"/>
        <w:rPr>
          <w:sz w:val="20"/>
          <w:szCs w:val="20"/>
          <w:color w:val="auto"/>
        </w:rPr>
      </w:pPr>
    </w:p>
    <w:p>
      <w:pPr>
        <w:ind w:left="1480" w:hanging="567"/>
        <w:spacing w:after="0"/>
        <w:tabs>
          <w:tab w:leader="none" w:pos="1480" w:val="left"/>
        </w:tabs>
        <w:numPr>
          <w:ilvl w:val="0"/>
          <w:numId w:val="9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As permitted under Regulation S-X and the AICPA Audit and Accounting Guide for Investment Companies, PennantPark Investment will generally not consolidate its investment in a company other than an investment company subsidiary or a controlled operating company whose business consists of providing services to us. Accordingly, we have consolidated the results of our SBIC in our consolidated financial statements.</w:t>
      </w:r>
    </w:p>
    <w:p>
      <w:pPr>
        <w:spacing w:after="0" w:line="228" w:lineRule="exact"/>
        <w:rPr>
          <w:sz w:val="20"/>
          <w:szCs w:val="20"/>
          <w:color w:val="auto"/>
        </w:rPr>
      </w:pPr>
    </w:p>
    <w:p>
      <w:pPr>
        <w:ind w:left="1480" w:hanging="567"/>
        <w:spacing w:after="0"/>
        <w:tabs>
          <w:tab w:leader="none" w:pos="1480" w:val="left"/>
        </w:tabs>
        <w:numPr>
          <w:ilvl w:val="0"/>
          <w:numId w:val="1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Pronouncements and Accounting Standards Updates (“ASU”)</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January 2010, the FASB issued ASU 2010-06,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(“ASU 2010-06”), to clarify and amend ASC 820-10. In particular, it requires that entities disclose on a gross basis purchases, sales, issuances, and settlements within the Level 3 fair value roll-forward. ASU 2010-06 clarifies existing fair value disclosures about the level of disaggregation as well as inputs and valuation techniques for both recurring and nonrecurring fair value measurements that fall into Level 2 or 3. The new disclosures are effective for fiscal years beginning after December 15, 2010, and for interim periods within those fiscal years. We have adopted the disclosures regarding the disaggregation of purchases, sales and settlements in the roll-forward of activity in Level 3 fair value measurements and it did not have a material impact on our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PennantPark Investment’s Investment Management Agreement with the Investment Adviser was re-approved by our board of directors, including a majority of our independent directors of PennantPark Investment, in February 2011. Under this agreement the Investment Adviser, subject to the overall supervision of PennantPark Investment’s board of directors, manages the day-to-day operations of and provides investment advisory services to PennantPark Investment. The SBIC LP investment management agreement does not affect the management or incentive fees that we pay to the Investment Adviser on a consolidated basis. For providing these services, the Investment Adviser receives a fee from PennantPark Investment, consisting of two components—a base management fee and an incentive fee (collectively, “Management Fees”).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base management fee is calculated at an annual rate of 2.00% on PennantPark Investment’s gross assets (net of U.S. Treasury Bills and/or temporary draws on the credit facility or “average adjusted gross assets”, if</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00"/>
          </w:cols>
          <w:pgMar w:left="240" w:top="460" w:right="3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any, see Note 10). The base management fee has been 2.00% since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three months ended December 31, 2010 and 2009, the Investment Adviser earned a net base management fee of $3.5 million and $2.5 million, respectively, from us.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2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2010 and 2009, the Investment Adviser earned an incentive fee of $2.8 million and $1.8 million, respectively, from us.</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PennantPark Investment’s Administration Agreement with the Administrator was reapproved by our board of directors, including a majority of our directors who are not interested persons of PennantPark Investment, in February 2011. Under this agreement PennantPark Investment Administration provides administrative services for PennantPark Investment. PennantPark Investment, through the Administrator, provides similar services to SBIC LP under its administration agreement with us.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Statement of Operations. For the three months ended December 31, 2010 and 2009, the Investment Adviser and</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40"/>
          </w:cols>
          <w:pgMar w:left="240" w:top="459" w:right="3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Administrator, collectively, were reimbursed $0.6 million and $0.3 million, respectively, from us, including expenses it incurred on behalf of the Administrator, for services described above.</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PennantPark Investment entered into an administration agreement with its controlled affiliate SuttonPark Holdings, Inc. and its subsidiaries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their respective staffs. For the three months ended December 31, 2010, the PennantPark Investment was reimbursed $0.1 million for the services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Purchases of long-term investments including PIK for the three months ended December 31, 2010 and 2009 totaled $102.9 million and $51.6 million, respectively. Sales and repayments of long-term investments for the three months ended December 31, 2010 and 2009 totaled $85.5 million and $16.8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December 31, 2010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2010</w:t>
            </w: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273,462,356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$ 277,618,893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236,707,418</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234,595,683</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Second lien</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103,136,129</w:t>
            </w:r>
          </w:p>
        </w:tc>
        <w:tc>
          <w:tcPr>
            <w:tcW w:w="1040" w:type="dxa"/>
            <w:vAlign w:val="bottom"/>
          </w:tcPr>
          <w:p>
            <w:pPr>
              <w:jc w:val="right"/>
              <w:spacing w:after="0"/>
              <w:rPr>
                <w:sz w:val="20"/>
                <w:szCs w:val="20"/>
                <w:color w:val="auto"/>
              </w:rPr>
            </w:pPr>
            <w:r>
              <w:rPr>
                <w:rFonts w:ascii="Arial" w:cs="Arial" w:eastAsia="Arial" w:hAnsi="Arial"/>
                <w:sz w:val="18"/>
                <w:szCs w:val="18"/>
                <w:color w:val="auto"/>
              </w:rPr>
              <w:t>101,451,697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159,611,934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156,671,151</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257,013,809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266,817,119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220,149,211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223,969,304</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Preferred equity</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15,974,552</w:t>
            </w:r>
          </w:p>
        </w:tc>
        <w:tc>
          <w:tcPr>
            <w:tcW w:w="1040" w:type="dxa"/>
            <w:vAlign w:val="bottom"/>
          </w:tcPr>
          <w:p>
            <w:pPr>
              <w:jc w:val="right"/>
              <w:spacing w:after="0"/>
              <w:rPr>
                <w:sz w:val="20"/>
                <w:szCs w:val="20"/>
                <w:color w:val="auto"/>
              </w:rPr>
            </w:pPr>
            <w:r>
              <w:rPr>
                <w:rFonts w:ascii="Arial" w:cs="Arial" w:eastAsia="Arial" w:hAnsi="Arial"/>
                <w:sz w:val="18"/>
                <w:szCs w:val="18"/>
                <w:color w:val="auto"/>
              </w:rPr>
              <w:t>14,290,136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11,894,692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9,271,682</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28,002,960</w:t>
            </w:r>
          </w:p>
        </w:tc>
        <w:tc>
          <w:tcPr>
            <w:tcW w:w="4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44,090,565</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28,345,248</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40,216,586</w:t>
            </w:r>
          </w:p>
        </w:tc>
        <w:tc>
          <w:tcPr>
            <w:tcW w:w="100" w:type="dxa"/>
            <w:vAlign w:val="bottom"/>
            <w:shd w:val="clear" w:color="auto" w:fill="CCEEFF"/>
          </w:tcPr>
          <w:p>
            <w:pPr>
              <w:spacing w:after="0"/>
              <w:rPr>
                <w:sz w:val="18"/>
                <w:szCs w:val="18"/>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677,589,806</w:t>
            </w:r>
          </w:p>
        </w:tc>
        <w:tc>
          <w:tcPr>
            <w:tcW w:w="4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704,268,410</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656,708,503</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664,724,406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3,022,137</w:t>
            </w:r>
          </w:p>
        </w:tc>
        <w:tc>
          <w:tcPr>
            <w:tcW w:w="4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3,022,137</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00" w:type="dxa"/>
            <w:vAlign w:val="bottom"/>
            <w:shd w:val="clear" w:color="auto" w:fill="CCEEFF"/>
          </w:tcPr>
          <w:p>
            <w:pPr>
              <w:spacing w:after="0"/>
              <w:rPr>
                <w:sz w:val="18"/>
                <w:szCs w:val="18"/>
                <w:color w:val="auto"/>
              </w:rPr>
            </w:pPr>
          </w:p>
        </w:tc>
      </w:tr>
      <w:tr>
        <w:trPr>
          <w:trHeight w:val="222"/>
        </w:trPr>
        <w:tc>
          <w:tcPr>
            <w:tcW w:w="4480" w:type="dxa"/>
            <w:vAlign w:val="bottom"/>
            <w:gridSpan w:val="2"/>
          </w:tcPr>
          <w:p>
            <w:pPr>
              <w:spacing w:after="0"/>
              <w:rPr>
                <w:sz w:val="20"/>
                <w:szCs w:val="20"/>
                <w:color w:val="auto"/>
              </w:rPr>
            </w:pPr>
            <w:r>
              <w:rPr>
                <w:rFonts w:ascii="Arial" w:cs="Arial" w:eastAsia="Arial" w:hAnsi="Arial"/>
                <w:sz w:val="18"/>
                <w:szCs w:val="18"/>
                <w:color w:val="auto"/>
              </w:rPr>
              <w:t>Total Investments and cash and cash equivalents</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680,611,943</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$ 707,290,547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658,522,954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666,538,857</w:t>
            </w: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F-20</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and cash equivalents) in such industries as of December 31, 2010 and September 30, 2010.</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6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December 31, 2010</w:t>
            </w:r>
          </w:p>
        </w:tc>
        <w:tc>
          <w:tcPr>
            <w:tcW w:w="1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1"/>
              </w:rPr>
              <w:t>Business Services</w:t>
            </w:r>
          </w:p>
        </w:tc>
        <w:tc>
          <w:tcPr>
            <w:tcW w:w="2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74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&amp; Childcare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and</w:t>
            </w: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Durable Consumer Products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Diversified/Conglomerate Services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Energy / Utilities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Grocery</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Leisure, Amusement, Motion Picture,</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Entertainment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Fair Value Measurements,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at the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jc w:val="center"/>
        <w:ind w:right="480"/>
        <w:spacing w:after="0" w:line="440" w:lineRule="auto"/>
        <w:rPr>
          <w:sz w:val="20"/>
          <w:szCs w:val="20"/>
          <w:color w:val="auto"/>
        </w:rPr>
      </w:pPr>
      <w:r>
        <w:rPr>
          <w:rFonts w:ascii="Arial" w:cs="Arial" w:eastAsia="Arial" w:hAnsi="Arial"/>
          <w:sz w:val="18"/>
          <w:szCs w:val="18"/>
          <w:color w:val="auto"/>
        </w:rPr>
        <w:t>Level 1: Inputs that are quoted prices (unadjusted) in active markets for identical assets or liabilities, accessible by us at the measurement date. F-21</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long-term credit facility are classified as Level 3.</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As of December 31, 2010, the observability of the valuation inputs has resulted in a reclassification from Level 3 to Level 2 during the period.</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to our consolidated financial statements). Consistent with our valuation policy, PennantPark Investment evaluates the source of inputs, including any markets in which its investments are trading, in determining fair value.</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December 31, 2010 and September 30, 2010, our cash and cash equivalents, investments and our long-term credit facility were categorized as follows in the fair value hierarchy for ASC 820 purposes.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December 31, 2010</w:t>
            </w: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80" w:type="dxa"/>
            <w:vAlign w:val="bottom"/>
            <w:gridSpan w:val="3"/>
            <w:vMerge w:val="continue"/>
          </w:tcPr>
          <w:p>
            <w:pPr>
              <w:spacing w:after="0"/>
              <w:rPr>
                <w:sz w:val="12"/>
                <w:szCs w:val="12"/>
                <w:color w:val="auto"/>
              </w:rPr>
            </w:pPr>
          </w:p>
        </w:tc>
        <w:tc>
          <w:tcPr>
            <w:tcW w:w="13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12"/>
                <w:szCs w:val="12"/>
                <w:color w:val="auto"/>
              </w:rPr>
            </w:pPr>
          </w:p>
        </w:tc>
        <w:tc>
          <w:tcPr>
            <w:tcW w:w="104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$ 645,887,709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39,546,063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$ 606,341,646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58,380,701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7,644,948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50,735,753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704,268,410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7,644,948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39,546,063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657,077,399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3,022,137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3,022,137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707,290,547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10,667,085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39,546,063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657,077,399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gridSpan w:val="3"/>
            <w:vMerge w:val="continue"/>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(248,445,750)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(248,445,750)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September 30, 2010</w:t>
            </w: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80" w:type="dxa"/>
            <w:vAlign w:val="bottom"/>
            <w:gridSpan w:val="3"/>
            <w:vMerge w:val="continue"/>
          </w:tcPr>
          <w:p>
            <w:pPr>
              <w:spacing w:after="0"/>
              <w:rPr>
                <w:sz w:val="12"/>
                <w:szCs w:val="12"/>
                <w:color w:val="auto"/>
              </w:rPr>
            </w:pPr>
          </w:p>
        </w:tc>
        <w:tc>
          <w:tcPr>
            <w:tcW w:w="13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12"/>
                <w:szCs w:val="12"/>
                <w:color w:val="auto"/>
              </w:rPr>
            </w:pPr>
          </w:p>
        </w:tc>
        <w:tc>
          <w:tcPr>
            <w:tcW w:w="104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$ 615,236,138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$ 615,236,138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49,488,268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4,350,440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45,137,828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664,724,406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4,350,440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660,373,966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1,814,451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1,814,451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666,538,857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6,164,891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660,373,966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gridSpan w:val="3"/>
            <w:vMerge w:val="continue"/>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(213,941,125)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(213,941,125)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 for the three months ended December 31, 2010 and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7"/>
          </w:tcPr>
          <w:p>
            <w:pPr>
              <w:jc w:val="center"/>
              <w:ind w:left="757"/>
              <w:spacing w:after="0"/>
              <w:rPr>
                <w:sz w:val="20"/>
                <w:szCs w:val="20"/>
                <w:color w:val="auto"/>
              </w:rPr>
            </w:pPr>
            <w:r>
              <w:rPr>
                <w:rFonts w:ascii="Arial" w:cs="Arial" w:eastAsia="Arial" w:hAnsi="Arial"/>
                <w:sz w:val="14"/>
                <w:szCs w:val="14"/>
                <w:b w:val="1"/>
                <w:bCs w:val="1"/>
                <w:color w:val="auto"/>
                <w:w w:val="87"/>
              </w:rPr>
              <w:t>Period Ended December 31, 2010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5"/>
              </w:rPr>
              <w:t>Loan and debt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93"/>
              </w:rPr>
              <w:t>Equity</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6"/>
              <w:spacing w:after="0"/>
              <w:rPr>
                <w:sz w:val="20"/>
                <w:szCs w:val="20"/>
                <w:color w:val="auto"/>
              </w:rPr>
            </w:pPr>
            <w:r>
              <w:rPr>
                <w:rFonts w:ascii="Arial" w:cs="Arial" w:eastAsia="Arial" w:hAnsi="Arial"/>
                <w:sz w:val="14"/>
                <w:szCs w:val="14"/>
                <w:b w:val="1"/>
                <w:bCs w:val="1"/>
                <w:color w:val="auto"/>
                <w:w w:val="83"/>
              </w:rPr>
              <w:t>investments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615,236,138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45,137,828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660,373,966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2,293,343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2,293,343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13,507,841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1,860,352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100,385,797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3,737,573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104,123,370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(85,535,410)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(85,535,410)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Non-cash exchanges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(39,546,063)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(39,546,063)</w:t>
            </w:r>
          </w:p>
        </w:tc>
        <w:tc>
          <w:tcPr>
            <w:tcW w:w="0" w:type="dxa"/>
            <w:vAlign w:val="bottom"/>
          </w:tcPr>
          <w:p>
            <w:pPr>
              <w:spacing w:after="0"/>
              <w:rPr>
                <w:sz w:val="1"/>
                <w:szCs w:val="1"/>
                <w:color w:val="auto"/>
              </w:rPr>
            </w:pPr>
          </w:p>
        </w:tc>
      </w:tr>
      <w:tr>
        <w:trPr>
          <w:trHeight w:val="222"/>
        </w:trPr>
        <w:tc>
          <w:tcPr>
            <w:tcW w:w="7400" w:type="dxa"/>
            <w:vAlign w:val="bottom"/>
            <w:gridSpan w:val="3"/>
          </w:tcPr>
          <w:p>
            <w:pPr>
              <w:spacing w:after="0"/>
              <w:rPr>
                <w:sz w:val="20"/>
                <w:szCs w:val="20"/>
                <w:color w:val="auto"/>
              </w:rPr>
            </w:pPr>
            <w:r>
              <w:rPr>
                <w:rFonts w:ascii="Arial" w:cs="Arial" w:eastAsia="Arial" w:hAnsi="Arial"/>
                <w:sz w:val="18"/>
                <w:szCs w:val="18"/>
                <w:color w:val="auto"/>
              </w:rPr>
              <w:t>Ending Balance, December 31, 2010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606,341,646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50,735,753</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657,077,399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7"/>
              </w:rPr>
              <w:t>Net change in unrealized appreciation for the year reported within the net change in unrealized</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appreciation on investments in our Statement of Operations attributable to our Level 3 assets still</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held at the reporting date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13,028,376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1,860,352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14,888,728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vMerge w:val="restart"/>
          </w:tcPr>
          <w:p>
            <w:pPr>
              <w:ind w:left="4820"/>
              <w:spacing w:after="0"/>
              <w:rPr>
                <w:sz w:val="20"/>
                <w:szCs w:val="20"/>
                <w:color w:val="auto"/>
              </w:rPr>
            </w:pPr>
            <w:r>
              <w:rPr>
                <w:rFonts w:ascii="Arial" w:cs="Arial" w:eastAsia="Arial" w:hAnsi="Arial"/>
                <w:sz w:val="18"/>
                <w:szCs w:val="18"/>
                <w:color w:val="auto"/>
              </w:rPr>
              <w:t>F-23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jc w:val="center"/>
              <w:ind w:left="737"/>
              <w:spacing w:after="0"/>
              <w:rPr>
                <w:sz w:val="20"/>
                <w:szCs w:val="20"/>
                <w:color w:val="auto"/>
              </w:rPr>
            </w:pPr>
            <w:r>
              <w:rPr>
                <w:rFonts w:ascii="Arial" w:cs="Arial" w:eastAsia="Arial" w:hAnsi="Arial"/>
                <w:sz w:val="14"/>
                <w:szCs w:val="14"/>
                <w:b w:val="1"/>
                <w:bCs w:val="1"/>
                <w:color w:val="auto"/>
                <w:w w:val="87"/>
              </w:rPr>
              <w:t>Period Ended December 31, 2009</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5"/>
              </w:rPr>
              <w:t>Loan and debt</w:t>
            </w:r>
          </w:p>
        </w:tc>
        <w:tc>
          <w:tcPr>
            <w:tcW w:w="120" w:type="dxa"/>
            <w:vAlign w:val="bottom"/>
          </w:tcPr>
          <w:p>
            <w:pPr>
              <w:spacing w:after="0"/>
              <w:rPr>
                <w:sz w:val="11"/>
                <w:szCs w:val="11"/>
                <w:color w:val="auto"/>
              </w:rPr>
            </w:pPr>
          </w:p>
        </w:tc>
        <w:tc>
          <w:tcPr>
            <w:tcW w:w="108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8"/>
              </w:rPr>
              <w:t>Equity</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investments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442,128,049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27,632,024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469,760,073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(13,598,702)</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(3,005,163)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(16,603,865)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21,998,720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1,882,418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23,881,138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52,229,864</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683,058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52,912,922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(16,808,942)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(16,808,942)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Non-cash exchanges</w:t>
            </w: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(1,306,167)</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1,306,167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Transfers in or out of Level 3</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3"/>
          </w:tcPr>
          <w:p>
            <w:pPr>
              <w:spacing w:after="0"/>
              <w:rPr>
                <w:sz w:val="20"/>
                <w:szCs w:val="20"/>
                <w:color w:val="auto"/>
              </w:rPr>
            </w:pPr>
            <w:r>
              <w:rPr>
                <w:rFonts w:ascii="Arial" w:cs="Arial" w:eastAsia="Arial" w:hAnsi="Arial"/>
                <w:sz w:val="18"/>
                <w:szCs w:val="18"/>
                <w:color w:val="auto"/>
              </w:rPr>
              <w:t>Ending Balance, December 31, 2009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484,642,822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28,498,504</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513,141,326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4"/>
              </w:rPr>
              <w:t>Net change in unrealized appreciation (depreciation) for the year reported within the net change in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unrealized depreciation on investments in our Statement of Operations attributable to our Level 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 still held at the reporting date.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5,856,098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(1,122,745)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4,733,353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 for the three months ended December 31, 2010 and 2009, respectively. There were no temporary draws outstanding at December 31, 2010 and 2009,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Ended December 31,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842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14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2010 (Cost—$227,900,000)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213,941,125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6,604,625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95,400,000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Repayments</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(67,500,000)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Transfers in/out of Level 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Ending Balance, December 31, 2010 (Cost—$255,800,000)</w:t>
            </w: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248,445,750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Period Ended December 31, 2009</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842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2009 (Cost—$218,100,000)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168,475,380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5,838,914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Repayments</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(19,700,000)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Transfers in/out of Level 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Ending Balance, December 31, 2009 (Cost—$245,700,000)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201,914,294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carrying value of PennantPark Investment’s financial liabilities approximates fair value. We adopted ASC 825-10, which provides companies with an option to report selected financial assets and liabilities at fair value, and made an irrevocable election to apply ASC 825-10 to its long-term credit facility. PennantPark Investment elected to use the fair value option for its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entities to display the fair value of the selected assets and liabilities on the face of the balance sheet and changes in fair value of the credit facility are recorded in the Statement of Operations. For the three months ended December 31, 2010 and 2009, our credit facility had a net change in unrealized appreciation of $6.6 million and $5.8 million, respectively. On December 31, 2010 and September 30, 2010, net unrealized depreciation on our long-term credit facility totaled $7.4 million and $14.0 million, respectively. PennantPark Investment uses a nationally recognized independent valuation services to measure the fair value of its credit facility in a manner consistent with the valuation process that the board of directors uses to value 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An affiliated company is a company in which the PennantPark Investment has ownership of 5% or more of the portfolio company’s voting securities. Advances to and distributions from affiliates are included in the consolidated statements of cash flow purchases and sales. Transactions with affiliates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 at</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1"/>
              </w:rPr>
              <w:t>Advances to</w:t>
            </w:r>
          </w:p>
        </w:tc>
        <w:tc>
          <w:tcPr>
            <w:tcW w:w="66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Distributions</w:t>
            </w:r>
          </w:p>
        </w:tc>
        <w:tc>
          <w:tcPr>
            <w:tcW w:w="640" w:type="dxa"/>
            <w:vAlign w:val="bottom"/>
          </w:tcPr>
          <w:p>
            <w:pPr>
              <w:spacing w:after="0"/>
              <w:rPr>
                <w:sz w:val="14"/>
                <w:szCs w:val="14"/>
                <w:color w:val="auto"/>
              </w:rPr>
            </w:pPr>
          </w:p>
        </w:tc>
        <w:tc>
          <w:tcPr>
            <w:tcW w:w="680" w:type="dxa"/>
            <w:vAlign w:val="bottom"/>
          </w:tcPr>
          <w:p>
            <w:pPr>
              <w:jc w:val="right"/>
              <w:ind w:right="46"/>
              <w:spacing w:after="0"/>
              <w:rPr>
                <w:sz w:val="20"/>
                <w:szCs w:val="20"/>
                <w:color w:val="auto"/>
              </w:rPr>
            </w:pPr>
            <w:r>
              <w:rPr>
                <w:rFonts w:ascii="Arial" w:cs="Arial" w:eastAsia="Arial" w:hAnsi="Arial"/>
                <w:sz w:val="14"/>
                <w:szCs w:val="14"/>
                <w:b w:val="1"/>
                <w:bCs w:val="1"/>
                <w:color w:val="auto"/>
              </w:rPr>
              <w:t>Income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61"/>
        </w:trPr>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Name of Investment</w:t>
            </w: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1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rPr>
              <w:t>affiliates</w:t>
            </w:r>
          </w:p>
        </w:tc>
        <w:tc>
          <w:tcPr>
            <w:tcW w:w="6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7"/>
              </w:rPr>
              <w:t>from affiliates</w:t>
            </w:r>
          </w:p>
        </w:tc>
        <w:tc>
          <w:tcPr>
            <w:tcW w:w="64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Arial" w:cs="Arial" w:eastAsia="Arial" w:hAnsi="Arial"/>
                <w:sz w:val="14"/>
                <w:szCs w:val="14"/>
                <w:b w:val="1"/>
                <w:bCs w:val="1"/>
                <w:color w:val="auto"/>
                <w:w w:val="94"/>
              </w:rPr>
              <w:t>Received</w:t>
            </w:r>
          </w:p>
        </w:tc>
        <w:tc>
          <w:tcPr>
            <w:tcW w:w="6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Controlled Affiliates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8,000,100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$210,000</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8,000,100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 Affiliates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Performance Holdings, Inc.</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15,433,680</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394,306</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15,557,531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23,433,780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604,306</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23,557,631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Three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54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4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900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100" w:type="dxa"/>
            <w:vAlign w:val="bottom"/>
          </w:tcPr>
          <w:p>
            <w:pPr>
              <w:spacing w:after="0"/>
              <w:rPr>
                <w:sz w:val="14"/>
                <w:szCs w:val="14"/>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2010</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25,522,223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8,676,247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36,218,991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25,751,381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 funds or repo-like treasury securities. These temporary investments with maturities of 90 days or less are deemed cash equivalents and are included in the Schedule of Investments. At the end of each fiscal quarter, PennantPark Investment could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 As of December 31, 2010 and September 30, 2010, cash equivalents consisted of $3.0 million and $1.8 million in money market products, respectively.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PennantPark Investment’s net assets and net asset value per share on December 31, 2010 and 2009 were $403.4 million and $306.1 million, respectively, and $11.14 and $11.86, respectively. Below are the financial highlights for the three months ended December 31, 2010 and 2009.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7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0"/>
              </w:rPr>
              <w:t>December 31, 2010</w:t>
            </w:r>
          </w:p>
        </w:tc>
        <w:tc>
          <w:tcPr>
            <w:tcW w:w="420" w:type="dxa"/>
            <w:vAlign w:val="bottom"/>
          </w:tcPr>
          <w:p>
            <w:pPr>
              <w:spacing w:after="0"/>
              <w:rPr>
                <w:sz w:val="14"/>
                <w:szCs w:val="14"/>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December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10.69</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(1)</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0.31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change in realized and unrealized gain</w:t>
            </w:r>
            <w:r>
              <w:rPr>
                <w:rFonts w:ascii="Arial" w:cs="Arial" w:eastAsia="Arial" w:hAnsi="Arial"/>
                <w:sz w:val="11"/>
                <w:szCs w:val="11"/>
                <w:color w:val="auto"/>
              </w:rPr>
              <w:t>(1)</w:t>
            </w:r>
          </w:p>
        </w:tc>
        <w:tc>
          <w:tcPr>
            <w:tcW w:w="22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0.40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1"/>
                <w:szCs w:val="11"/>
                <w:color w:val="auto"/>
              </w:rPr>
              <w:t>(1)</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0.71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(1)(2)</w:t>
            </w:r>
          </w:p>
        </w:tc>
        <w:tc>
          <w:tcPr>
            <w:tcW w:w="22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(0.26)</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common stock issuance below net asset value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gridSpan w:val="2"/>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11.14</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12.25</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22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17.91%</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36,223,950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25,808,772</w:t>
            </w:r>
          </w:p>
        </w:tc>
        <w:tc>
          <w:tcPr>
            <w:tcW w:w="0" w:type="dxa"/>
            <w:vAlign w:val="bottom"/>
          </w:tcPr>
          <w:p>
            <w:pPr>
              <w:spacing w:after="0"/>
              <w:rPr>
                <w:sz w:val="1"/>
                <w:szCs w:val="1"/>
                <w:color w:val="auto"/>
              </w:rPr>
            </w:pPr>
          </w:p>
        </w:tc>
      </w:tr>
      <w:tr>
        <w:trPr>
          <w:trHeight w:val="322"/>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Ratios ** / Supplemental Data:</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22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1.14%</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expenses to average net assets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22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11.17%</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403,390,962</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306,148,322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Average debt outstanding</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290,552,174</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224,010,870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8.02</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220" w:type="dxa"/>
            <w:vAlign w:val="bottom"/>
          </w:tcPr>
          <w:p>
            <w:pPr>
              <w:spacing w:after="0"/>
              <w:rPr>
                <w:sz w:val="19"/>
                <w:szCs w:val="19"/>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49.80%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right="7980" w:firstLine="8"/>
        <w:spacing w:after="0" w:line="305" w:lineRule="auto"/>
        <w:tabs>
          <w:tab w:leader="none" w:pos="216" w:val="left"/>
        </w:tabs>
        <w:numPr>
          <w:ilvl w:val="0"/>
          <w:numId w:val="101"/>
        </w:numPr>
        <w:rPr>
          <w:rFonts w:ascii="Arial" w:cs="Arial" w:eastAsia="Arial" w:hAnsi="Arial"/>
          <w:sz w:val="15"/>
          <w:szCs w:val="15"/>
          <w:color w:val="auto"/>
        </w:rPr>
      </w:pPr>
      <w:r>
        <w:rPr>
          <w:rFonts w:ascii="Arial" w:cs="Arial" w:eastAsia="Arial" w:hAnsi="Arial"/>
          <w:sz w:val="15"/>
          <w:szCs w:val="15"/>
          <w:color w:val="auto"/>
        </w:rPr>
        <w:t>Not annualized for periods less than one year. ** Annualized for periods less than one year.</w:t>
      </w: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 share data are calculated based on the weighted average shares outstanding for the respective periods.</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right="460" w:hanging="452"/>
        <w:spacing w:after="0" w:line="261"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213" w:lineRule="exact"/>
        <w:rPr>
          <w:sz w:val="20"/>
          <w:szCs w:val="20"/>
          <w:color w:val="auto"/>
        </w:rPr>
      </w:pPr>
    </w:p>
    <w:p>
      <w:pPr>
        <w:ind w:left="460" w:right="7540" w:hanging="452"/>
        <w:spacing w:after="0" w:line="347" w:lineRule="auto"/>
        <w:tabs>
          <w:tab w:leader="none" w:pos="267"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AND SBA DEBENTURES Credit Facility</w:t>
      </w:r>
    </w:p>
    <w:p>
      <w:pPr>
        <w:spacing w:after="0" w:line="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December 31, 2010 and September 30, 2010, there was $255.8 million and $233.1 million (including a $5.2 million temporary draw) in outstanding borrowings under the credit facility, with a weighted average interest rate at the time of 1.28% and 1.34% exclusive of the fee on undrawn commitment of 0.20%, respectively.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2010 and September 30, 2010, we had $44.2 million and $66.9 million, respectively, of unused borrowing capacity under our credit facility subject to maintenance of the applicable total assets to debt ratio of 200%, maintenance of a blended percentage of the values of our portfolio companies and restrictions on certain payments and issuance of debt.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$300.0 million at any one time outstanding. The credit facility is a five-year revolving facility (with a stated maturity date of June 25, 2012) and pricing is set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basis points over LIBOR. The credit facility contains customary affirmative and negative covenants, including the maintenance of a minimum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equity, the maintenance of a ratio not less than 200% of total assets (less total liabilities other than indebtedness) to total indebtedness, and restrictions on certain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payments and issuance of debt. For a complete list of such covenants, see our report on Form 8-K, filed June 28, 2007 and on Form 10-Q, filed May 5, 2010.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December 31, 2010, we were in compliance with our covenants relating to our credit facility.</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SBA Debentures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 regulatory requirements including, but not limited to, an examination by the SBA. As of December 31, 2010, we had committed to SBIC LP $50.0 million, funded it with equity capital of $50.0 million, had SBA debentures outstanding of $30.0 million and a weighted average interest rate at the time of 0.96%. As of September 30, 2010, we had committed to SBIC LP $50.0 million, funded it with equity capital of $14.5 million, had SBA debentures outstanding of $14.5 million and a weighted average interest rate at the time of 0.84%.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 million, which is up to twice its potential regulatory capital. This means that SBIC LP may access the maximum borrowing if it has $75 million in regulatory capital.</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of December 31, 2010, SBIC LP had a debenture commitment from the SBA in the amount of $100.0 million with $30.0 million outstanding. Of the $30.0 million of SBA debentures outstanding, $0.5 million is fixed for 10-years with a rate of 3.50% (inclusive of the SBA annual fee) and $29.5 million is temporary financing currently bearing a weighted average rate of 0.92% that will reset to a market-driven rate in March 2011 and remains fixed thereafter for 10 years. As of December 31, 2010, we had $70.0 million of unused borrowing capacity under the SBA debenture commitment.</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If our SBIC subsidiary fails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 because our SBIC subsidiary is wholly owned by us. As of December 31, 2010, SBIC LP was in compliance with all terms relating to our SBA debentures.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connection with the filing of its SBA license application, PennantPark Investment applied for exemptive relief from the SEC to permit us to exclude the debt of SBIC LP from our consolidated asset coverage ratio. There can be no assurance that we will be able to capitalize SBIC LP with sufficient regulatory capital to access the maximum borrowing amount available or that we will receive an exemptive relief from the SEC with respect to the SBA-guaranteed debentures.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we are granted exemptive relief, our ratio of total assets on a consolidated basis to outstanding to indebtedness may be greater than 200% which, while providing increased investment flexibility, would also increase our exposure to risks associated with leverage.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of the covenants we made when we entered into, including the ratio of total assets to total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 and subordinated debt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On February 1, 2011, we utilized the accordion feature of our credit facility and expanded the credit facility by $15.0 million, bringing our total credit facility availability to $315.0 million. On February 2, 2011, we announced that we increased our quarterly dividend to $0.27 per share, with a record date of March 15, 2011 and a payable date of April 1, 2011.</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management of PennantPark Investment Corporation and its Subsidiaries, (except where the context suggests otherwise, the terms “we,” “us,” “our” and “PennantPark Investment” refer to PennantPark Investment Corporation and its Subsidiaries), are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2010.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2010,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PennantPark Investment’s independent registered public accounting firm that audited the financial statements has issued an audit report on the effectiveness of our internal control over financial reporting as of September 30, 2010. This report appears on page F-4 of this registration statement.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statements of assets and liabilities of PennantPark Investment Corporation and its Subsidiaries (the “Company”), including the consolidated schedules of investments as of September 30, 2010 and 2009, and the related consolidated statements of operations, changes in net assets, and cash flows for the years ended September 30, 2010, 2009 and 2008. These consolidated financial statements are the responsibility of the Company’s management. Our responsibility is to express an opinion on these consolidated financial statements based on our audits.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Investment Corporation and its Subsidiaries as of September 30, 2010 and 2009, and the results of their operations and their cash flows for the years ended September 30, 2010, 2009 and 2008, in conformity with U.S. generally accepted accounting principles.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2010,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issued by the Committee of Sponsoring Organizations of the Treadway Commission (COSO), and our report dated November 17, 2010 expressed an unqualified opinion on the effectiveness of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17,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8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We have audited PennantPark Investment Corporation and its Subsidiaries’ (the “Company”) internal control over financial reporting as of September 30, 2010,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F-2 of this prospectus on Form 10-K, and Item 9A., Controls and Procedures— Management’s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 xml:space="preserve">In our opinion, PennantPark Investment Corporation and its Subsidiaries maintained, in all material respects, effective internal control over financial reporting as of September 30, 2010,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and its Subsidiaries, including the schedules of investments as of September 30, 2010 and 2009, and the related statements of operations, changes in net assets, and cash flows for the years ended September 30, 2010, 2009 and 2008, and our report dated November 17, 2010 expressed an unqualified opinion on those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17,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(cost—$631,280,755 and $479,909,805, respectively)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641,290,626</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453,644,335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Non-controlled, affiliated investments, at fair value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(cost—$17,427,648 and $17,378,081,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15,433,680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16,115,738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Controlled, affiliated investments, at fair value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(cost—$8,000,100 and $0, respectively)</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8,000,100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Total of Investments, at fair value</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(cost—$656,708,503 and $497,287,886,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664,724,406</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469,760,073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(See Note 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33,247,666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12,814,096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5,539,056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Receivables for investments sold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30,254,774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2,726,007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1,886,119</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711,493,846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512,381,369</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9,401,281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52,785,000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19,489,525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22,203,434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Credit facility payable (Cost: $233,100,000 and $225,100,000, respectively), (See Notes 5 and 11)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219,141,125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175,475,380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 (Cost: $14,500,000 and $0, respectively),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(See Notes 5 and 11)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14,500,000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215,135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3,286,816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2,239,011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1,508,164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1,146,821</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324,918,623</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211,801,101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w w:val="94"/>
              </w:rPr>
              <w:t>Common stock, par value $0.001 per share, 100,000,000 shares authorized and 36,158,772 and 25,368,772 shares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issued and outstanding,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36,159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25,369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428,675,184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327,062,304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1,800,646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1,890,235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(65,911,544)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(50,494,447)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8,015,903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(27,527,813)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13,958,875</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49,624,620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386,575,223</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300,580,268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711,493,846</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512,381,369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8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10.69</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57,467,862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43,613,233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38,405,757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1,069,514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154,311</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1,358,031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1,351,227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1,405,205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60,139,757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45,118,771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39,810,962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Base management fee (See Note 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11,618,773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7,715,615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7,136,580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8,018,309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5,683,388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3,791,900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Interest and expenses on the credit facility and SBA debentures (See Note 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3,672,444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4,628,564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6,308,933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2,328,210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2,319,759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2,301,973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2,329,110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2,052,530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2,136,303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Expenses before base management fee waiver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27,966,846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22,399,856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21,675,689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420"/>
              <w:spacing w:after="0"/>
              <w:rPr>
                <w:sz w:val="20"/>
                <w:szCs w:val="20"/>
                <w:color w:val="auto"/>
              </w:rPr>
            </w:pPr>
            <w:r>
              <w:rPr>
                <w:rFonts w:ascii="Arial" w:cs="Arial" w:eastAsia="Arial" w:hAnsi="Arial"/>
                <w:sz w:val="18"/>
                <w:szCs w:val="18"/>
                <w:color w:val="auto"/>
              </w:rPr>
              <w:t>Base management fee waiver</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(420,731)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98,294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420"/>
              <w:spacing w:after="0"/>
              <w:rPr>
                <w:sz w:val="20"/>
                <w:szCs w:val="20"/>
                <w:color w:val="auto"/>
              </w:rPr>
            </w:pPr>
            <w:r>
              <w:rPr>
                <w:rFonts w:ascii="Arial" w:cs="Arial" w:eastAsia="Arial" w:hAnsi="Arial"/>
                <w:sz w:val="18"/>
                <w:szCs w:val="18"/>
                <w:b w:val="1"/>
                <w:bCs w:val="1"/>
                <w:color w:val="auto"/>
              </w:rPr>
              <w:t>Net expenses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28,065,140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22,399,856</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21,254,958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32,074,617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22,718,915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18,556,004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w w:val="95"/>
              </w:rPr>
              <w:t>Realized and unrealized (loss) gain on investments, cash equivalents and credit facility:</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non-controlled, non-affiliated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(15,417,097)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(39,243,879)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(11,154,735)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36,275,341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46,954,325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(49,052,812)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(731,625)</w:t>
            </w: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(2,455,952)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948,604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(See Note 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(35,665,745)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7,828,620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change in unrealized (depreciation) appreciation</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(122,029)</w:t>
            </w:r>
          </w:p>
        </w:tc>
        <w:tc>
          <w:tcPr>
            <w:tcW w:w="10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52,326,993</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(48,104,208)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Net realized and unrealized (loss) gain from investments, cash equivalents and credit facility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(15,539,126)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13,083,114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(59,258,943)</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16,535,491</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35,802,029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(40,702,939)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increase (decrease) in net assets resulting from operations per common share (See Note 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from operations: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32,074,617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22,718,915</w:t>
            </w:r>
          </w:p>
        </w:tc>
        <w:tc>
          <w:tcPr>
            <w:tcW w:w="2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18,556,004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(15,417,097)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(39,243,879)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(11,154,735)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35,543,716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44,498,373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(48,104,208)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(35,665,745)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16,535,491</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35,802,029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(40,702,939)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Dividends from net investment income</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(32,264,036)</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(20,226,021)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(18,961,895)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Issuance of shares of common stock</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107,710,000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34,400,000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(5,986,500)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101,723,500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32,480,000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85,994,955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48,056,008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(59,664,834)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300,580,268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210,728,260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270,393,094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 (See Note 5)</w:t>
            </w:r>
          </w:p>
        </w:tc>
        <w:tc>
          <w:tcPr>
            <w:tcW w:w="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41,796,000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Adjusted beginning of period balance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300,580,268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252,524,260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270,393,094</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End of period</w:t>
            </w: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2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386,575,223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300,580,268</w:t>
            </w:r>
          </w:p>
        </w:tc>
        <w:tc>
          <w:tcPr>
            <w:tcW w:w="2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210,728,260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Undistributed (distributions in excess of) net investment income, at period end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1,800,646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1,890,235</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(602,660)</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public offerings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10,790,000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87"/>
              </w:rPr>
              <w:t>Years ended September 30,</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16,535,491</w:t>
            </w: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35,802,029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(40,702,939)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Adjustments to reconcile net increase (decrease) in net assets resulting from operations to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used for operating activities: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Net change in net unrealized (appreciation) depreciation on investments</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(35,543,716)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(44,498,373)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48,104,208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35,665,745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(7,828,620)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Net realized loss on investments and cash equivalents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15,417,097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39,243,879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11,154,735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(4,203,920)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(2,890,687)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(1,285,365)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(309,455,078)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(112,693,490)</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(206,790,979)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(6,416,075)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(4,729,590)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(2,434,562)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145,237,359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27,956,008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70,120,781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interest receivable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(7,275,040)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507,143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(1,528,349)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(Increase) in receivables for investments sold</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(27,528,767)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(2,726,007)</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payables for cash equivalents purchased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(252,759,931)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Increase (Decrease) in payables for investments purchased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33,295,475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19,489,525</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(16,583,921)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unfunded investments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15,872,049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6,331,385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(3,989,948)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Increase (Decrease) in interest payable on credit facility and SBA debentures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142,347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(652,529)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prepaid expenses and other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(90,927)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258,912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Increase (Decrease) in management fee payable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1,066,706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2,134,214</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(288,585)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730,847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1,385,131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(Decrease) Increase in accrued other expenses</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(500,423)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555,556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for operating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(127,050,830)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(42,355,514)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(395,805,044)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107,710,000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34,400,000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Offering costs</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(5,986,500)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(1,920,000)</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and distributions paid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(27,919,260)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(20,226,021)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(13,905,390)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Borrowings under SBA debentures (See Note 11)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14,500,000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Borrowing costs capitalized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(686,625)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256,000,000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169,600,000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461,040,000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(248,000,000)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(146,500,000)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(269,040,000)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95,617,615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35,353,979</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178,094,610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equivalents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(31,433,215)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(7,001,535)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(217,710,434)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40,249,201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257,959,635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33,247,666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40,249,201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activity (See Note 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3,161,048</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5,014,055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Income taxes paid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98,294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41,796,000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Basis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Point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220" w:type="dxa"/>
            <w:vAlign w:val="bottom"/>
          </w:tcPr>
          <w:p>
            <w:pPr>
              <w:spacing w:after="0"/>
              <w:rPr>
                <w:sz w:val="12"/>
                <w:szCs w:val="12"/>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4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86"/>
              </w:rPr>
              <w:t>Current</w:t>
            </w:r>
          </w:p>
        </w:tc>
        <w:tc>
          <w:tcPr>
            <w:tcW w:w="7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4"/>
              </w:rPr>
              <w:t>Above</w:t>
            </w:r>
          </w:p>
        </w:tc>
        <w:tc>
          <w:tcPr>
            <w:tcW w:w="2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4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Maturity</w:t>
            </w:r>
          </w:p>
        </w:tc>
        <w:tc>
          <w:tcPr>
            <w:tcW w:w="800" w:type="dxa"/>
            <w:vAlign w:val="bottom"/>
          </w:tcPr>
          <w:p>
            <w:pPr>
              <w:spacing w:after="0"/>
              <w:rPr>
                <w:sz w:val="14"/>
                <w:szCs w:val="14"/>
                <w:color w:val="auto"/>
              </w:rPr>
            </w:pPr>
          </w:p>
        </w:tc>
        <w:tc>
          <w:tcPr>
            <w:tcW w:w="15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0"/>
              </w:rPr>
              <w:t>Industry</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Coupon</w:t>
            </w:r>
          </w:p>
        </w:tc>
        <w:tc>
          <w:tcPr>
            <w:tcW w:w="720" w:type="dxa"/>
            <w:vAlign w:val="bottom"/>
            <w:gridSpan w:val="2"/>
          </w:tcPr>
          <w:p>
            <w:pPr>
              <w:jc w:val="center"/>
              <w:ind w:right="200"/>
              <w:spacing w:after="0" w:line="162"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18"/>
                <w:szCs w:val="18"/>
                <w:b w:val="1"/>
                <w:bCs w:val="1"/>
                <w:color w:val="auto"/>
                <w:vertAlign w:val="superscript"/>
              </w:rPr>
              <w:t>(4)</w:t>
            </w:r>
          </w:p>
        </w:tc>
        <w:tc>
          <w:tcPr>
            <w:tcW w:w="22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4"/>
                <w:szCs w:val="14"/>
                <w:color w:val="auto"/>
              </w:rPr>
            </w:pPr>
          </w:p>
        </w:tc>
        <w:tc>
          <w:tcPr>
            <w:tcW w:w="900" w:type="dxa"/>
            <w:vAlign w:val="bottom"/>
            <w:gridSpan w:val="4"/>
          </w:tcPr>
          <w:p>
            <w:pPr>
              <w:ind w:left="24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680" w:type="dxa"/>
            <w:vAlign w:val="bottom"/>
            <w:gridSpan w:val="3"/>
          </w:tcPr>
          <w:p>
            <w:pPr>
              <w:jc w:val="center"/>
              <w:ind w:right="24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gridSpan w:val="5"/>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Non-Controlled, Non-Affiliated Portfolio Companies—165.9%</w:t>
            </w:r>
            <w:r>
              <w:rPr>
                <w:rFonts w:ascii="Arial" w:cs="Arial" w:eastAsia="Arial" w:hAnsi="Arial"/>
                <w:sz w:val="17"/>
                <w:szCs w:val="17"/>
                <w:b w:val="1"/>
                <w:bCs w:val="1"/>
                <w:color w:val="auto"/>
                <w:vertAlign w:val="superscript"/>
              </w:rPr>
              <w:t>(1),(2)</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Debt—59.3%</w:t>
            </w: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Airvana Networks Solution, Inc.</w:t>
            </w:r>
          </w:p>
        </w:tc>
        <w:tc>
          <w:tcPr>
            <w:tcW w:w="16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08/27/2014</w:t>
            </w:r>
          </w:p>
        </w:tc>
        <w:tc>
          <w:tcPr>
            <w:tcW w:w="230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Communications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11.00%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L+900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2"/>
              </w:rPr>
              <w:t>$ 13,583,333</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$ 13,316,337</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$ 13,447,500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Birch Communications, Inc.</w:t>
            </w:r>
          </w:p>
        </w:tc>
        <w:tc>
          <w:tcPr>
            <w:tcW w:w="16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06/21/2015</w:t>
            </w:r>
          </w:p>
        </w:tc>
        <w:tc>
          <w:tcPr>
            <w:tcW w:w="23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7"/>
              </w:rPr>
              <w:t>Telecommunications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L+1,300</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16,363,636</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15,786,257</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16,363,636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Birch Communications, Inc.</w:t>
            </w:r>
            <w:r>
              <w:rPr>
                <w:rFonts w:ascii="Arial" w:cs="Arial" w:eastAsia="Arial" w:hAnsi="Arial"/>
                <w:sz w:val="17"/>
                <w:szCs w:val="17"/>
                <w:color w:val="auto"/>
                <w:vertAlign w:val="superscript"/>
              </w:rPr>
              <w:t>(9)</w:t>
            </w:r>
          </w:p>
        </w:tc>
        <w:tc>
          <w:tcPr>
            <w:tcW w:w="16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01/31/2011</w:t>
            </w:r>
          </w:p>
        </w:tc>
        <w:tc>
          <w:tcPr>
            <w:tcW w:w="230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7"/>
              </w:rPr>
              <w:t>Telecommunications</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3,636,364</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6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10/01/2016</w:t>
            </w:r>
          </w:p>
        </w:tc>
        <w:tc>
          <w:tcPr>
            <w:tcW w:w="800" w:type="dxa"/>
            <w:vAlign w:val="bottom"/>
          </w:tcPr>
          <w:p>
            <w:pPr>
              <w:spacing w:after="0"/>
              <w:rPr>
                <w:sz w:val="12"/>
                <w:szCs w:val="12"/>
                <w:color w:val="auto"/>
              </w:rPr>
            </w:pPr>
          </w:p>
        </w:tc>
        <w:tc>
          <w:tcPr>
            <w:tcW w:w="1500" w:type="dxa"/>
            <w:vAlign w:val="bottom"/>
            <w:gridSpan w:val="2"/>
          </w:tcPr>
          <w:p>
            <w:pPr>
              <w:jc w:val="center"/>
              <w:ind w:right="1000"/>
              <w:spacing w:after="0" w:line="149" w:lineRule="exact"/>
              <w:rPr>
                <w:sz w:val="20"/>
                <w:szCs w:val="20"/>
                <w:color w:val="auto"/>
              </w:rPr>
            </w:pPr>
            <w:r>
              <w:rPr>
                <w:rFonts w:ascii="Arial" w:cs="Arial" w:eastAsia="Arial" w:hAnsi="Arial"/>
                <w:sz w:val="14"/>
                <w:szCs w:val="14"/>
                <w:color w:val="auto"/>
                <w:w w:val="91"/>
              </w:rPr>
              <w:t>Logistics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11.63%</w:t>
            </w:r>
          </w:p>
        </w:tc>
        <w:tc>
          <w:tcPr>
            <w:tcW w:w="7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7,500,000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7,305,603</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7,912,500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6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04/01/2018</w:t>
            </w:r>
          </w:p>
        </w:tc>
        <w:tc>
          <w:tcPr>
            <w:tcW w:w="8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center"/>
              <w:ind w:right="1000"/>
              <w:spacing w:after="0" w:line="149" w:lineRule="exact"/>
              <w:rPr>
                <w:sz w:val="20"/>
                <w:szCs w:val="20"/>
                <w:color w:val="auto"/>
              </w:rPr>
            </w:pPr>
            <w:r>
              <w:rPr>
                <w:rFonts w:ascii="Arial" w:cs="Arial" w:eastAsia="Arial" w:hAnsi="Arial"/>
                <w:sz w:val="14"/>
                <w:szCs w:val="14"/>
                <w:color w:val="auto"/>
                <w:w w:val="91"/>
              </w:rPr>
              <w:t>Logistics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987,774</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1,045,000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16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07/31/2016</w:t>
            </w:r>
          </w:p>
        </w:tc>
        <w:tc>
          <w:tcPr>
            <w:tcW w:w="23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8"/>
              </w:rPr>
              <w:t>Hotels, Motels, Inns and Gaming</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12.38%</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L+988</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9,250,000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8,765,468</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9,296,250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(5),(10)</w:t>
            </w:r>
          </w:p>
        </w:tc>
        <w:tc>
          <w:tcPr>
            <w:tcW w:w="16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11/20/2014</w:t>
            </w:r>
          </w:p>
        </w:tc>
        <w:tc>
          <w:tcPr>
            <w:tcW w:w="230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Communications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11,048,000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16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07/29/2013</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8"/>
              </w:rPr>
              <w:t>Environmental Services</w:t>
            </w: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6,666,666</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6,666,666</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6,666,666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Fairway Group Acquisition Company</w:t>
            </w:r>
          </w:p>
        </w:tc>
        <w:tc>
          <w:tcPr>
            <w:tcW w:w="1600" w:type="dxa"/>
            <w:vAlign w:val="bottom"/>
            <w:gridSpan w:val="3"/>
            <w:shd w:val="clear" w:color="auto" w:fill="CCEEFF"/>
          </w:tcPr>
          <w:p>
            <w:pPr>
              <w:jc w:val="right"/>
              <w:ind w:right="240"/>
              <w:spacing w:after="0" w:line="122" w:lineRule="exact"/>
              <w:rPr>
                <w:sz w:val="20"/>
                <w:szCs w:val="20"/>
                <w:color w:val="auto"/>
              </w:rPr>
            </w:pPr>
            <w:r>
              <w:rPr>
                <w:rFonts w:ascii="Arial" w:cs="Arial" w:eastAsia="Arial" w:hAnsi="Arial"/>
                <w:sz w:val="14"/>
                <w:szCs w:val="14"/>
                <w:color w:val="auto"/>
              </w:rPr>
              <w:t>10/01/2014</w:t>
            </w:r>
          </w:p>
        </w:tc>
        <w:tc>
          <w:tcPr>
            <w:tcW w:w="800" w:type="dxa"/>
            <w:vAlign w:val="bottom"/>
            <w:shd w:val="clear" w:color="auto" w:fill="CCEEFF"/>
          </w:tcPr>
          <w:p>
            <w:pPr>
              <w:spacing w:after="0"/>
              <w:rPr>
                <w:sz w:val="10"/>
                <w:szCs w:val="10"/>
                <w:color w:val="auto"/>
              </w:rPr>
            </w:pPr>
          </w:p>
        </w:tc>
        <w:tc>
          <w:tcPr>
            <w:tcW w:w="1500" w:type="dxa"/>
            <w:vAlign w:val="bottom"/>
            <w:gridSpan w:val="2"/>
            <w:shd w:val="clear" w:color="auto" w:fill="CCEEFF"/>
          </w:tcPr>
          <w:p>
            <w:pPr>
              <w:jc w:val="center"/>
              <w:ind w:right="980"/>
              <w:spacing w:after="0" w:line="122" w:lineRule="exact"/>
              <w:rPr>
                <w:sz w:val="20"/>
                <w:szCs w:val="20"/>
                <w:color w:val="auto"/>
              </w:rPr>
            </w:pPr>
            <w:r>
              <w:rPr>
                <w:rFonts w:ascii="Arial" w:cs="Arial" w:eastAsia="Arial" w:hAnsi="Arial"/>
                <w:sz w:val="14"/>
                <w:szCs w:val="14"/>
                <w:color w:val="auto"/>
                <w:w w:val="88"/>
              </w:rPr>
              <w:t>Grocery</w:t>
            </w:r>
          </w:p>
        </w:tc>
        <w:tc>
          <w:tcPr>
            <w:tcW w:w="84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4"/>
                <w:szCs w:val="14"/>
                <w:color w:val="auto"/>
              </w:rPr>
              <w:t>12.00%</w:t>
            </w:r>
          </w:p>
        </w:tc>
        <w:tc>
          <w:tcPr>
            <w:tcW w:w="7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4"/>
                <w:szCs w:val="14"/>
                <w:color w:val="auto"/>
              </w:rPr>
              <w:t>L+950</w:t>
            </w:r>
          </w:p>
        </w:tc>
        <w:tc>
          <w:tcPr>
            <w:tcW w:w="8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4"/>
                <w:szCs w:val="14"/>
                <w:color w:val="auto"/>
              </w:rPr>
              <w:t>11,905,025</w:t>
            </w:r>
          </w:p>
        </w:tc>
        <w:tc>
          <w:tcPr>
            <w:tcW w:w="82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4"/>
                <w:szCs w:val="14"/>
                <w:color w:val="auto"/>
              </w:rPr>
              <w:t>11,650,744</w:t>
            </w:r>
          </w:p>
        </w:tc>
        <w:tc>
          <w:tcPr>
            <w:tcW w:w="16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4"/>
                <w:szCs w:val="14"/>
                <w:color w:val="auto"/>
              </w:rPr>
              <w:t>11,845,500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3"/>
                <w:szCs w:val="13"/>
                <w:color w:val="auto"/>
              </w:rPr>
              <w:t>P+850</w:t>
            </w:r>
            <w:r>
              <w:rPr>
                <w:rFonts w:ascii="Arial" w:cs="Arial" w:eastAsia="Arial" w:hAnsi="Arial"/>
                <w:sz w:val="20"/>
                <w:szCs w:val="20"/>
                <w:color w:val="auto"/>
                <w:vertAlign w:val="superscript"/>
              </w:rPr>
              <w:t>(8)</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16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03/08/2014</w:t>
            </w:r>
          </w:p>
        </w:tc>
        <w:tc>
          <w:tcPr>
            <w:tcW w:w="23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2.62%</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8,752,500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8,752,500</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3,894,863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16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08/07/2014</w:t>
            </w:r>
          </w:p>
        </w:tc>
        <w:tc>
          <w:tcPr>
            <w:tcW w:w="230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9"/>
              </w:rPr>
              <w:t>Printing and Publishing</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14.50%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24,875,000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24,402,321</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24,875,000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1600" w:type="dxa"/>
            <w:vAlign w:val="bottom"/>
            <w:gridSpan w:val="3"/>
          </w:tcPr>
          <w:p>
            <w:pPr>
              <w:jc w:val="right"/>
              <w:ind w:right="240"/>
              <w:spacing w:after="0" w:line="138" w:lineRule="exact"/>
              <w:rPr>
                <w:sz w:val="20"/>
                <w:szCs w:val="20"/>
                <w:color w:val="auto"/>
              </w:rPr>
            </w:pPr>
            <w:r>
              <w:rPr>
                <w:rFonts w:ascii="Arial" w:cs="Arial" w:eastAsia="Arial" w:hAnsi="Arial"/>
                <w:sz w:val="14"/>
                <w:szCs w:val="14"/>
                <w:color w:val="auto"/>
              </w:rPr>
              <w:t>02/07/2014</w:t>
            </w:r>
          </w:p>
        </w:tc>
        <w:tc>
          <w:tcPr>
            <w:tcW w:w="2300" w:type="dxa"/>
            <w:vAlign w:val="bottom"/>
            <w:gridSpan w:val="3"/>
          </w:tcPr>
          <w:p>
            <w:pPr>
              <w:jc w:val="center"/>
              <w:ind w:right="180"/>
              <w:spacing w:after="0" w:line="138" w:lineRule="exact"/>
              <w:rPr>
                <w:sz w:val="20"/>
                <w:szCs w:val="20"/>
                <w:color w:val="auto"/>
              </w:rPr>
            </w:pPr>
            <w:r>
              <w:rPr>
                <w:rFonts w:ascii="Arial" w:cs="Arial" w:eastAsia="Arial" w:hAnsi="Arial"/>
                <w:sz w:val="14"/>
                <w:szCs w:val="14"/>
                <w:color w:val="auto"/>
                <w:w w:val="88"/>
              </w:rPr>
              <w:t>Home and Office Furnishings,</w:t>
            </w:r>
          </w:p>
        </w:tc>
        <w:tc>
          <w:tcPr>
            <w:tcW w:w="8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2.71%</w:t>
            </w:r>
          </w:p>
        </w:tc>
        <w:tc>
          <w:tcPr>
            <w:tcW w:w="72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9,744,595</w:t>
            </w:r>
          </w:p>
        </w:tc>
        <w:tc>
          <w:tcPr>
            <w:tcW w:w="8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9,744,595</w:t>
            </w:r>
          </w:p>
        </w:tc>
        <w:tc>
          <w:tcPr>
            <w:tcW w:w="160" w:type="dxa"/>
            <w:vAlign w:val="bottom"/>
          </w:tcPr>
          <w:p>
            <w:pPr>
              <w:spacing w:after="0"/>
              <w:rPr>
                <w:sz w:val="11"/>
                <w:szCs w:val="11"/>
                <w:color w:val="auto"/>
              </w:rPr>
            </w:pPr>
          </w:p>
        </w:tc>
        <w:tc>
          <w:tcPr>
            <w:tcW w:w="8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7,874,850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5"/>
              </w:rPr>
              <w:t>Housewares and Durable Consumer</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gridSpan w:val="2"/>
          </w:tcPr>
          <w:p>
            <w:pPr>
              <w:jc w:val="center"/>
              <w:ind w:right="980"/>
              <w:spacing w:after="0" w:line="159" w:lineRule="exact"/>
              <w:rPr>
                <w:sz w:val="20"/>
                <w:szCs w:val="20"/>
                <w:color w:val="auto"/>
              </w:rPr>
            </w:pPr>
            <w:r>
              <w:rPr>
                <w:rFonts w:ascii="Arial" w:cs="Arial" w:eastAsia="Arial" w:hAnsi="Arial"/>
                <w:sz w:val="14"/>
                <w:szCs w:val="14"/>
                <w:color w:val="auto"/>
                <w:w w:val="86"/>
              </w:rPr>
              <w:t>Products</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L+675</w:t>
            </w:r>
            <w:r>
              <w:rPr>
                <w:rFonts w:ascii="Arial" w:cs="Arial" w:eastAsia="Arial" w:hAnsi="Arial"/>
                <w:sz w:val="22"/>
                <w:szCs w:val="22"/>
                <w:color w:val="auto"/>
                <w:vertAlign w:val="superscript"/>
              </w:rPr>
              <w:t>(8)</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K2 Pure Solutions NoCal, L.P.</w:t>
            </w:r>
          </w:p>
        </w:tc>
        <w:tc>
          <w:tcPr>
            <w:tcW w:w="16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09/10/2015</w:t>
            </w:r>
          </w:p>
        </w:tc>
        <w:tc>
          <w:tcPr>
            <w:tcW w:w="23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6"/>
              </w:rPr>
              <w:t>Chemicals, Plastics and Rubber</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10.00%</w:t>
            </w:r>
          </w:p>
        </w:tc>
        <w:tc>
          <w:tcPr>
            <w:tcW w:w="720" w:type="dxa"/>
            <w:vAlign w:val="bottom"/>
            <w:gridSpan w:val="2"/>
            <w:vMerge w:val="continue"/>
          </w:tcPr>
          <w:p>
            <w:pPr>
              <w:spacing w:after="0"/>
              <w:rPr>
                <w:sz w:val="12"/>
                <w:szCs w:val="12"/>
                <w:color w:val="auto"/>
              </w:rPr>
            </w:pP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19,000,000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17,866,826</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18,240,000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Inc.</w:t>
            </w:r>
          </w:p>
        </w:tc>
        <w:tc>
          <w:tcPr>
            <w:tcW w:w="16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04/27/2016</w:t>
            </w:r>
          </w:p>
        </w:tc>
        <w:tc>
          <w:tcPr>
            <w:tcW w:w="23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9"/>
              </w:rPr>
              <w:t>Education</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26,052,631</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25,481,512</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26,052,631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160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01/18/2014</w:t>
            </w:r>
          </w:p>
        </w:tc>
        <w:tc>
          <w:tcPr>
            <w:tcW w:w="2300" w:type="dxa"/>
            <w:vAlign w:val="bottom"/>
            <w:gridSpan w:val="3"/>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8"/>
              </w:rPr>
              <w:t>Home and Office Furnishings,</w:t>
            </w:r>
          </w:p>
        </w:tc>
        <w:tc>
          <w:tcPr>
            <w:tcW w:w="8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2.54%</w:t>
            </w:r>
          </w:p>
        </w:tc>
        <w:tc>
          <w:tcPr>
            <w:tcW w:w="7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3,844,931</w:t>
            </w:r>
          </w:p>
        </w:tc>
        <w:tc>
          <w:tcPr>
            <w:tcW w:w="82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3,844,931</w:t>
            </w:r>
          </w:p>
        </w:tc>
        <w:tc>
          <w:tcPr>
            <w:tcW w:w="1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3,345,090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Housewares and Durable Consumer</w:t>
            </w: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center"/>
              <w:ind w:right="980"/>
              <w:spacing w:after="0" w:line="159" w:lineRule="exact"/>
              <w:rPr>
                <w:sz w:val="20"/>
                <w:szCs w:val="20"/>
                <w:color w:val="auto"/>
              </w:rPr>
            </w:pPr>
            <w:r>
              <w:rPr>
                <w:rFonts w:ascii="Arial" w:cs="Arial" w:eastAsia="Arial" w:hAnsi="Arial"/>
                <w:sz w:val="14"/>
                <w:szCs w:val="14"/>
                <w:color w:val="auto"/>
                <w:w w:val="86"/>
              </w:rPr>
              <w:t>Products</w:t>
            </w: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16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08/01/2014</w:t>
            </w:r>
          </w:p>
        </w:tc>
        <w:tc>
          <w:tcPr>
            <w:tcW w:w="23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L+400</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9,829,738</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8,432,037</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6,995,500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w:t>
            </w:r>
          </w:p>
        </w:tc>
        <w:tc>
          <w:tcPr>
            <w:tcW w:w="16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12/16/2012</w:t>
            </w:r>
          </w:p>
        </w:tc>
        <w:tc>
          <w:tcPr>
            <w:tcW w:w="230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10.50%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66,801</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66,801</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64,263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16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12/16/2012</w:t>
            </w:r>
          </w:p>
        </w:tc>
        <w:tc>
          <w:tcPr>
            <w:tcW w:w="23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2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9"/>
                <w:szCs w:val="9"/>
                <w:color w:val="auto"/>
              </w:rPr>
              <w:t xml:space="preserve"> (8)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200,404</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200,404</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192,789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tcPr>
          <w:p>
            <w:pPr>
              <w:spacing w:after="0" w:line="148" w:lineRule="exact"/>
              <w:rPr>
                <w:sz w:val="20"/>
                <w:szCs w:val="20"/>
                <w:color w:val="auto"/>
              </w:rPr>
            </w:pPr>
            <w:r>
              <w:rPr>
                <w:rFonts w:ascii="Arial" w:cs="Arial" w:eastAsia="Arial" w:hAnsi="Arial"/>
                <w:sz w:val="14"/>
                <w:szCs w:val="14"/>
                <w:color w:val="auto"/>
              </w:rPr>
              <w:t>Sugarhouse HSP Gaming Prop.</w:t>
            </w:r>
          </w:p>
        </w:tc>
        <w:tc>
          <w:tcPr>
            <w:tcW w:w="1600" w:type="dxa"/>
            <w:vAlign w:val="bottom"/>
            <w:gridSpan w:val="3"/>
          </w:tcPr>
          <w:p>
            <w:pPr>
              <w:jc w:val="right"/>
              <w:ind w:right="240"/>
              <w:spacing w:after="0" w:line="148" w:lineRule="exact"/>
              <w:rPr>
                <w:sz w:val="20"/>
                <w:szCs w:val="20"/>
                <w:color w:val="auto"/>
              </w:rPr>
            </w:pPr>
            <w:r>
              <w:rPr>
                <w:rFonts w:ascii="Arial" w:cs="Arial" w:eastAsia="Arial" w:hAnsi="Arial"/>
                <w:sz w:val="14"/>
                <w:szCs w:val="14"/>
                <w:color w:val="auto"/>
              </w:rPr>
              <w:t>09/23/2014</w:t>
            </w:r>
          </w:p>
        </w:tc>
        <w:tc>
          <w:tcPr>
            <w:tcW w:w="2300" w:type="dxa"/>
            <w:vAlign w:val="bottom"/>
            <w:gridSpan w:val="3"/>
          </w:tcPr>
          <w:p>
            <w:pPr>
              <w:jc w:val="center"/>
              <w:ind w:right="180"/>
              <w:spacing w:after="0" w:line="148" w:lineRule="exact"/>
              <w:rPr>
                <w:sz w:val="20"/>
                <w:szCs w:val="20"/>
                <w:color w:val="auto"/>
              </w:rPr>
            </w:pPr>
            <w:r>
              <w:rPr>
                <w:rFonts w:ascii="Arial" w:cs="Arial" w:eastAsia="Arial" w:hAnsi="Arial"/>
                <w:sz w:val="14"/>
                <w:szCs w:val="14"/>
                <w:color w:val="auto"/>
                <w:w w:val="88"/>
              </w:rPr>
              <w:t>Hotels, Motels, Inns and Gaming</w:t>
            </w:r>
          </w:p>
        </w:tc>
        <w:tc>
          <w:tcPr>
            <w:tcW w:w="840" w:type="dxa"/>
            <w:vAlign w:val="bottom"/>
            <w:gridSpan w:val="2"/>
          </w:tcPr>
          <w:p>
            <w:pPr>
              <w:jc w:val="right"/>
              <w:ind w:right="260"/>
              <w:spacing w:after="0" w:line="148" w:lineRule="exact"/>
              <w:rPr>
                <w:sz w:val="20"/>
                <w:szCs w:val="20"/>
                <w:color w:val="auto"/>
              </w:rPr>
            </w:pPr>
            <w:r>
              <w:rPr>
                <w:rFonts w:ascii="Arial" w:cs="Arial" w:eastAsia="Arial" w:hAnsi="Arial"/>
                <w:sz w:val="14"/>
                <w:szCs w:val="14"/>
                <w:color w:val="auto"/>
              </w:rPr>
              <w:t>11.25%</w:t>
            </w:r>
          </w:p>
        </w:tc>
        <w:tc>
          <w:tcPr>
            <w:tcW w:w="7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L+825</w:t>
            </w:r>
          </w:p>
        </w:tc>
        <w:tc>
          <w:tcPr>
            <w:tcW w:w="860" w:type="dxa"/>
            <w:vAlign w:val="bottom"/>
            <w:gridSpan w:val="3"/>
          </w:tcPr>
          <w:p>
            <w:pPr>
              <w:jc w:val="right"/>
              <w:ind w:right="80"/>
              <w:spacing w:after="0" w:line="148" w:lineRule="exact"/>
              <w:rPr>
                <w:sz w:val="20"/>
                <w:szCs w:val="20"/>
                <w:color w:val="auto"/>
              </w:rPr>
            </w:pPr>
            <w:r>
              <w:rPr>
                <w:rFonts w:ascii="Arial" w:cs="Arial" w:eastAsia="Arial" w:hAnsi="Arial"/>
                <w:sz w:val="14"/>
                <w:szCs w:val="14"/>
                <w:color w:val="auto"/>
              </w:rPr>
              <w:t>29,500,000</w:t>
            </w:r>
          </w:p>
        </w:tc>
        <w:tc>
          <w:tcPr>
            <w:tcW w:w="820" w:type="dxa"/>
            <w:vAlign w:val="bottom"/>
            <w:gridSpan w:val="4"/>
          </w:tcPr>
          <w:p>
            <w:pPr>
              <w:jc w:val="right"/>
              <w:spacing w:after="0" w:line="148" w:lineRule="exact"/>
              <w:rPr>
                <w:sz w:val="20"/>
                <w:szCs w:val="20"/>
                <w:color w:val="auto"/>
              </w:rPr>
            </w:pPr>
            <w:r>
              <w:rPr>
                <w:rFonts w:ascii="Arial" w:cs="Arial" w:eastAsia="Arial" w:hAnsi="Arial"/>
                <w:sz w:val="14"/>
                <w:szCs w:val="14"/>
                <w:color w:val="auto"/>
              </w:rPr>
              <w:t>28,756,343</w:t>
            </w:r>
          </w:p>
        </w:tc>
        <w:tc>
          <w:tcPr>
            <w:tcW w:w="160" w:type="dxa"/>
            <w:vAlign w:val="bottom"/>
          </w:tcPr>
          <w:p>
            <w:pPr>
              <w:spacing w:after="0"/>
              <w:rPr>
                <w:sz w:val="12"/>
                <w:szCs w:val="12"/>
                <w:color w:val="auto"/>
              </w:rPr>
            </w:pPr>
          </w:p>
        </w:tc>
        <w:tc>
          <w:tcPr>
            <w:tcW w:w="800" w:type="dxa"/>
            <w:vAlign w:val="bottom"/>
            <w:gridSpan w:val="3"/>
          </w:tcPr>
          <w:p>
            <w:pPr>
              <w:jc w:val="right"/>
              <w:spacing w:after="0" w:line="148" w:lineRule="exact"/>
              <w:rPr>
                <w:sz w:val="20"/>
                <w:szCs w:val="20"/>
                <w:color w:val="auto"/>
              </w:rPr>
            </w:pPr>
            <w:r>
              <w:rPr>
                <w:rFonts w:ascii="Arial" w:cs="Arial" w:eastAsia="Arial" w:hAnsi="Arial"/>
                <w:sz w:val="14"/>
                <w:szCs w:val="14"/>
                <w:color w:val="auto"/>
              </w:rPr>
              <w:t>29,702,813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40" w:type="dxa"/>
            <w:vAlign w:val="bottom"/>
            <w:gridSpan w:val="2"/>
          </w:tcPr>
          <w:p>
            <w:pPr>
              <w:spacing w:after="0" w:line="122" w:lineRule="exact"/>
              <w:rPr>
                <w:sz w:val="20"/>
                <w:szCs w:val="20"/>
                <w:color w:val="auto"/>
              </w:rPr>
            </w:pPr>
            <w:r>
              <w:rPr>
                <w:rFonts w:ascii="Arial" w:cs="Arial" w:eastAsia="Arial" w:hAnsi="Arial"/>
                <w:sz w:val="14"/>
                <w:szCs w:val="14"/>
                <w:color w:val="auto"/>
              </w:rPr>
              <w:t>Three Rivers Pharmaceutical, L.L.C.</w:t>
            </w:r>
          </w:p>
        </w:tc>
        <w:tc>
          <w:tcPr>
            <w:tcW w:w="1600" w:type="dxa"/>
            <w:vAlign w:val="bottom"/>
            <w:gridSpan w:val="3"/>
          </w:tcPr>
          <w:p>
            <w:pPr>
              <w:jc w:val="right"/>
              <w:ind w:right="240"/>
              <w:spacing w:after="0" w:line="122" w:lineRule="exact"/>
              <w:rPr>
                <w:sz w:val="20"/>
                <w:szCs w:val="20"/>
                <w:color w:val="auto"/>
              </w:rPr>
            </w:pPr>
            <w:r>
              <w:rPr>
                <w:rFonts w:ascii="Arial" w:cs="Arial" w:eastAsia="Arial" w:hAnsi="Arial"/>
                <w:sz w:val="14"/>
                <w:szCs w:val="14"/>
                <w:color w:val="auto"/>
              </w:rPr>
              <w:t>10/22/2011</w:t>
            </w:r>
          </w:p>
        </w:tc>
        <w:tc>
          <w:tcPr>
            <w:tcW w:w="2300" w:type="dxa"/>
            <w:vAlign w:val="bottom"/>
            <w:gridSpan w:val="3"/>
          </w:tcPr>
          <w:p>
            <w:pPr>
              <w:jc w:val="center"/>
              <w:ind w:right="180"/>
              <w:spacing w:after="0" w:line="122" w:lineRule="exact"/>
              <w:rPr>
                <w:sz w:val="20"/>
                <w:szCs w:val="20"/>
                <w:color w:val="auto"/>
              </w:rPr>
            </w:pPr>
            <w:r>
              <w:rPr>
                <w:rFonts w:ascii="Arial" w:cs="Arial" w:eastAsia="Arial" w:hAnsi="Arial"/>
                <w:sz w:val="14"/>
                <w:szCs w:val="14"/>
                <w:color w:val="auto"/>
                <w:w w:val="87"/>
              </w:rPr>
              <w:t>Healthcare, Education and Childcare</w:t>
            </w:r>
          </w:p>
        </w:tc>
        <w:tc>
          <w:tcPr>
            <w:tcW w:w="840" w:type="dxa"/>
            <w:vAlign w:val="bottom"/>
            <w:gridSpan w:val="2"/>
          </w:tcPr>
          <w:p>
            <w:pPr>
              <w:jc w:val="right"/>
              <w:ind w:right="260"/>
              <w:spacing w:after="0" w:line="122" w:lineRule="exact"/>
              <w:rPr>
                <w:sz w:val="20"/>
                <w:szCs w:val="20"/>
                <w:color w:val="auto"/>
              </w:rPr>
            </w:pPr>
            <w:r>
              <w:rPr>
                <w:rFonts w:ascii="Arial" w:cs="Arial" w:eastAsia="Arial" w:hAnsi="Arial"/>
                <w:sz w:val="14"/>
                <w:szCs w:val="14"/>
                <w:color w:val="auto"/>
              </w:rPr>
              <w:t>15.25%</w:t>
            </w: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4"/>
                <w:szCs w:val="14"/>
                <w:color w:val="auto"/>
                <w:w w:val="97"/>
              </w:rPr>
              <w:t>L+1,300</w:t>
            </w:r>
          </w:p>
        </w:tc>
        <w:tc>
          <w:tcPr>
            <w:tcW w:w="860" w:type="dxa"/>
            <w:vAlign w:val="bottom"/>
            <w:gridSpan w:val="3"/>
          </w:tcPr>
          <w:p>
            <w:pPr>
              <w:jc w:val="right"/>
              <w:ind w:right="80"/>
              <w:spacing w:after="0" w:line="122" w:lineRule="exact"/>
              <w:rPr>
                <w:sz w:val="20"/>
                <w:szCs w:val="20"/>
                <w:color w:val="auto"/>
              </w:rPr>
            </w:pPr>
            <w:r>
              <w:rPr>
                <w:rFonts w:ascii="Arial" w:cs="Arial" w:eastAsia="Arial" w:hAnsi="Arial"/>
                <w:sz w:val="14"/>
                <w:szCs w:val="14"/>
                <w:color w:val="auto"/>
              </w:rPr>
              <w:t>25,000,000</w:t>
            </w:r>
          </w:p>
        </w:tc>
        <w:tc>
          <w:tcPr>
            <w:tcW w:w="82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21,861,968</w:t>
            </w:r>
          </w:p>
        </w:tc>
        <w:tc>
          <w:tcPr>
            <w:tcW w:w="160" w:type="dxa"/>
            <w:vAlign w:val="bottom"/>
          </w:tcPr>
          <w:p>
            <w:pPr>
              <w:spacing w:after="0"/>
              <w:rPr>
                <w:sz w:val="10"/>
                <w:szCs w:val="10"/>
                <w:color w:val="auto"/>
              </w:rPr>
            </w:pPr>
          </w:p>
        </w:tc>
        <w:tc>
          <w:tcPr>
            <w:tcW w:w="800" w:type="dxa"/>
            <w:vAlign w:val="bottom"/>
            <w:gridSpan w:val="3"/>
          </w:tcPr>
          <w:p>
            <w:pPr>
              <w:jc w:val="right"/>
              <w:spacing w:after="0" w:line="122" w:lineRule="exact"/>
              <w:rPr>
                <w:sz w:val="20"/>
                <w:szCs w:val="20"/>
                <w:color w:val="auto"/>
              </w:rPr>
            </w:pPr>
            <w:r>
              <w:rPr>
                <w:rFonts w:ascii="Arial" w:cs="Arial" w:eastAsia="Arial" w:hAnsi="Arial"/>
                <w:sz w:val="14"/>
                <w:szCs w:val="14"/>
                <w:color w:val="auto"/>
              </w:rPr>
              <w:t>21,861,968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2"/>
          </w:tcPr>
          <w:p>
            <w:pPr>
              <w:jc w:val="right"/>
              <w:ind w:right="80"/>
              <w:spacing w:after="0" w:line="176" w:lineRule="exact"/>
              <w:rPr>
                <w:sz w:val="20"/>
                <w:szCs w:val="20"/>
                <w:color w:val="auto"/>
              </w:rPr>
            </w:pPr>
            <w:r>
              <w:rPr>
                <w:rFonts w:ascii="Arial" w:cs="Arial" w:eastAsia="Arial" w:hAnsi="Arial"/>
                <w:sz w:val="13"/>
                <w:szCs w:val="13"/>
                <w:color w:val="auto"/>
                <w:w w:val="95"/>
              </w:rPr>
              <w:t>P+1,200</w:t>
            </w:r>
            <w:r>
              <w:rPr>
                <w:rFonts w:ascii="Arial" w:cs="Arial" w:eastAsia="Arial" w:hAnsi="Arial"/>
                <w:sz w:val="20"/>
                <w:szCs w:val="20"/>
                <w:color w:val="auto"/>
                <w:w w:val="95"/>
                <w:vertAlign w:val="superscript"/>
              </w:rPr>
              <w:t>(8)</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16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07/15/2016</w:t>
            </w:r>
          </w:p>
        </w:tc>
        <w:tc>
          <w:tcPr>
            <w:tcW w:w="230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Hotels, Motels, Inns and Gaming</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11.38%</w:t>
            </w:r>
          </w:p>
        </w:tc>
        <w:tc>
          <w:tcPr>
            <w:tcW w:w="7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4,500,000</w:t>
            </w:r>
          </w:p>
        </w:tc>
        <w:tc>
          <w:tcPr>
            <w:tcW w:w="8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4,381,967</w:t>
            </w:r>
          </w:p>
        </w:tc>
        <w:tc>
          <w:tcPr>
            <w:tcW w:w="160" w:type="dxa"/>
            <w:vAlign w:val="bottom"/>
            <w:shd w:val="clear" w:color="auto" w:fill="CCEEFF"/>
          </w:tcPr>
          <w:p>
            <w:pPr>
              <w:spacing w:after="0"/>
              <w:rPr>
                <w:sz w:val="12"/>
                <w:szCs w:val="12"/>
                <w:color w:val="auto"/>
              </w:rPr>
            </w:pPr>
          </w:p>
        </w:tc>
        <w:tc>
          <w:tcPr>
            <w:tcW w:w="8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4,882,500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231,907,418</w:t>
            </w:r>
          </w:p>
        </w:tc>
        <w:tc>
          <w:tcPr>
            <w:tcW w:w="160" w:type="dxa"/>
            <w:vAlign w:val="bottom"/>
          </w:tcPr>
          <w:p>
            <w:pPr>
              <w:spacing w:after="0"/>
              <w:rPr>
                <w:sz w:val="14"/>
                <w:szCs w:val="14"/>
                <w:color w:val="auto"/>
              </w:rPr>
            </w:pPr>
          </w:p>
        </w:tc>
        <w:tc>
          <w:tcPr>
            <w:tcW w:w="8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229,243,683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Debt—38.6%</w:t>
            </w: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6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02/07/2015</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Energy/Utilities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6.43%</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13,600,000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13,216,845</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11,696,000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6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02/07/2015</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Energy/Utilities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7.39%</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L+700</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12,000,000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11,776,589</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10,410,000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16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07/29/2014</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8"/>
              </w:rPr>
              <w:t>Environmental Services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L+600</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6,237,317</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6,237,317</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5,950,400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160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04/30/2015</w:t>
            </w:r>
          </w:p>
        </w:tc>
        <w:tc>
          <w:tcPr>
            <w:tcW w:w="2300" w:type="dxa"/>
            <w:vAlign w:val="bottom"/>
            <w:gridSpan w:val="3"/>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7"/>
              </w:rPr>
              <w:t>Healthcare, Education and</w:t>
            </w:r>
          </w:p>
        </w:tc>
        <w:tc>
          <w:tcPr>
            <w:tcW w:w="8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7.79%</w:t>
            </w:r>
          </w:p>
        </w:tc>
        <w:tc>
          <w:tcPr>
            <w:tcW w:w="7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L+750</w:t>
            </w:r>
          </w:p>
        </w:tc>
        <w:tc>
          <w:tcPr>
            <w:tcW w:w="86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12,000,000</w:t>
            </w:r>
          </w:p>
        </w:tc>
        <w:tc>
          <w:tcPr>
            <w:tcW w:w="82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11,958,469</w:t>
            </w:r>
          </w:p>
        </w:tc>
        <w:tc>
          <w:tcPr>
            <w:tcW w:w="1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11,940,000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980"/>
              <w:spacing w:after="0"/>
              <w:rPr>
                <w:sz w:val="20"/>
                <w:szCs w:val="20"/>
                <w:color w:val="auto"/>
              </w:rPr>
            </w:pPr>
            <w:r>
              <w:rPr>
                <w:rFonts w:ascii="Arial" w:cs="Arial" w:eastAsia="Arial" w:hAnsi="Arial"/>
                <w:sz w:val="14"/>
                <w:szCs w:val="14"/>
                <w:color w:val="auto"/>
                <w:w w:val="87"/>
              </w:rPr>
              <w:t>Childcare</w:t>
            </w: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16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03/01/2014</w:t>
            </w:r>
          </w:p>
        </w:tc>
        <w:tc>
          <w:tcPr>
            <w:tcW w:w="23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6"/>
              </w:rPr>
              <w:t>Cargo Transport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2,570,357</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2,570,357</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2,594,775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Mohegan Tribal Gaming Authority</w:t>
            </w:r>
            <w:r>
              <w:rPr>
                <w:rFonts w:ascii="Arial" w:cs="Arial" w:eastAsia="Arial" w:hAnsi="Arial"/>
                <w:sz w:val="17"/>
                <w:szCs w:val="17"/>
                <w:color w:val="auto"/>
                <w:vertAlign w:val="superscript"/>
              </w:rPr>
              <w:t>(5)</w:t>
            </w:r>
          </w:p>
        </w:tc>
        <w:tc>
          <w:tcPr>
            <w:tcW w:w="16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11/01/2017</w:t>
            </w:r>
          </w:p>
        </w:tc>
        <w:tc>
          <w:tcPr>
            <w:tcW w:w="230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Hotels, Motels, Inns and Gaming</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4,825,762</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4,475,000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6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12/15/2014</w:t>
            </w:r>
          </w:p>
        </w:tc>
        <w:tc>
          <w:tcPr>
            <w:tcW w:w="23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3,219,319</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3,219,319</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2,675,254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16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12/15/2015</w:t>
            </w:r>
          </w:p>
        </w:tc>
        <w:tc>
          <w:tcPr>
            <w:tcW w:w="230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L+850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1,773,703</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1,773,703</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1,349,788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6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10/15/2017</w:t>
            </w:r>
          </w:p>
        </w:tc>
        <w:tc>
          <w:tcPr>
            <w:tcW w:w="23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7"/>
              </w:rPr>
              <w:t>Buildings and Real Estate</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13.50%</w:t>
            </w:r>
          </w:p>
        </w:tc>
        <w:tc>
          <w:tcPr>
            <w:tcW w:w="7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10,000,000</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10,600,000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16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05/15/2015</w:t>
            </w:r>
          </w:p>
        </w:tc>
        <w:tc>
          <w:tcPr>
            <w:tcW w:w="230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Transportation</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8.13%</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L+775</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9,950,907</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9,325,000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16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05/15/2017</w:t>
            </w:r>
          </w:p>
        </w:tc>
        <w:tc>
          <w:tcPr>
            <w:tcW w:w="23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8"/>
              </w:rPr>
              <w:t>Transportation</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12.50%</w:t>
            </w:r>
          </w:p>
        </w:tc>
        <w:tc>
          <w:tcPr>
            <w:tcW w:w="7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19,000,000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17,039,991</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19,118,750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160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06/15/2015</w:t>
            </w:r>
          </w:p>
        </w:tc>
        <w:tc>
          <w:tcPr>
            <w:tcW w:w="2300" w:type="dxa"/>
            <w:vAlign w:val="bottom"/>
            <w:gridSpan w:val="3"/>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7"/>
              </w:rPr>
              <w:t>Healthcare, Education and</w:t>
            </w:r>
          </w:p>
        </w:tc>
        <w:tc>
          <w:tcPr>
            <w:tcW w:w="84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6.05%</w:t>
            </w:r>
            <w:r>
              <w:rPr>
                <w:rFonts w:ascii="Arial" w:cs="Arial" w:eastAsia="Arial" w:hAnsi="Arial"/>
                <w:sz w:val="15"/>
                <w:szCs w:val="15"/>
                <w:color w:val="auto"/>
                <w:vertAlign w:val="superscript"/>
              </w:rPr>
              <w:t>(6)</w:t>
            </w:r>
          </w:p>
        </w:tc>
        <w:tc>
          <w:tcPr>
            <w:tcW w:w="7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L+575</w:t>
            </w:r>
          </w:p>
        </w:tc>
        <w:tc>
          <w:tcPr>
            <w:tcW w:w="86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21,500,000</w:t>
            </w:r>
          </w:p>
        </w:tc>
        <w:tc>
          <w:tcPr>
            <w:tcW w:w="82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19,211,412</w:t>
            </w:r>
          </w:p>
        </w:tc>
        <w:tc>
          <w:tcPr>
            <w:tcW w:w="1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19,887,500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980"/>
              <w:spacing w:after="0"/>
              <w:rPr>
                <w:sz w:val="20"/>
                <w:szCs w:val="20"/>
                <w:color w:val="auto"/>
              </w:rPr>
            </w:pPr>
            <w:r>
              <w:rPr>
                <w:rFonts w:ascii="Arial" w:cs="Arial" w:eastAsia="Arial" w:hAnsi="Arial"/>
                <w:sz w:val="14"/>
                <w:szCs w:val="14"/>
                <w:color w:val="auto"/>
                <w:w w:val="87"/>
              </w:rPr>
              <w:t>Childcare</w:t>
            </w: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16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12/15/2014</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6"/>
              </w:rPr>
              <w:t>Chemical, Plastics and Rubber</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7.26%</w:t>
            </w:r>
            <w:r>
              <w:rPr>
                <w:rFonts w:ascii="Arial" w:cs="Arial" w:eastAsia="Arial" w:hAnsi="Arial"/>
                <w:sz w:val="17"/>
                <w:szCs w:val="17"/>
                <w:color w:val="auto"/>
                <w:vertAlign w:val="superscript"/>
              </w:rPr>
              <w:t>(6)</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L+700</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22,500,000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22,490,129</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16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06/15/2015</w:t>
            </w:r>
          </w:p>
        </w:tc>
        <w:tc>
          <w:tcPr>
            <w:tcW w:w="230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7"/>
              </w:rPr>
              <w:t>Financial Services</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6.29%</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17,811,488</w:t>
            </w:r>
          </w:p>
        </w:tc>
        <w:tc>
          <w:tcPr>
            <w:tcW w:w="8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17,341,134</w:t>
            </w:r>
          </w:p>
        </w:tc>
        <w:tc>
          <w:tcPr>
            <w:tcW w:w="160" w:type="dxa"/>
            <w:vAlign w:val="bottom"/>
            <w:shd w:val="clear" w:color="auto" w:fill="CCEEFF"/>
          </w:tcPr>
          <w:p>
            <w:pPr>
              <w:spacing w:after="0"/>
              <w:rPr>
                <w:sz w:val="12"/>
                <w:szCs w:val="12"/>
                <w:color w:val="auto"/>
              </w:rPr>
            </w:pPr>
          </w:p>
        </w:tc>
        <w:tc>
          <w:tcPr>
            <w:tcW w:w="8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16,564,684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2"/>
              </w:rPr>
              <w:t>151,611,934</w:t>
            </w:r>
          </w:p>
        </w:tc>
        <w:tc>
          <w:tcPr>
            <w:tcW w:w="160" w:type="dxa"/>
            <w:vAlign w:val="bottom"/>
          </w:tcPr>
          <w:p>
            <w:pPr>
              <w:spacing w:after="0"/>
              <w:rPr>
                <w:sz w:val="13"/>
                <w:szCs w:val="13"/>
                <w:color w:val="auto"/>
              </w:rPr>
            </w:pPr>
          </w:p>
        </w:tc>
        <w:tc>
          <w:tcPr>
            <w:tcW w:w="8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149,087,151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-3001010</wp:posOffset>
            </wp:positionV>
            <wp:extent cx="7246620" cy="946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-2245995</wp:posOffset>
            </wp:positionV>
            <wp:extent cx="7246620" cy="946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300" w:type="dxa"/>
            <w:vAlign w:val="bottom"/>
          </w:tcPr>
          <w:p>
            <w:pPr>
              <w:spacing w:after="0"/>
              <w:rPr>
                <w:sz w:val="12"/>
                <w:szCs w:val="12"/>
                <w:color w:val="auto"/>
              </w:rPr>
            </w:pPr>
          </w:p>
        </w:tc>
        <w:tc>
          <w:tcPr>
            <w:tcW w:w="7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Par/</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0"/>
              </w:rPr>
              <w:t>Current</w:t>
            </w:r>
          </w:p>
        </w:tc>
        <w:tc>
          <w:tcPr>
            <w:tcW w:w="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Above</w:t>
            </w:r>
          </w:p>
        </w:tc>
        <w:tc>
          <w:tcPr>
            <w:tcW w:w="3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38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Maturity</w:t>
            </w:r>
          </w:p>
        </w:tc>
        <w:tc>
          <w:tcPr>
            <w:tcW w:w="940" w:type="dxa"/>
            <w:vAlign w:val="bottom"/>
          </w:tcPr>
          <w:p>
            <w:pPr>
              <w:spacing w:after="0"/>
              <w:rPr>
                <w:sz w:val="14"/>
                <w:szCs w:val="14"/>
                <w:color w:val="auto"/>
              </w:rPr>
            </w:pPr>
          </w:p>
        </w:tc>
        <w:tc>
          <w:tcPr>
            <w:tcW w:w="14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4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3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1"/>
              </w:rPr>
              <w:t>Shares</w:t>
            </w:r>
          </w:p>
        </w:tc>
        <w:tc>
          <w:tcPr>
            <w:tcW w:w="8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center"/>
              <w:ind w:right="20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Notes—56.1%</w:t>
            </w: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(5)</w:t>
            </w:r>
          </w:p>
        </w:tc>
        <w:tc>
          <w:tcPr>
            <w:tcW w:w="12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11/15/2015</w:t>
            </w:r>
          </w:p>
        </w:tc>
        <w:tc>
          <w:tcPr>
            <w:tcW w:w="24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11.63%</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$10,000,000</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w w:val="92"/>
              </w:rPr>
              <w:t>$  9,855,000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9,855,000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Aquilex Holdings, LLC</w:t>
            </w:r>
            <w:r>
              <w:rPr>
                <w:rFonts w:ascii="Arial" w:cs="Arial" w:eastAsia="Arial" w:hAnsi="Arial"/>
                <w:sz w:val="17"/>
                <w:szCs w:val="17"/>
                <w:color w:val="auto"/>
                <w:vertAlign w:val="superscript"/>
              </w:rPr>
              <w:t>(5)</w:t>
            </w:r>
          </w:p>
        </w:tc>
        <w:tc>
          <w:tcPr>
            <w:tcW w:w="12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12/15/2016</w:t>
            </w:r>
          </w:p>
        </w:tc>
        <w:tc>
          <w:tcPr>
            <w:tcW w:w="24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Diversified / Conglomerate Services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11.13%</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18,885,000</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18,380,337</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18,696,150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12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04/17/2015</w:t>
            </w:r>
          </w:p>
        </w:tc>
        <w:tc>
          <w:tcPr>
            <w:tcW w:w="24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8,109,468</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7,973,429</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8,170,289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2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03/22/2014</w:t>
            </w:r>
          </w:p>
        </w:tc>
        <w:tc>
          <w:tcPr>
            <w:tcW w:w="24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20,720,892</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20,359,932</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21,425,401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tcPr>
          <w:p>
            <w:pPr>
              <w:spacing w:after="0" w:line="138" w:lineRule="exact"/>
              <w:rPr>
                <w:sz w:val="20"/>
                <w:szCs w:val="20"/>
                <w:color w:val="auto"/>
              </w:rPr>
            </w:pPr>
            <w:r>
              <w:rPr>
                <w:rFonts w:ascii="Arial" w:cs="Arial" w:eastAsia="Arial" w:hAnsi="Arial"/>
                <w:sz w:val="10"/>
                <w:szCs w:val="10"/>
                <w:color w:val="auto"/>
              </w:rPr>
              <w:t>Da-Lite Screen Company, Inc.</w:t>
            </w:r>
            <w:r>
              <w:rPr>
                <w:rFonts w:ascii="Arial" w:cs="Arial" w:eastAsia="Arial" w:hAnsi="Arial"/>
                <w:sz w:val="15"/>
                <w:szCs w:val="15"/>
                <w:color w:val="auto"/>
                <w:vertAlign w:val="superscript"/>
              </w:rPr>
              <w:t>(5)</w:t>
            </w:r>
          </w:p>
        </w:tc>
        <w:tc>
          <w:tcPr>
            <w:tcW w:w="120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04/01/2015</w:t>
            </w:r>
          </w:p>
        </w:tc>
        <w:tc>
          <w:tcPr>
            <w:tcW w:w="242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8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12.50%</w:t>
            </w:r>
          </w:p>
        </w:tc>
        <w:tc>
          <w:tcPr>
            <w:tcW w:w="460" w:type="dxa"/>
            <w:vAlign w:val="bottom"/>
          </w:tcPr>
          <w:p>
            <w:pPr>
              <w:ind w:left="260"/>
              <w:spacing w:after="0" w:line="138"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25,000,000</w:t>
            </w:r>
          </w:p>
        </w:tc>
        <w:tc>
          <w:tcPr>
            <w:tcW w:w="820" w:type="dxa"/>
            <w:vAlign w:val="bottom"/>
            <w:gridSpan w:val="4"/>
          </w:tcPr>
          <w:p>
            <w:pPr>
              <w:jc w:val="right"/>
              <w:ind w:right="80"/>
              <w:spacing w:after="0" w:line="138" w:lineRule="exact"/>
              <w:rPr>
                <w:sz w:val="20"/>
                <w:szCs w:val="20"/>
                <w:color w:val="auto"/>
              </w:rPr>
            </w:pPr>
            <w:r>
              <w:rPr>
                <w:rFonts w:ascii="Arial" w:cs="Arial" w:eastAsia="Arial" w:hAnsi="Arial"/>
                <w:sz w:val="14"/>
                <w:szCs w:val="14"/>
                <w:color w:val="auto"/>
              </w:rPr>
              <w:t>24,379,843</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25,625,000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80" w:type="dxa"/>
            <w:vAlign w:val="bottom"/>
            <w:gridSpan w:val="2"/>
          </w:tcPr>
          <w:p>
            <w:pPr>
              <w:jc w:val="center"/>
              <w:ind w:right="940"/>
              <w:spacing w:after="0" w:line="159" w:lineRule="exact"/>
              <w:rPr>
                <w:sz w:val="20"/>
                <w:szCs w:val="20"/>
                <w:color w:val="auto"/>
              </w:rPr>
            </w:pPr>
            <w:r>
              <w:rPr>
                <w:rFonts w:ascii="Arial" w:cs="Arial" w:eastAsia="Arial" w:hAnsi="Arial"/>
                <w:sz w:val="14"/>
                <w:szCs w:val="14"/>
                <w:color w:val="auto"/>
                <w:w w:val="83"/>
              </w:rPr>
              <w:t>Products</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12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06/06/2014</w:t>
            </w:r>
          </w:p>
        </w:tc>
        <w:tc>
          <w:tcPr>
            <w:tcW w:w="24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23,283,292</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22,970,124</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23,283,292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w:t>
            </w:r>
          </w:p>
        </w:tc>
        <w:tc>
          <w:tcPr>
            <w:tcW w:w="12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06/30/2016</w:t>
            </w:r>
          </w:p>
        </w:tc>
        <w:tc>
          <w:tcPr>
            <w:tcW w:w="24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3,947,368</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3,194,611</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3,592,105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2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10/15/2016</w:t>
            </w:r>
          </w:p>
        </w:tc>
        <w:tc>
          <w:tcPr>
            <w:tcW w:w="24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13.00%</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19,000,000</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18,430,000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2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04/15/2015</w:t>
            </w:r>
          </w:p>
        </w:tc>
        <w:tc>
          <w:tcPr>
            <w:tcW w:w="24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12.38%</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10,000,000</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9,055,731</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7,900,000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2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12/29/2015</w:t>
            </w:r>
          </w:p>
        </w:tc>
        <w:tc>
          <w:tcPr>
            <w:tcW w:w="24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11,721,019</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11,361,858</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11,838,229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Trizetto Group, Inc.</w:t>
            </w:r>
          </w:p>
        </w:tc>
        <w:tc>
          <w:tcPr>
            <w:tcW w:w="12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10/01/2016</w:t>
            </w:r>
          </w:p>
        </w:tc>
        <w:tc>
          <w:tcPr>
            <w:tcW w:w="940" w:type="dxa"/>
            <w:vAlign w:val="bottom"/>
          </w:tcPr>
          <w:p>
            <w:pPr>
              <w:spacing w:after="0"/>
              <w:rPr>
                <w:sz w:val="12"/>
                <w:szCs w:val="12"/>
                <w:color w:val="auto"/>
              </w:rPr>
            </w:pPr>
          </w:p>
        </w:tc>
        <w:tc>
          <w:tcPr>
            <w:tcW w:w="148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w w:val="84"/>
              </w:rPr>
              <w:t>Insurance</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20,501,960</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20,331,704</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21,117,018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Acquisition Sub Inc.</w:t>
            </w:r>
          </w:p>
        </w:tc>
        <w:tc>
          <w:tcPr>
            <w:tcW w:w="12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02/08/2015</w:t>
            </w:r>
          </w:p>
        </w:tc>
        <w:tc>
          <w:tcPr>
            <w:tcW w:w="24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15.50%</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21,098,000</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20,642,507</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20,148,590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Veritext Corp.</w:t>
            </w:r>
          </w:p>
        </w:tc>
        <w:tc>
          <w:tcPr>
            <w:tcW w:w="12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12/31/2015</w:t>
            </w:r>
          </w:p>
        </w:tc>
        <w:tc>
          <w:tcPr>
            <w:tcW w:w="24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15,000,000</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14,636,487</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(9),(7)</w:t>
            </w:r>
          </w:p>
        </w:tc>
        <w:tc>
          <w:tcPr>
            <w:tcW w:w="12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12/31/2012</w:t>
            </w:r>
          </w:p>
        </w:tc>
        <w:tc>
          <w:tcPr>
            <w:tcW w:w="24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12,000,000</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11,700,000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Subordinated Debt/Corporate Notes</w:t>
            </w: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w w:val="92"/>
              </w:rPr>
              <w:t>213,271,563</w:t>
            </w: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217,081,074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Interests—2.0%</w:t>
            </w:r>
            <w:r>
              <w:rPr>
                <w:rFonts w:ascii="Arial" w:cs="Arial" w:eastAsia="Arial" w:hAnsi="Arial"/>
                <w:sz w:val="17"/>
                <w:szCs w:val="17"/>
                <w:b w:val="1"/>
                <w:bCs w:val="1"/>
                <w:color w:val="auto"/>
                <w:vertAlign w:val="superscript"/>
              </w:rPr>
              <w:t>(7)</w:t>
            </w: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 LLC</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380" w:type="dxa"/>
            <w:vAlign w:val="bottom"/>
          </w:tcPr>
          <w:p>
            <w:pPr>
              <w:spacing w:after="0"/>
              <w:rPr>
                <w:sz w:val="13"/>
                <w:szCs w:val="13"/>
                <w:color w:val="auto"/>
              </w:rPr>
            </w:pPr>
          </w:p>
        </w:tc>
        <w:tc>
          <w:tcPr>
            <w:tcW w:w="82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99"/>
              </w:rPr>
              <w:t>—</w:t>
            </w:r>
          </w:p>
        </w:tc>
        <w:tc>
          <w:tcPr>
            <w:tcW w:w="242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319</w:t>
            </w:r>
          </w:p>
        </w:tc>
        <w:tc>
          <w:tcPr>
            <w:tcW w:w="82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318,896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3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center"/>
              <w:ind w:right="280"/>
              <w:spacing w:after="0" w:line="159" w:lineRule="exact"/>
              <w:rPr>
                <w:sz w:val="20"/>
                <w:szCs w:val="20"/>
                <w:color w:val="auto"/>
              </w:rPr>
            </w:pPr>
            <w:r>
              <w:rPr>
                <w:rFonts w:ascii="Arial" w:cs="Arial" w:eastAsia="Arial" w:hAnsi="Arial"/>
                <w:sz w:val="14"/>
                <w:szCs w:val="14"/>
                <w:color w:val="auto"/>
                <w:w w:val="99"/>
              </w:rPr>
              <w:t>—</w:t>
            </w:r>
          </w:p>
        </w:tc>
        <w:tc>
          <w:tcPr>
            <w:tcW w:w="242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12.00%</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797</w:t>
            </w:r>
          </w:p>
        </w:tc>
        <w:tc>
          <w:tcPr>
            <w:tcW w:w="82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797,288</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1,070,352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380" w:type="dxa"/>
            <w:vAlign w:val="bottom"/>
          </w:tcPr>
          <w:p>
            <w:pPr>
              <w:spacing w:after="0"/>
              <w:rPr>
                <w:sz w:val="13"/>
                <w:szCs w:val="13"/>
                <w:color w:val="auto"/>
              </w:rPr>
            </w:pPr>
          </w:p>
        </w:tc>
        <w:tc>
          <w:tcPr>
            <w:tcW w:w="82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99"/>
              </w:rPr>
              <w:t>—</w:t>
            </w:r>
          </w:p>
        </w:tc>
        <w:tc>
          <w:tcPr>
            <w:tcW w:w="242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9.00%</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144,375</w:t>
            </w:r>
          </w:p>
        </w:tc>
        <w:tc>
          <w:tcPr>
            <w:tcW w:w="82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144,376</w:t>
            </w: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148,909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i2 Holdings Ltd. </w:t>
            </w:r>
            <w:r>
              <w:rPr>
                <w:rFonts w:ascii="Arial" w:cs="Arial" w:eastAsia="Arial" w:hAnsi="Arial"/>
                <w:sz w:val="17"/>
                <w:szCs w:val="17"/>
                <w:color w:val="auto"/>
                <w:vertAlign w:val="superscript"/>
              </w:rPr>
              <w:t>(10)</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24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4,137,240</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4,137,240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3,869,263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380" w:type="dxa"/>
            <w:vAlign w:val="bottom"/>
          </w:tcPr>
          <w:p>
            <w:pPr>
              <w:spacing w:after="0"/>
              <w:rPr>
                <w:sz w:val="13"/>
                <w:szCs w:val="13"/>
                <w:color w:val="auto"/>
              </w:rPr>
            </w:pPr>
          </w:p>
        </w:tc>
        <w:tc>
          <w:tcPr>
            <w:tcW w:w="82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99"/>
              </w:rPr>
              <w:t>—</w:t>
            </w:r>
          </w:p>
        </w:tc>
        <w:tc>
          <w:tcPr>
            <w:tcW w:w="940" w:type="dxa"/>
            <w:vAlign w:val="bottom"/>
          </w:tcPr>
          <w:p>
            <w:pPr>
              <w:spacing w:after="0"/>
              <w:rPr>
                <w:sz w:val="13"/>
                <w:szCs w:val="13"/>
                <w:color w:val="auto"/>
              </w:rPr>
            </w:pPr>
          </w:p>
        </w:tc>
        <w:tc>
          <w:tcPr>
            <w:tcW w:w="1480" w:type="dxa"/>
            <w:vAlign w:val="bottom"/>
            <w:gridSpan w:val="2"/>
          </w:tcPr>
          <w:p>
            <w:pPr>
              <w:jc w:val="center"/>
              <w:ind w:right="920"/>
              <w:spacing w:after="0" w:line="159" w:lineRule="exact"/>
              <w:rPr>
                <w:sz w:val="20"/>
                <w:szCs w:val="20"/>
                <w:color w:val="auto"/>
              </w:rPr>
            </w:pPr>
            <w:r>
              <w:rPr>
                <w:rFonts w:ascii="Arial" w:cs="Arial" w:eastAsia="Arial" w:hAnsi="Arial"/>
                <w:sz w:val="14"/>
                <w:szCs w:val="14"/>
                <w:color w:val="auto"/>
                <w:w w:val="84"/>
              </w:rPr>
              <w:t>Insurance</w:t>
            </w: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686</w:t>
            </w:r>
          </w:p>
        </w:tc>
        <w:tc>
          <w:tcPr>
            <w:tcW w:w="82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685,820</w:t>
            </w: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3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center"/>
              <w:ind w:right="280"/>
              <w:spacing w:after="0" w:line="159" w:lineRule="exact"/>
              <w:rPr>
                <w:sz w:val="20"/>
                <w:szCs w:val="20"/>
                <w:color w:val="auto"/>
              </w:rPr>
            </w:pPr>
            <w:r>
              <w:rPr>
                <w:rFonts w:ascii="Arial" w:cs="Arial" w:eastAsia="Arial" w:hAnsi="Arial"/>
                <w:sz w:val="14"/>
                <w:szCs w:val="14"/>
                <w:color w:val="auto"/>
                <w:w w:val="99"/>
              </w:rPr>
              <w:t>—</w:t>
            </w:r>
          </w:p>
        </w:tc>
        <w:tc>
          <w:tcPr>
            <w:tcW w:w="9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920"/>
              <w:spacing w:after="0" w:line="159" w:lineRule="exact"/>
              <w:rPr>
                <w:sz w:val="20"/>
                <w:szCs w:val="20"/>
                <w:color w:val="auto"/>
              </w:rPr>
            </w:pPr>
            <w:r>
              <w:rPr>
                <w:rFonts w:ascii="Arial" w:cs="Arial" w:eastAsia="Arial" w:hAnsi="Arial"/>
                <w:sz w:val="14"/>
                <w:szCs w:val="14"/>
                <w:color w:val="auto"/>
                <w:w w:val="84"/>
              </w:rPr>
              <w:t>Insurance</w:t>
            </w:r>
          </w:p>
        </w:tc>
        <w:tc>
          <w:tcPr>
            <w:tcW w:w="8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6.50%</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1,312</w:t>
            </w:r>
          </w:p>
        </w:tc>
        <w:tc>
          <w:tcPr>
            <w:tcW w:w="82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1,312,006</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1,495,885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380" w:type="dxa"/>
            <w:vAlign w:val="bottom"/>
          </w:tcPr>
          <w:p>
            <w:pPr>
              <w:spacing w:after="0"/>
              <w:rPr>
                <w:sz w:val="13"/>
                <w:szCs w:val="13"/>
                <w:color w:val="auto"/>
              </w:rPr>
            </w:pPr>
          </w:p>
        </w:tc>
        <w:tc>
          <w:tcPr>
            <w:tcW w:w="82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99"/>
              </w:rPr>
              <w:t>—</w:t>
            </w:r>
          </w:p>
        </w:tc>
        <w:tc>
          <w:tcPr>
            <w:tcW w:w="242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8.00%</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91,608</w:t>
            </w:r>
          </w:p>
        </w:tc>
        <w:tc>
          <w:tcPr>
            <w:tcW w:w="82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2,499,066</w:t>
            </w: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495,851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9,894,692</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7,766,080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Equity/Warrants/Partnership Interests—9.9%</w:t>
            </w:r>
            <w:r>
              <w:rPr>
                <w:rFonts w:ascii="Arial" w:cs="Arial" w:eastAsia="Arial" w:hAnsi="Arial"/>
                <w:sz w:val="18"/>
                <w:szCs w:val="18"/>
                <w:b w:val="1"/>
                <w:bCs w:val="1"/>
                <w:color w:val="auto"/>
                <w:vertAlign w:val="superscript"/>
              </w:rPr>
              <w:t>(7)</w:t>
            </w: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CEA Autumn Management, L.L.C.</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24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Broadcasting and Entertainment</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1,333</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380" w:type="dxa"/>
            <w:vAlign w:val="bottom"/>
          </w:tcPr>
          <w:p>
            <w:pPr>
              <w:spacing w:after="0"/>
              <w:rPr>
                <w:sz w:val="13"/>
                <w:szCs w:val="13"/>
                <w:color w:val="auto"/>
              </w:rPr>
            </w:pPr>
          </w:p>
        </w:tc>
        <w:tc>
          <w:tcPr>
            <w:tcW w:w="82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99"/>
              </w:rPr>
              <w:t>—</w:t>
            </w:r>
          </w:p>
        </w:tc>
        <w:tc>
          <w:tcPr>
            <w:tcW w:w="242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1,627</w:t>
            </w:r>
          </w:p>
        </w:tc>
        <w:tc>
          <w:tcPr>
            <w:tcW w:w="82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16,271</w:t>
            </w: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387,012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3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center"/>
              <w:ind w:right="280"/>
              <w:spacing w:after="0" w:line="159" w:lineRule="exact"/>
              <w:rPr>
                <w:sz w:val="20"/>
                <w:szCs w:val="20"/>
                <w:color w:val="auto"/>
              </w:rPr>
            </w:pPr>
            <w:r>
              <w:rPr>
                <w:rFonts w:ascii="Arial" w:cs="Arial" w:eastAsia="Arial" w:hAnsi="Arial"/>
                <w:sz w:val="14"/>
                <w:szCs w:val="14"/>
                <w:color w:val="auto"/>
                <w:w w:val="99"/>
              </w:rPr>
              <w:t>—</w:t>
            </w:r>
          </w:p>
        </w:tc>
        <w:tc>
          <w:tcPr>
            <w:tcW w:w="242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5,556</w:t>
            </w:r>
          </w:p>
        </w:tc>
        <w:tc>
          <w:tcPr>
            <w:tcW w:w="82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3,200,000</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7,987,755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3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24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24,375</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1,506,076</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1,998,008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 (Warrants)</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24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49,005</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3,027,906</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4,016,429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i2 Holdings Ltd. </w:t>
            </w:r>
            <w:r>
              <w:rPr>
                <w:rFonts w:ascii="Arial" w:cs="Arial" w:eastAsia="Arial" w:hAnsi="Arial"/>
                <w:sz w:val="17"/>
                <w:szCs w:val="17"/>
                <w:color w:val="auto"/>
                <w:vertAlign w:val="superscript"/>
              </w:rPr>
              <w:t>(10)</w:t>
            </w:r>
          </w:p>
        </w:tc>
        <w:tc>
          <w:tcPr>
            <w:tcW w:w="3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24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457,322</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454,030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Kadmon Holdings, L.L.C., Class A</w:t>
            </w:r>
          </w:p>
        </w:tc>
        <w:tc>
          <w:tcPr>
            <w:tcW w:w="3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280"/>
              <w:spacing w:after="0" w:line="138" w:lineRule="exact"/>
              <w:rPr>
                <w:sz w:val="20"/>
                <w:szCs w:val="20"/>
                <w:color w:val="auto"/>
              </w:rPr>
            </w:pPr>
            <w:r>
              <w:rPr>
                <w:rFonts w:ascii="Arial" w:cs="Arial" w:eastAsia="Arial" w:hAnsi="Arial"/>
                <w:sz w:val="14"/>
                <w:szCs w:val="14"/>
                <w:color w:val="auto"/>
                <w:w w:val="99"/>
              </w:rPr>
              <w:t>—</w:t>
            </w:r>
          </w:p>
        </w:tc>
        <w:tc>
          <w:tcPr>
            <w:tcW w:w="242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860" w:type="dxa"/>
            <w:vAlign w:val="bottom"/>
            <w:gridSpan w:val="2"/>
            <w:shd w:val="clear" w:color="auto" w:fill="CCEEFF"/>
          </w:tcPr>
          <w:p>
            <w:pPr>
              <w:jc w:val="right"/>
              <w:ind w:right="460"/>
              <w:spacing w:after="0" w:line="138"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38"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8,999</w:t>
            </w:r>
          </w:p>
        </w:tc>
        <w:tc>
          <w:tcPr>
            <w:tcW w:w="820" w:type="dxa"/>
            <w:vAlign w:val="bottom"/>
            <w:gridSpan w:val="4"/>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1,780,693</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1,780,693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(Three Rivers Pharmaceutical, L.L.C.)</w:t>
            </w:r>
          </w:p>
        </w:tc>
        <w:tc>
          <w:tcPr>
            <w:tcW w:w="3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920"/>
              <w:spacing w:after="0"/>
              <w:rPr>
                <w:sz w:val="20"/>
                <w:szCs w:val="20"/>
                <w:color w:val="auto"/>
              </w:rPr>
            </w:pPr>
            <w:r>
              <w:rPr>
                <w:rFonts w:ascii="Arial" w:cs="Arial" w:eastAsia="Arial" w:hAnsi="Arial"/>
                <w:sz w:val="14"/>
                <w:szCs w:val="14"/>
                <w:color w:val="auto"/>
                <w:w w:val="87"/>
              </w:rPr>
              <w:t>Childcare</w:t>
            </w: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tcPr>
          <w:p>
            <w:pPr>
              <w:spacing w:after="0" w:line="138" w:lineRule="exact"/>
              <w:rPr>
                <w:sz w:val="20"/>
                <w:szCs w:val="20"/>
                <w:color w:val="auto"/>
              </w:rPr>
            </w:pPr>
            <w:r>
              <w:rPr>
                <w:rFonts w:ascii="Arial" w:cs="Arial" w:eastAsia="Arial" w:hAnsi="Arial"/>
                <w:sz w:val="14"/>
                <w:szCs w:val="14"/>
                <w:color w:val="auto"/>
              </w:rPr>
              <w:t>Kadmon Holdings, L.L.C., Class D</w:t>
            </w:r>
          </w:p>
        </w:tc>
        <w:tc>
          <w:tcPr>
            <w:tcW w:w="380" w:type="dxa"/>
            <w:vAlign w:val="bottom"/>
          </w:tcPr>
          <w:p>
            <w:pPr>
              <w:spacing w:after="0"/>
              <w:rPr>
                <w:sz w:val="11"/>
                <w:szCs w:val="11"/>
                <w:color w:val="auto"/>
              </w:rPr>
            </w:pPr>
          </w:p>
        </w:tc>
        <w:tc>
          <w:tcPr>
            <w:tcW w:w="820" w:type="dxa"/>
            <w:vAlign w:val="bottom"/>
            <w:gridSpan w:val="2"/>
          </w:tcPr>
          <w:p>
            <w:pPr>
              <w:jc w:val="center"/>
              <w:ind w:right="280"/>
              <w:spacing w:after="0" w:line="138" w:lineRule="exact"/>
              <w:rPr>
                <w:sz w:val="20"/>
                <w:szCs w:val="20"/>
                <w:color w:val="auto"/>
              </w:rPr>
            </w:pPr>
            <w:r>
              <w:rPr>
                <w:rFonts w:ascii="Arial" w:cs="Arial" w:eastAsia="Arial" w:hAnsi="Arial"/>
                <w:sz w:val="14"/>
                <w:szCs w:val="14"/>
                <w:color w:val="auto"/>
                <w:w w:val="99"/>
              </w:rPr>
              <w:t>—</w:t>
            </w:r>
          </w:p>
        </w:tc>
        <w:tc>
          <w:tcPr>
            <w:tcW w:w="242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860" w:type="dxa"/>
            <w:vAlign w:val="bottom"/>
            <w:gridSpan w:val="2"/>
          </w:tcPr>
          <w:p>
            <w:pPr>
              <w:jc w:val="right"/>
              <w:ind w:right="460"/>
              <w:spacing w:after="0" w:line="138"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38"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8,999</w:t>
            </w:r>
          </w:p>
        </w:tc>
        <w:tc>
          <w:tcPr>
            <w:tcW w:w="820" w:type="dxa"/>
            <w:vAlign w:val="bottom"/>
            <w:gridSpan w:val="4"/>
          </w:tcPr>
          <w:p>
            <w:pPr>
              <w:jc w:val="right"/>
              <w:ind w:right="80"/>
              <w:spacing w:after="0" w:line="138" w:lineRule="exact"/>
              <w:rPr>
                <w:sz w:val="20"/>
                <w:szCs w:val="20"/>
                <w:color w:val="auto"/>
              </w:rPr>
            </w:pPr>
            <w:r>
              <w:rPr>
                <w:rFonts w:ascii="Arial" w:cs="Arial" w:eastAsia="Arial" w:hAnsi="Arial"/>
                <w:sz w:val="14"/>
                <w:szCs w:val="14"/>
                <w:color w:val="auto"/>
              </w:rPr>
              <w:t>857,339</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857,339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rPr>
              <w:t>(Three Rivers Pharmaceutical, L.L.C.)</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color w:val="auto"/>
                <w:w w:val="87"/>
              </w:rPr>
              <w:t>Childcare</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12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04/27/2020</w:t>
            </w:r>
          </w:p>
        </w:tc>
        <w:tc>
          <w:tcPr>
            <w:tcW w:w="24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1,267</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779,920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633,308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Magnum Hunter Resources Corporation</w:t>
            </w:r>
          </w:p>
        </w:tc>
        <w:tc>
          <w:tcPr>
            <w:tcW w:w="3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w:t>
            </w:r>
          </w:p>
        </w:tc>
        <w:tc>
          <w:tcPr>
            <w:tcW w:w="2420" w:type="dxa"/>
            <w:vAlign w:val="bottom"/>
            <w:gridSpan w:val="3"/>
          </w:tcPr>
          <w:p>
            <w:pPr>
              <w:jc w:val="center"/>
              <w:spacing w:after="0"/>
              <w:rPr>
                <w:sz w:val="20"/>
                <w:szCs w:val="20"/>
                <w:color w:val="auto"/>
              </w:rPr>
            </w:pPr>
            <w:r>
              <w:rPr>
                <w:rFonts w:ascii="Arial" w:cs="Arial" w:eastAsia="Arial" w:hAnsi="Arial"/>
                <w:sz w:val="14"/>
                <w:szCs w:val="14"/>
                <w:color w:val="auto"/>
                <w:w w:val="86"/>
              </w:rPr>
              <w:t>Oil and Gas</w:t>
            </w:r>
          </w:p>
        </w:tc>
        <w:tc>
          <w:tcPr>
            <w:tcW w:w="8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460" w:type="dxa"/>
            <w:vAlign w:val="bottom"/>
          </w:tcPr>
          <w:p>
            <w:pPr>
              <w:ind w:left="26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1,055,932</w:t>
            </w:r>
          </w:p>
        </w:tc>
        <w:tc>
          <w:tcPr>
            <w:tcW w:w="820" w:type="dxa"/>
            <w:vAlign w:val="bottom"/>
            <w:gridSpan w:val="4"/>
          </w:tcPr>
          <w:p>
            <w:pPr>
              <w:jc w:val="right"/>
              <w:ind w:right="80"/>
              <w:spacing w:after="0"/>
              <w:rPr>
                <w:sz w:val="20"/>
                <w:szCs w:val="20"/>
                <w:color w:val="auto"/>
              </w:rPr>
            </w:pPr>
            <w:r>
              <w:rPr>
                <w:rFonts w:ascii="Arial" w:cs="Arial" w:eastAsia="Arial" w:hAnsi="Arial"/>
                <w:sz w:val="14"/>
                <w:szCs w:val="14"/>
                <w:color w:val="auto"/>
              </w:rPr>
              <w:t>2,464,999</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4,350,440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Basis</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Point</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Spread</w:t>
            </w:r>
          </w:p>
        </w:tc>
        <w:tc>
          <w:tcPr>
            <w:tcW w:w="140" w:type="dxa"/>
            <w:vAlign w:val="bottom"/>
          </w:tcPr>
          <w:p>
            <w:pPr>
              <w:spacing w:after="0"/>
              <w:rPr>
                <w:sz w:val="12"/>
                <w:szCs w:val="12"/>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0"/>
              </w:rPr>
              <w:t>Current</w:t>
            </w: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Above</w:t>
            </w: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2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Maturity</w:t>
            </w:r>
          </w:p>
        </w:tc>
        <w:tc>
          <w:tcPr>
            <w:tcW w:w="840" w:type="dxa"/>
            <w:vAlign w:val="bottom"/>
          </w:tcPr>
          <w:p>
            <w:pPr>
              <w:spacing w:after="0"/>
              <w:rPr>
                <w:sz w:val="14"/>
                <w:szCs w:val="14"/>
                <w:color w:val="auto"/>
              </w:rPr>
            </w:pPr>
          </w:p>
        </w:tc>
        <w:tc>
          <w:tcPr>
            <w:tcW w:w="14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680" w:type="dxa"/>
            <w:vAlign w:val="bottom"/>
            <w:gridSpan w:val="2"/>
          </w:tcPr>
          <w:p>
            <w:pPr>
              <w:jc w:val="center"/>
              <w:ind w:right="220"/>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14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280"/>
              <w:spacing w:after="0" w:line="162" w:lineRule="exact"/>
              <w:rPr>
                <w:sz w:val="20"/>
                <w:szCs w:val="20"/>
                <w:color w:val="auto"/>
              </w:rPr>
            </w:pPr>
            <w:r>
              <w:rPr>
                <w:rFonts w:ascii="Arial" w:cs="Arial" w:eastAsia="Arial" w:hAnsi="Arial"/>
                <w:sz w:val="12"/>
                <w:szCs w:val="12"/>
                <w:b w:val="1"/>
                <w:bCs w:val="1"/>
                <w:color w:val="auto"/>
                <w:w w:val="89"/>
              </w:rPr>
              <w:t>Value</w:t>
            </w:r>
            <w:r>
              <w:rPr>
                <w:rFonts w:ascii="Arial" w:cs="Arial" w:eastAsia="Arial" w:hAnsi="Arial"/>
                <w:sz w:val="18"/>
                <w:szCs w:val="18"/>
                <w:b w:val="1"/>
                <w:bCs w:val="1"/>
                <w:color w:val="auto"/>
                <w:w w:val="89"/>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37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A</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360"/>
              <w:spacing w:after="0" w:line="159" w:lineRule="exact"/>
              <w:rPr>
                <w:sz w:val="20"/>
                <w:szCs w:val="20"/>
                <w:color w:val="auto"/>
              </w:rPr>
            </w:pPr>
            <w:r>
              <w:rPr>
                <w:rFonts w:ascii="Arial" w:cs="Arial" w:eastAsia="Arial" w:hAnsi="Arial"/>
                <w:sz w:val="14"/>
                <w:szCs w:val="14"/>
                <w:color w:val="auto"/>
                <w:w w:val="99"/>
              </w:rPr>
              <w:t>—</w:t>
            </w:r>
          </w:p>
        </w:tc>
        <w:tc>
          <w:tcPr>
            <w:tcW w:w="2260" w:type="dxa"/>
            <w:vAlign w:val="bottom"/>
            <w:gridSpan w:val="3"/>
            <w:shd w:val="clear" w:color="auto" w:fill="CCEEFF"/>
          </w:tcPr>
          <w:p>
            <w:pPr>
              <w:jc w:val="center"/>
              <w:ind w:right="60"/>
              <w:spacing w:after="0" w:line="15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4,325</w:t>
            </w:r>
          </w:p>
        </w:tc>
        <w:tc>
          <w:tcPr>
            <w:tcW w:w="2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1,306,167</w:t>
            </w:r>
          </w:p>
        </w:tc>
        <w:tc>
          <w:tcPr>
            <w:tcW w:w="200" w:type="dxa"/>
            <w:vAlign w:val="bottom"/>
            <w:gridSpan w:val="2"/>
            <w:shd w:val="clear" w:color="auto" w:fill="CCEEFF"/>
          </w:tcPr>
          <w:p>
            <w:pPr>
              <w:jc w:val="right"/>
              <w:ind w:right="9"/>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1,081,683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B</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120" w:type="dxa"/>
            <w:vAlign w:val="bottom"/>
          </w:tcPr>
          <w:p>
            <w:pPr>
              <w:spacing w:after="0"/>
              <w:rPr>
                <w:sz w:val="13"/>
                <w:szCs w:val="13"/>
                <w:color w:val="auto"/>
              </w:rPr>
            </w:pPr>
          </w:p>
        </w:tc>
        <w:tc>
          <w:tcPr>
            <w:tcW w:w="900" w:type="dxa"/>
            <w:vAlign w:val="bottom"/>
            <w:gridSpan w:val="2"/>
          </w:tcPr>
          <w:p>
            <w:pPr>
              <w:jc w:val="center"/>
              <w:ind w:right="360"/>
              <w:spacing w:after="0" w:line="159" w:lineRule="exact"/>
              <w:rPr>
                <w:sz w:val="20"/>
                <w:szCs w:val="20"/>
                <w:color w:val="auto"/>
              </w:rPr>
            </w:pPr>
            <w:r>
              <w:rPr>
                <w:rFonts w:ascii="Arial" w:cs="Arial" w:eastAsia="Arial" w:hAnsi="Arial"/>
                <w:sz w:val="14"/>
                <w:szCs w:val="14"/>
                <w:color w:val="auto"/>
                <w:w w:val="99"/>
              </w:rPr>
              <w:t>—</w:t>
            </w:r>
          </w:p>
        </w:tc>
        <w:tc>
          <w:tcPr>
            <w:tcW w:w="226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531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132,803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10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12/29/2019</w:t>
            </w:r>
          </w:p>
        </w:tc>
        <w:tc>
          <w:tcPr>
            <w:tcW w:w="226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29,400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973,875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120" w:type="dxa"/>
            <w:vAlign w:val="bottom"/>
          </w:tcPr>
          <w:p>
            <w:pPr>
              <w:spacing w:after="0"/>
              <w:rPr>
                <w:sz w:val="13"/>
                <w:szCs w:val="13"/>
                <w:color w:val="auto"/>
              </w:rPr>
            </w:pPr>
          </w:p>
        </w:tc>
        <w:tc>
          <w:tcPr>
            <w:tcW w:w="900" w:type="dxa"/>
            <w:vAlign w:val="bottom"/>
            <w:gridSpan w:val="2"/>
          </w:tcPr>
          <w:p>
            <w:pPr>
              <w:jc w:val="center"/>
              <w:ind w:right="360"/>
              <w:spacing w:after="0" w:line="159" w:lineRule="exact"/>
              <w:rPr>
                <w:sz w:val="20"/>
                <w:szCs w:val="20"/>
                <w:color w:val="auto"/>
              </w:rPr>
            </w:pPr>
            <w:r>
              <w:rPr>
                <w:rFonts w:ascii="Arial" w:cs="Arial" w:eastAsia="Arial" w:hAnsi="Arial"/>
                <w:sz w:val="14"/>
                <w:szCs w:val="14"/>
                <w:color w:val="auto"/>
                <w:w w:val="99"/>
              </w:rPr>
              <w:t>—</w:t>
            </w:r>
          </w:p>
        </w:tc>
        <w:tc>
          <w:tcPr>
            <w:tcW w:w="226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6"/>
              </w:rPr>
              <w:t>Cargo Transport</w:t>
            </w: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137,923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2,111,588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4,589,906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900"/>
              <w:spacing w:after="0" w:line="149" w:lineRule="exact"/>
              <w:rPr>
                <w:sz w:val="20"/>
                <w:szCs w:val="20"/>
                <w:color w:val="auto"/>
              </w:rPr>
            </w:pPr>
            <w:r>
              <w:rPr>
                <w:rFonts w:ascii="Arial" w:cs="Arial" w:eastAsia="Arial" w:hAnsi="Arial"/>
                <w:sz w:val="14"/>
                <w:szCs w:val="14"/>
                <w:color w:val="auto"/>
                <w:w w:val="84"/>
              </w:rPr>
              <w:t>Insurance</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1,688,629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12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9"/>
              </w:rPr>
              <w:t>—</w:t>
            </w:r>
          </w:p>
        </w:tc>
        <w:tc>
          <w:tcPr>
            <w:tcW w:w="22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6"/>
              </w:rPr>
              <w:t>Oil and Gas</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91,608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916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VText Holdings, Inc.</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9"/>
              </w:rPr>
              <w:t>—</w:t>
            </w:r>
          </w:p>
        </w:tc>
        <w:tc>
          <w:tcPr>
            <w:tcW w:w="226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35,526</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4,050,000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4,634,758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6"/>
              </w:rPr>
              <w:t>24,595,148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9"/>
              </w:rPr>
              <w:t>38,112,638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7"/>
              </w:rPr>
              <w:t>631,280,755</w:t>
            </w: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641,290,626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gridSpan w:val="5"/>
          </w:tcPr>
          <w:p>
            <w:pPr>
              <w:spacing w:after="0" w:line="156" w:lineRule="exact"/>
              <w:rPr>
                <w:sz w:val="20"/>
                <w:szCs w:val="20"/>
                <w:color w:val="auto"/>
              </w:rPr>
            </w:pPr>
            <w:r>
              <w:rPr>
                <w:rFonts w:ascii="Arial" w:cs="Arial" w:eastAsia="Arial" w:hAnsi="Arial"/>
                <w:sz w:val="12"/>
                <w:szCs w:val="12"/>
                <w:b w:val="1"/>
                <w:bCs w:val="1"/>
                <w:color w:val="auto"/>
              </w:rPr>
              <w:t>Investments in Non-Controlled, Affiliated Portfolio Companies—4.0%</w:t>
            </w:r>
            <w:r>
              <w:rPr>
                <w:rFonts w:ascii="Arial" w:cs="Arial" w:eastAsia="Arial" w:hAnsi="Arial"/>
                <w:sz w:val="18"/>
                <w:szCs w:val="18"/>
                <w:b w:val="1"/>
                <w:bCs w:val="1"/>
                <w:color w:val="auto"/>
                <w:vertAlign w:val="superscript"/>
              </w:rPr>
              <w:t>(1),(2)</w:t>
            </w: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Debt—2.0%</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Performance, Inc.</w:t>
            </w:r>
          </w:p>
        </w:tc>
        <w:tc>
          <w:tcPr>
            <w:tcW w:w="10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01/16/2015</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8"/>
              </w:rPr>
              <w:t>Leisure, Amusement, Motion</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7.50%</w:t>
            </w:r>
          </w:p>
        </w:tc>
        <w:tc>
          <w:tcPr>
            <w:tcW w:w="680" w:type="dxa"/>
            <w:vAlign w:val="bottom"/>
            <w:gridSpan w:val="2"/>
          </w:tcPr>
          <w:p>
            <w:pPr>
              <w:ind w:left="10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9"/>
              </w:rPr>
              <w:t>8,000,000</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8,000,000</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7,584,000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6"/>
              </w:rPr>
              <w:t>Pictures and Entertainment</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Notes—1.5%</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Performance Holdings, Inc.</w:t>
            </w:r>
          </w:p>
        </w:tc>
        <w:tc>
          <w:tcPr>
            <w:tcW w:w="10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07/16/2015</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Leisure, Amusement, Motion</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5,848,176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5,677,648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5,745,832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60" w:type="dxa"/>
            <w:vAlign w:val="bottom"/>
            <w:gridSpan w:val="3"/>
          </w:tcPr>
          <w:p>
            <w:pPr>
              <w:jc w:val="center"/>
              <w:ind w:right="80"/>
              <w:spacing w:after="0" w:line="155" w:lineRule="exact"/>
              <w:rPr>
                <w:sz w:val="20"/>
                <w:szCs w:val="20"/>
                <w:color w:val="auto"/>
              </w:rPr>
            </w:pPr>
            <w:r>
              <w:rPr>
                <w:rFonts w:ascii="Arial" w:cs="Arial" w:eastAsia="Arial" w:hAnsi="Arial"/>
                <w:sz w:val="14"/>
                <w:szCs w:val="14"/>
                <w:color w:val="auto"/>
                <w:w w:val="86"/>
              </w:rPr>
              <w:t>Pictures and Entertainment</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Equity/Partnership Interest—0.5%</w:t>
            </w:r>
            <w:r>
              <w:rPr>
                <w:rFonts w:ascii="Arial" w:cs="Arial" w:eastAsia="Arial" w:hAnsi="Arial"/>
                <w:sz w:val="17"/>
                <w:szCs w:val="17"/>
                <w:b w:val="1"/>
                <w:bCs w:val="1"/>
                <w:color w:val="auto"/>
                <w:vertAlign w:val="superscript"/>
              </w:rPr>
              <w:t>(7)</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NCP-Performance (Performance Holdings, Inc.)</w:t>
            </w:r>
          </w:p>
        </w:tc>
        <w:tc>
          <w:tcPr>
            <w:tcW w:w="120" w:type="dxa"/>
            <w:vAlign w:val="bottom"/>
          </w:tcPr>
          <w:p>
            <w:pPr>
              <w:spacing w:after="0"/>
              <w:rPr>
                <w:sz w:val="13"/>
                <w:szCs w:val="13"/>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9"/>
              </w:rPr>
              <w:t>—</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8"/>
              </w:rPr>
              <w:t>Leisure, Amusement, Motion</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37,500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3,750,000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2,103,848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6"/>
              </w:rPr>
              <w:t>Pictures and Entertainment</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Investments in Non-Controlled, Affiliated Portfolio Companies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w w:val="96"/>
              </w:rPr>
              <w:t>17,427,648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w w:val="99"/>
              </w:rPr>
              <w:t>15,433,680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5"/>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Controlled, Affiliated Portfolio Companies—2.1%</w:t>
            </w:r>
            <w:r>
              <w:rPr>
                <w:rFonts w:ascii="Arial" w:cs="Arial" w:eastAsia="Arial" w:hAnsi="Arial"/>
                <w:sz w:val="17"/>
                <w:szCs w:val="17"/>
                <w:b w:val="1"/>
                <w:bCs w:val="1"/>
                <w:color w:val="auto"/>
                <w:vertAlign w:val="superscript"/>
              </w:rPr>
              <w:t>(1),(2)</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Debt—1.4%</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0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06/30/2020</w:t>
            </w:r>
          </w:p>
        </w:tc>
        <w:tc>
          <w:tcPr>
            <w:tcW w:w="226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4,800,000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4,800,000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5,352,000</w:t>
            </w: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Notes—0.3%</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0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06/30/2020</w:t>
            </w:r>
          </w:p>
        </w:tc>
        <w:tc>
          <w:tcPr>
            <w:tcW w:w="226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1,200,000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1,142,398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Equity—0.4%</w:t>
            </w:r>
            <w:r>
              <w:rPr>
                <w:rFonts w:ascii="Arial" w:cs="Arial" w:eastAsia="Arial" w:hAnsi="Arial"/>
                <w:sz w:val="18"/>
                <w:szCs w:val="18"/>
                <w:b w:val="1"/>
                <w:bCs w:val="1"/>
                <w:color w:val="auto"/>
                <w:vertAlign w:val="superscript"/>
              </w:rPr>
              <w:t>(7)</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9"/>
              </w:rPr>
              <w:t>—</w:t>
            </w:r>
          </w:p>
        </w:tc>
        <w:tc>
          <w:tcPr>
            <w:tcW w:w="226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14.00%</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1,505,602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Equity—0.0%</w:t>
            </w:r>
            <w:r>
              <w:rPr>
                <w:rFonts w:ascii="Arial" w:cs="Arial" w:eastAsia="Arial" w:hAnsi="Arial"/>
                <w:sz w:val="18"/>
                <w:szCs w:val="18"/>
                <w:b w:val="1"/>
                <w:bCs w:val="1"/>
                <w:color w:val="auto"/>
                <w:vertAlign w:val="superscript"/>
              </w:rPr>
              <w:t>(7)</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9"/>
              </w:rPr>
              <w:t>—</w:t>
            </w:r>
          </w:p>
        </w:tc>
        <w:tc>
          <w:tcPr>
            <w:tcW w:w="226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8"/>
              </w:rPr>
              <w:t>Investments in Controlled, Affiliated Portfolio Companies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rPr>
              <w:t>8,000,100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rPr>
              <w:t>8,000,100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Investments—172.0%</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656,708,503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664,724,406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Equivalents—0.5%</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w w:val="99"/>
              </w:rPr>
              <w:t>1,814,451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rPr>
              <w:t>1,814,451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rPr>
              <w:t>1,814,451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Total Investments and Cash</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Equivalents—172.5%</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87"/>
              </w:rPr>
              <w:t>658,522,954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89"/>
              </w:rPr>
              <w:t>666,538,857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Assets—(72.5%)</w:t>
            </w: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jc w:val="right"/>
              <w:ind w:right="40"/>
              <w:spacing w:after="0" w:line="143" w:lineRule="exact"/>
              <w:rPr>
                <w:sz w:val="20"/>
                <w:szCs w:val="20"/>
                <w:color w:val="auto"/>
              </w:rPr>
            </w:pPr>
            <w:r>
              <w:rPr>
                <w:rFonts w:ascii="Arial" w:cs="Arial" w:eastAsia="Arial" w:hAnsi="Arial"/>
                <w:sz w:val="14"/>
                <w:szCs w:val="14"/>
                <w:color w:val="auto"/>
                <w:w w:val="84"/>
              </w:rPr>
              <w:t>(279,963,634)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386,575,223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7" w:lineRule="exact"/>
        <w:rPr>
          <w:sz w:val="20"/>
          <w:szCs w:val="20"/>
          <w:color w:val="auto"/>
        </w:rPr>
      </w:pPr>
    </w:p>
    <w:p>
      <w:pPr>
        <w:ind w:left="340" w:right="20" w:hanging="332"/>
        <w:spacing w:after="0" w:line="268" w:lineRule="auto"/>
        <w:tabs>
          <w:tab w:leader="none" w:pos="3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60" w:hanging="332"/>
        <w:spacing w:after="0" w:line="258" w:lineRule="auto"/>
        <w:tabs>
          <w:tab w:leader="none" w:pos="3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hanging="332"/>
        <w:spacing w:after="0"/>
        <w:tabs>
          <w:tab w:leader="none" w:pos="3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22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40"/>
          </w:cols>
          <w:pgMar w:left="240" w:top="459" w:right="3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0"/>
              </w:rPr>
              <w:t>Current</w:t>
            </w:r>
          </w:p>
        </w:tc>
        <w:tc>
          <w:tcPr>
            <w:tcW w:w="520" w:type="dxa"/>
            <w:vAlign w:val="bottom"/>
          </w:tcPr>
          <w:p>
            <w:pPr>
              <w:jc w:val="right"/>
              <w:ind w:right="15"/>
              <w:spacing w:after="0" w:line="135" w:lineRule="exact"/>
              <w:rPr>
                <w:sz w:val="20"/>
                <w:szCs w:val="20"/>
                <w:color w:val="auto"/>
              </w:rPr>
            </w:pPr>
            <w:r>
              <w:rPr>
                <w:rFonts w:ascii="Arial" w:cs="Arial" w:eastAsia="Arial" w:hAnsi="Arial"/>
                <w:sz w:val="14"/>
                <w:szCs w:val="14"/>
                <w:b w:val="1"/>
                <w:bCs w:val="1"/>
                <w:color w:val="auto"/>
                <w:w w:val="98"/>
              </w:rPr>
              <w:t>Above</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Maturity</w:t>
            </w:r>
          </w:p>
        </w:tc>
        <w:tc>
          <w:tcPr>
            <w:tcW w:w="860" w:type="dxa"/>
            <w:vAlign w:val="bottom"/>
          </w:tcPr>
          <w:p>
            <w:pPr>
              <w:spacing w:after="0"/>
              <w:rPr>
                <w:sz w:val="14"/>
                <w:szCs w:val="14"/>
                <w:color w:val="auto"/>
              </w:rPr>
            </w:pPr>
          </w:p>
        </w:tc>
        <w:tc>
          <w:tcPr>
            <w:tcW w:w="14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52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18"/>
                <w:szCs w:val="18"/>
                <w:b w:val="1"/>
                <w:bCs w:val="1"/>
                <w:color w:val="auto"/>
                <w:vertAlign w:val="superscript"/>
              </w:rPr>
              <w:t>(4)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4"/>
                <w:szCs w:val="14"/>
                <w:color w:val="auto"/>
              </w:rPr>
            </w:pPr>
          </w:p>
        </w:tc>
        <w:tc>
          <w:tcPr>
            <w:tcW w:w="820" w:type="dxa"/>
            <w:vAlign w:val="bottom"/>
            <w:gridSpan w:val="4"/>
          </w:tcPr>
          <w:p>
            <w:pPr>
              <w:ind w:left="2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center"/>
              <w:ind w:right="20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40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w w:val="89"/>
              </w:rPr>
              <w:t>Investments in Non-Controlled, Non-Affiliated Portfolio Companies</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—150.9%</w:t>
            </w:r>
            <w:r>
              <w:rPr>
                <w:rFonts w:ascii="Arial" w:cs="Arial" w:eastAsia="Arial" w:hAnsi="Arial"/>
                <w:sz w:val="20"/>
                <w:szCs w:val="20"/>
                <w:b w:val="1"/>
                <w:bCs w:val="1"/>
                <w:color w:val="auto"/>
                <w:vertAlign w:val="superscript"/>
              </w:rPr>
              <w:t>(1),(2)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First Lien Secured Debt—50.1%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vMerge w:val="restart"/>
          </w:tcPr>
          <w:p>
            <w:pPr>
              <w:jc w:val="right"/>
              <w:ind w:right="24"/>
              <w:spacing w:after="0"/>
              <w:rPr>
                <w:sz w:val="20"/>
                <w:szCs w:val="20"/>
                <w:color w:val="auto"/>
              </w:rPr>
            </w:pPr>
            <w:r>
              <w:rPr>
                <w:rFonts w:ascii="Arial" w:cs="Arial" w:eastAsia="Arial" w:hAnsi="Arial"/>
                <w:sz w:val="14"/>
                <w:szCs w:val="14"/>
                <w:color w:val="auto"/>
              </w:rPr>
              <w:t>P+295</w:t>
            </w:r>
            <w:r>
              <w:rPr>
                <w:rFonts w:ascii="Arial" w:cs="Arial" w:eastAsia="Arial" w:hAnsi="Arial"/>
                <w:sz w:val="22"/>
                <w:szCs w:val="22"/>
                <w:color w:val="auto"/>
                <w:vertAlign w:val="superscript"/>
              </w:rPr>
              <w:t>(8)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1-800 Contacts, Inc.</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03/04/2015</w:t>
            </w:r>
          </w:p>
        </w:tc>
        <w:tc>
          <w:tcPr>
            <w:tcW w:w="23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1"/>
              </w:rPr>
              <w:t>Distribution</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7.70%</w:t>
            </w:r>
          </w:p>
        </w:tc>
        <w:tc>
          <w:tcPr>
            <w:tcW w:w="720" w:type="dxa"/>
            <w:vAlign w:val="bottom"/>
            <w:gridSpan w:val="2"/>
            <w:vMerge w:val="continue"/>
          </w:tcPr>
          <w:p>
            <w:pPr>
              <w:spacing w:after="0"/>
              <w:rPr>
                <w:sz w:val="12"/>
                <w:szCs w:val="12"/>
                <w:color w:val="auto"/>
              </w:rPr>
            </w:pP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5"/>
              </w:rPr>
              <w:t>$13,929,825</w:t>
            </w:r>
          </w:p>
        </w:tc>
        <w:tc>
          <w:tcPr>
            <w:tcW w:w="9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$ 11,941,660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$ 13,720,877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0" w:type="dxa"/>
            <w:vAlign w:val="bottom"/>
            <w:gridSpan w:val="2"/>
          </w:tcPr>
          <w:p>
            <w:pPr>
              <w:spacing w:after="0" w:line="122" w:lineRule="exact"/>
              <w:rPr>
                <w:sz w:val="20"/>
                <w:szCs w:val="20"/>
                <w:color w:val="auto"/>
              </w:rPr>
            </w:pPr>
            <w:r>
              <w:rPr>
                <w:rFonts w:ascii="Arial" w:cs="Arial" w:eastAsia="Arial" w:hAnsi="Arial"/>
                <w:sz w:val="14"/>
                <w:szCs w:val="14"/>
                <w:color w:val="auto"/>
              </w:rPr>
              <w:t>Burlington Coat Factory Warehouse Corp.</w:t>
            </w:r>
          </w:p>
        </w:tc>
        <w:tc>
          <w:tcPr>
            <w:tcW w:w="840" w:type="dxa"/>
            <w:vAlign w:val="bottom"/>
            <w:gridSpan w:val="3"/>
          </w:tcPr>
          <w:p>
            <w:pPr>
              <w:jc w:val="right"/>
              <w:ind w:right="140"/>
              <w:spacing w:after="0" w:line="122" w:lineRule="exact"/>
              <w:rPr>
                <w:sz w:val="20"/>
                <w:szCs w:val="20"/>
                <w:color w:val="auto"/>
              </w:rPr>
            </w:pPr>
            <w:r>
              <w:rPr>
                <w:rFonts w:ascii="Arial" w:cs="Arial" w:eastAsia="Arial" w:hAnsi="Arial"/>
                <w:sz w:val="14"/>
                <w:szCs w:val="14"/>
                <w:color w:val="auto"/>
                <w:w w:val="96"/>
              </w:rPr>
              <w:t>05/28/2013</w:t>
            </w:r>
          </w:p>
        </w:tc>
        <w:tc>
          <w:tcPr>
            <w:tcW w:w="2320" w:type="dxa"/>
            <w:vAlign w:val="bottom"/>
            <w:gridSpan w:val="3"/>
          </w:tcPr>
          <w:p>
            <w:pPr>
              <w:jc w:val="center"/>
              <w:ind w:right="80"/>
              <w:spacing w:after="0" w:line="122" w:lineRule="exact"/>
              <w:rPr>
                <w:sz w:val="20"/>
                <w:szCs w:val="20"/>
                <w:color w:val="auto"/>
              </w:rPr>
            </w:pPr>
            <w:r>
              <w:rPr>
                <w:rFonts w:ascii="Arial" w:cs="Arial" w:eastAsia="Arial" w:hAnsi="Arial"/>
                <w:sz w:val="14"/>
                <w:szCs w:val="14"/>
                <w:color w:val="auto"/>
                <w:w w:val="87"/>
              </w:rPr>
              <w:t>Retail Store</w:t>
            </w:r>
          </w:p>
        </w:tc>
        <w:tc>
          <w:tcPr>
            <w:tcW w:w="860" w:type="dxa"/>
            <w:vAlign w:val="bottom"/>
            <w:gridSpan w:val="2"/>
          </w:tcPr>
          <w:p>
            <w:pPr>
              <w:jc w:val="right"/>
              <w:ind w:right="280"/>
              <w:spacing w:after="0" w:line="122" w:lineRule="exact"/>
              <w:rPr>
                <w:sz w:val="20"/>
                <w:szCs w:val="20"/>
                <w:color w:val="auto"/>
              </w:rPr>
            </w:pPr>
            <w:r>
              <w:rPr>
                <w:rFonts w:ascii="Arial" w:cs="Arial" w:eastAsia="Arial" w:hAnsi="Arial"/>
                <w:sz w:val="14"/>
                <w:szCs w:val="14"/>
                <w:color w:val="auto"/>
              </w:rPr>
              <w:t>2.57%</w:t>
            </w:r>
          </w:p>
        </w:tc>
        <w:tc>
          <w:tcPr>
            <w:tcW w:w="720" w:type="dxa"/>
            <w:vAlign w:val="bottom"/>
            <w:gridSpan w:val="2"/>
          </w:tcPr>
          <w:p>
            <w:pPr>
              <w:jc w:val="right"/>
              <w:ind w:right="144"/>
              <w:spacing w:after="0" w:line="122" w:lineRule="exact"/>
              <w:rPr>
                <w:sz w:val="20"/>
                <w:szCs w:val="20"/>
                <w:color w:val="auto"/>
              </w:rPr>
            </w:pPr>
            <w:r>
              <w:rPr>
                <w:rFonts w:ascii="Arial" w:cs="Arial" w:eastAsia="Arial" w:hAnsi="Arial"/>
                <w:sz w:val="14"/>
                <w:szCs w:val="14"/>
                <w:color w:val="auto"/>
              </w:rPr>
              <w:t>L+225</w:t>
            </w:r>
          </w:p>
        </w:tc>
        <w:tc>
          <w:tcPr>
            <w:tcW w:w="840" w:type="dxa"/>
            <w:vAlign w:val="bottom"/>
            <w:gridSpan w:val="3"/>
          </w:tcPr>
          <w:p>
            <w:pPr>
              <w:jc w:val="right"/>
              <w:ind w:right="80"/>
              <w:spacing w:after="0" w:line="122" w:lineRule="exact"/>
              <w:rPr>
                <w:sz w:val="20"/>
                <w:szCs w:val="20"/>
                <w:color w:val="auto"/>
              </w:rPr>
            </w:pPr>
            <w:r>
              <w:rPr>
                <w:rFonts w:ascii="Arial" w:cs="Arial" w:eastAsia="Arial" w:hAnsi="Arial"/>
                <w:sz w:val="14"/>
                <w:szCs w:val="14"/>
                <w:color w:val="auto"/>
              </w:rPr>
              <w:t>2,837,374</w:t>
            </w: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2,835,299</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2,578,464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tcPr>
          <w:p>
            <w:pPr>
              <w:spacing w:after="0" w:line="176" w:lineRule="exact"/>
              <w:rPr>
                <w:sz w:val="20"/>
                <w:szCs w:val="20"/>
                <w:color w:val="auto"/>
              </w:rPr>
            </w:pPr>
            <w:r>
              <w:rPr>
                <w:rFonts w:ascii="Arial" w:cs="Arial" w:eastAsia="Arial" w:hAnsi="Arial"/>
                <w:sz w:val="13"/>
                <w:szCs w:val="13"/>
                <w:color w:val="auto"/>
              </w:rPr>
              <w:t>Ceva Group PLC</w:t>
            </w:r>
            <w:r>
              <w:rPr>
                <w:rFonts w:ascii="Arial" w:cs="Arial" w:eastAsia="Arial" w:hAnsi="Arial"/>
                <w:sz w:val="20"/>
                <w:szCs w:val="20"/>
                <w:color w:val="auto"/>
                <w:vertAlign w:val="superscript"/>
              </w:rPr>
              <w:t>(5)</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10/01/2016</w:t>
            </w:r>
          </w:p>
        </w:tc>
        <w:tc>
          <w:tcPr>
            <w:tcW w:w="860" w:type="dxa"/>
            <w:vAlign w:val="bottom"/>
          </w:tcPr>
          <w:p>
            <w:pPr>
              <w:spacing w:after="0"/>
              <w:rPr>
                <w:sz w:val="15"/>
                <w:szCs w:val="15"/>
                <w:color w:val="auto"/>
              </w:rPr>
            </w:pPr>
          </w:p>
        </w:tc>
        <w:tc>
          <w:tcPr>
            <w:tcW w:w="1460" w:type="dxa"/>
            <w:vAlign w:val="bottom"/>
            <w:gridSpan w:val="2"/>
          </w:tcPr>
          <w:p>
            <w:pPr>
              <w:jc w:val="center"/>
              <w:ind w:right="960"/>
              <w:spacing w:after="0"/>
              <w:rPr>
                <w:sz w:val="20"/>
                <w:szCs w:val="20"/>
                <w:color w:val="auto"/>
              </w:rPr>
            </w:pPr>
            <w:r>
              <w:rPr>
                <w:rFonts w:ascii="Arial" w:cs="Arial" w:eastAsia="Arial" w:hAnsi="Arial"/>
                <w:sz w:val="14"/>
                <w:szCs w:val="14"/>
                <w:color w:val="auto"/>
                <w:w w:val="91"/>
              </w:rPr>
              <w:t>Logistics</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11.63%</w:t>
            </w:r>
          </w:p>
        </w:tc>
        <w:tc>
          <w:tcPr>
            <w:tcW w:w="520" w:type="dxa"/>
            <w:vAlign w:val="bottom"/>
          </w:tcPr>
          <w:p>
            <w:pPr>
              <w:jc w:val="right"/>
              <w:ind w:right="15"/>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24"/>
              <w:spacing w:after="0"/>
              <w:rPr>
                <w:sz w:val="20"/>
                <w:szCs w:val="20"/>
                <w:color w:val="auto"/>
              </w:rPr>
            </w:pPr>
            <w:r>
              <w:rPr>
                <w:rFonts w:ascii="Arial" w:cs="Arial" w:eastAsia="Arial" w:hAnsi="Arial"/>
                <w:sz w:val="11"/>
                <w:szCs w:val="11"/>
                <w:color w:val="auto"/>
                <w:w w:val="74"/>
              </w:rPr>
              <w:t>(8)</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7,500,000</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7,284,525</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7,284,525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020" w:type="dxa"/>
            <w:vAlign w:val="bottom"/>
            <w:gridSpan w:val="3"/>
            <w:vMerge w:val="restart"/>
          </w:tcPr>
          <w:p>
            <w:pPr>
              <w:spacing w:after="0" w:line="122" w:lineRule="exact"/>
              <w:rPr>
                <w:sz w:val="20"/>
                <w:szCs w:val="20"/>
                <w:color w:val="auto"/>
              </w:rPr>
            </w:pPr>
            <w:r>
              <w:rPr>
                <w:rFonts w:ascii="Arial" w:cs="Arial" w:eastAsia="Arial" w:hAnsi="Arial"/>
                <w:sz w:val="14"/>
                <w:szCs w:val="14"/>
                <w:color w:val="auto"/>
              </w:rPr>
              <w:t>Chester Downs and Marina, LLC</w:t>
            </w:r>
          </w:p>
        </w:tc>
        <w:tc>
          <w:tcPr>
            <w:tcW w:w="840" w:type="dxa"/>
            <w:vAlign w:val="bottom"/>
            <w:gridSpan w:val="3"/>
            <w:vMerge w:val="restart"/>
          </w:tcPr>
          <w:p>
            <w:pPr>
              <w:jc w:val="right"/>
              <w:ind w:right="140"/>
              <w:spacing w:after="0" w:line="122" w:lineRule="exact"/>
              <w:rPr>
                <w:sz w:val="20"/>
                <w:szCs w:val="20"/>
                <w:color w:val="auto"/>
              </w:rPr>
            </w:pPr>
            <w:r>
              <w:rPr>
                <w:rFonts w:ascii="Arial" w:cs="Arial" w:eastAsia="Arial" w:hAnsi="Arial"/>
                <w:sz w:val="14"/>
                <w:szCs w:val="14"/>
                <w:color w:val="auto"/>
                <w:w w:val="96"/>
              </w:rPr>
              <w:t>07/31/2016</w:t>
            </w:r>
          </w:p>
        </w:tc>
        <w:tc>
          <w:tcPr>
            <w:tcW w:w="2320" w:type="dxa"/>
            <w:vAlign w:val="bottom"/>
            <w:gridSpan w:val="3"/>
            <w:vMerge w:val="restart"/>
          </w:tcPr>
          <w:p>
            <w:pPr>
              <w:jc w:val="center"/>
              <w:ind w:right="80"/>
              <w:spacing w:after="0" w:line="122" w:lineRule="exact"/>
              <w:rPr>
                <w:sz w:val="20"/>
                <w:szCs w:val="20"/>
                <w:color w:val="auto"/>
              </w:rPr>
            </w:pPr>
            <w:r>
              <w:rPr>
                <w:rFonts w:ascii="Arial" w:cs="Arial" w:eastAsia="Arial" w:hAnsi="Arial"/>
                <w:sz w:val="14"/>
                <w:szCs w:val="14"/>
                <w:color w:val="auto"/>
                <w:w w:val="88"/>
              </w:rPr>
              <w:t>Hotels, Motels, Inns and Gaming</w:t>
            </w:r>
          </w:p>
        </w:tc>
        <w:tc>
          <w:tcPr>
            <w:tcW w:w="860" w:type="dxa"/>
            <w:vAlign w:val="bottom"/>
            <w:gridSpan w:val="2"/>
            <w:vMerge w:val="restart"/>
          </w:tcPr>
          <w:p>
            <w:pPr>
              <w:jc w:val="right"/>
              <w:ind w:right="280"/>
              <w:spacing w:after="0" w:line="122" w:lineRule="exact"/>
              <w:rPr>
                <w:sz w:val="20"/>
                <w:szCs w:val="20"/>
                <w:color w:val="auto"/>
              </w:rPr>
            </w:pPr>
            <w:r>
              <w:rPr>
                <w:rFonts w:ascii="Arial" w:cs="Arial" w:eastAsia="Arial" w:hAnsi="Arial"/>
                <w:sz w:val="14"/>
                <w:szCs w:val="14"/>
                <w:color w:val="auto"/>
              </w:rPr>
              <w:t>12.38%</w:t>
            </w:r>
          </w:p>
        </w:tc>
        <w:tc>
          <w:tcPr>
            <w:tcW w:w="5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840" w:type="dxa"/>
            <w:vAlign w:val="bottom"/>
            <w:gridSpan w:val="3"/>
            <w:vMerge w:val="restart"/>
          </w:tcPr>
          <w:p>
            <w:pPr>
              <w:jc w:val="right"/>
              <w:ind w:right="80"/>
              <w:spacing w:after="0" w:line="122" w:lineRule="exact"/>
              <w:rPr>
                <w:sz w:val="20"/>
                <w:szCs w:val="20"/>
                <w:color w:val="auto"/>
              </w:rPr>
            </w:pPr>
            <w:r>
              <w:rPr>
                <w:rFonts w:ascii="Arial" w:cs="Arial" w:eastAsia="Arial" w:hAnsi="Arial"/>
                <w:sz w:val="14"/>
                <w:szCs w:val="14"/>
                <w:color w:val="auto"/>
              </w:rPr>
              <w:t>10,000,000</w:t>
            </w:r>
          </w:p>
        </w:tc>
        <w:tc>
          <w:tcPr>
            <w:tcW w:w="840" w:type="dxa"/>
            <w:vAlign w:val="bottom"/>
            <w:gridSpan w:val="4"/>
            <w:vMerge w:val="restart"/>
          </w:tcPr>
          <w:p>
            <w:pPr>
              <w:jc w:val="right"/>
              <w:spacing w:after="0" w:line="122" w:lineRule="exact"/>
              <w:rPr>
                <w:sz w:val="20"/>
                <w:szCs w:val="20"/>
                <w:color w:val="auto"/>
              </w:rPr>
            </w:pPr>
            <w:r>
              <w:rPr>
                <w:rFonts w:ascii="Arial" w:cs="Arial" w:eastAsia="Arial" w:hAnsi="Arial"/>
                <w:sz w:val="14"/>
                <w:szCs w:val="14"/>
                <w:color w:val="auto"/>
              </w:rPr>
              <w:t>9,421,220</w:t>
            </w:r>
          </w:p>
        </w:tc>
        <w:tc>
          <w:tcPr>
            <w:tcW w:w="80" w:type="dxa"/>
            <w:vAlign w:val="bottom"/>
          </w:tcPr>
          <w:p>
            <w:pPr>
              <w:spacing w:after="0"/>
              <w:rPr>
                <w:sz w:val="4"/>
                <w:szCs w:val="4"/>
                <w:color w:val="auto"/>
              </w:rPr>
            </w:pPr>
          </w:p>
        </w:tc>
        <w:tc>
          <w:tcPr>
            <w:tcW w:w="840" w:type="dxa"/>
            <w:vAlign w:val="bottom"/>
            <w:gridSpan w:val="4"/>
            <w:vMerge w:val="restart"/>
          </w:tcPr>
          <w:p>
            <w:pPr>
              <w:jc w:val="right"/>
              <w:spacing w:after="0" w:line="122" w:lineRule="exact"/>
              <w:rPr>
                <w:sz w:val="20"/>
                <w:szCs w:val="20"/>
                <w:color w:val="auto"/>
              </w:rPr>
            </w:pPr>
            <w:r>
              <w:rPr>
                <w:rFonts w:ascii="Arial" w:cs="Arial" w:eastAsia="Arial" w:hAnsi="Arial"/>
                <w:sz w:val="14"/>
                <w:szCs w:val="14"/>
                <w:color w:val="auto"/>
              </w:rPr>
              <w:t>10,050,000</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4020" w:type="dxa"/>
            <w:vAlign w:val="bottom"/>
            <w:gridSpan w:val="3"/>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20" w:type="dxa"/>
            <w:vAlign w:val="bottom"/>
            <w:gridSpan w:val="2"/>
          </w:tcPr>
          <w:p>
            <w:pPr>
              <w:jc w:val="right"/>
              <w:ind w:right="144"/>
              <w:spacing w:after="0" w:line="68" w:lineRule="exact"/>
              <w:rPr>
                <w:sz w:val="20"/>
                <w:szCs w:val="20"/>
                <w:color w:val="auto"/>
              </w:rPr>
            </w:pPr>
            <w:r>
              <w:rPr>
                <w:rFonts w:ascii="Arial" w:cs="Arial" w:eastAsia="Arial" w:hAnsi="Arial"/>
                <w:sz w:val="7"/>
                <w:szCs w:val="7"/>
                <w:color w:val="auto"/>
              </w:rPr>
              <w:t>L+988</w:t>
            </w:r>
          </w:p>
        </w:tc>
        <w:tc>
          <w:tcPr>
            <w:tcW w:w="840" w:type="dxa"/>
            <w:vAlign w:val="bottom"/>
            <w:gridSpan w:val="3"/>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EnviroSolutions, Inc.</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07/07/2012</w:t>
            </w:r>
          </w:p>
        </w:tc>
        <w:tc>
          <w:tcPr>
            <w:tcW w:w="2320" w:type="dxa"/>
            <w:vAlign w:val="bottom"/>
            <w:gridSpan w:val="3"/>
          </w:tcPr>
          <w:p>
            <w:pPr>
              <w:jc w:val="center"/>
              <w:ind w:right="80"/>
              <w:spacing w:after="0"/>
              <w:rPr>
                <w:sz w:val="20"/>
                <w:szCs w:val="20"/>
                <w:color w:val="auto"/>
              </w:rPr>
            </w:pPr>
            <w:r>
              <w:rPr>
                <w:rFonts w:ascii="Arial" w:cs="Arial" w:eastAsia="Arial" w:hAnsi="Arial"/>
                <w:sz w:val="14"/>
                <w:szCs w:val="14"/>
                <w:color w:val="auto"/>
                <w:w w:val="87"/>
              </w:rPr>
              <w:t>Environmental Services</w:t>
            </w:r>
          </w:p>
        </w:tc>
        <w:tc>
          <w:tcPr>
            <w:tcW w:w="860" w:type="dxa"/>
            <w:vAlign w:val="bottom"/>
            <w:gridSpan w:val="2"/>
          </w:tcPr>
          <w:p>
            <w:pPr>
              <w:jc w:val="right"/>
              <w:ind w:right="140"/>
              <w:spacing w:after="0" w:line="176" w:lineRule="exact"/>
              <w:rPr>
                <w:sz w:val="20"/>
                <w:szCs w:val="20"/>
                <w:color w:val="auto"/>
              </w:rPr>
            </w:pPr>
            <w:r>
              <w:rPr>
                <w:rFonts w:ascii="Arial" w:cs="Arial" w:eastAsia="Arial" w:hAnsi="Arial"/>
                <w:sz w:val="13"/>
                <w:szCs w:val="13"/>
                <w:color w:val="auto"/>
              </w:rPr>
              <w:t>11.00%</w:t>
            </w:r>
            <w:r>
              <w:rPr>
                <w:rFonts w:ascii="Arial" w:cs="Arial" w:eastAsia="Arial" w:hAnsi="Arial"/>
                <w:sz w:val="20"/>
                <w:szCs w:val="20"/>
                <w:color w:val="auto"/>
                <w:vertAlign w:val="superscript"/>
              </w:rPr>
              <w:t>(6)</w:t>
            </w:r>
          </w:p>
        </w:tc>
        <w:tc>
          <w:tcPr>
            <w:tcW w:w="720" w:type="dxa"/>
            <w:vAlign w:val="bottom"/>
            <w:gridSpan w:val="2"/>
          </w:tcPr>
          <w:p>
            <w:pPr>
              <w:jc w:val="right"/>
              <w:ind w:right="24"/>
              <w:spacing w:after="0" w:line="176" w:lineRule="exact"/>
              <w:rPr>
                <w:sz w:val="20"/>
                <w:szCs w:val="20"/>
                <w:color w:val="auto"/>
              </w:rPr>
            </w:pPr>
            <w:r>
              <w:rPr>
                <w:rFonts w:ascii="Arial" w:cs="Arial" w:eastAsia="Arial" w:hAnsi="Arial"/>
                <w:sz w:val="13"/>
                <w:szCs w:val="13"/>
                <w:color w:val="auto"/>
              </w:rPr>
              <w:t>P+775</w:t>
            </w:r>
            <w:r>
              <w:rPr>
                <w:rFonts w:ascii="Arial" w:cs="Arial" w:eastAsia="Arial" w:hAnsi="Arial"/>
                <w:sz w:val="20"/>
                <w:szCs w:val="20"/>
                <w:color w:val="auto"/>
                <w:vertAlign w:val="superscript"/>
              </w:rPr>
              <w:t>(8)</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14,175,260</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13,391,908</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12,715,207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03/08/2014</w:t>
            </w:r>
          </w:p>
        </w:tc>
        <w:tc>
          <w:tcPr>
            <w:tcW w:w="23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2.49%</w:t>
            </w:r>
          </w:p>
        </w:tc>
        <w:tc>
          <w:tcPr>
            <w:tcW w:w="720" w:type="dxa"/>
            <w:vAlign w:val="bottom"/>
            <w:gridSpan w:val="2"/>
          </w:tcPr>
          <w:p>
            <w:pPr>
              <w:jc w:val="right"/>
              <w:ind w:right="144"/>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8,842,500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8,842,500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6,225,120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Hughes Network Systems, L.L.C.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04/15/2014</w:t>
            </w:r>
          </w:p>
        </w:tc>
        <w:tc>
          <w:tcPr>
            <w:tcW w:w="23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7"/>
              </w:rPr>
              <w:t>Telecommunications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2.88%</w:t>
            </w:r>
          </w:p>
        </w:tc>
        <w:tc>
          <w:tcPr>
            <w:tcW w:w="720" w:type="dxa"/>
            <w:vAlign w:val="bottom"/>
            <w:gridSpan w:val="2"/>
            <w:shd w:val="clear" w:color="auto" w:fill="CCEEFF"/>
          </w:tcPr>
          <w:p>
            <w:pPr>
              <w:jc w:val="right"/>
              <w:ind w:right="144"/>
              <w:spacing w:after="0" w:line="149" w:lineRule="exact"/>
              <w:rPr>
                <w:sz w:val="20"/>
                <w:szCs w:val="20"/>
                <w:color w:val="auto"/>
              </w:rPr>
            </w:pPr>
            <w:r>
              <w:rPr>
                <w:rFonts w:ascii="Arial" w:cs="Arial" w:eastAsia="Arial" w:hAnsi="Arial"/>
                <w:sz w:val="14"/>
                <w:szCs w:val="14"/>
                <w:color w:val="auto"/>
              </w:rPr>
              <w:t>L+250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4,562,500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020" w:type="dxa"/>
            <w:vAlign w:val="bottom"/>
            <w:gridSpan w:val="3"/>
          </w:tcPr>
          <w:p>
            <w:pPr>
              <w:spacing w:after="0"/>
              <w:rPr>
                <w:sz w:val="20"/>
                <w:szCs w:val="20"/>
                <w:color w:val="auto"/>
              </w:rPr>
            </w:pPr>
            <w:r>
              <w:rPr>
                <w:rFonts w:ascii="Arial" w:cs="Arial" w:eastAsia="Arial" w:hAnsi="Arial"/>
                <w:sz w:val="14"/>
                <w:szCs w:val="14"/>
                <w:color w:val="auto"/>
              </w:rPr>
              <w:t>Jacuzzi Brands Corp.</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02/07/2014</w:t>
            </w:r>
          </w:p>
        </w:tc>
        <w:tc>
          <w:tcPr>
            <w:tcW w:w="2320" w:type="dxa"/>
            <w:vAlign w:val="bottom"/>
            <w:gridSpan w:val="3"/>
          </w:tcPr>
          <w:p>
            <w:pPr>
              <w:jc w:val="center"/>
              <w:ind w:right="80"/>
              <w:spacing w:after="0"/>
              <w:rPr>
                <w:sz w:val="20"/>
                <w:szCs w:val="20"/>
                <w:color w:val="auto"/>
              </w:rPr>
            </w:pPr>
            <w:r>
              <w:rPr>
                <w:rFonts w:ascii="Arial" w:cs="Arial" w:eastAsia="Arial" w:hAnsi="Arial"/>
                <w:sz w:val="14"/>
                <w:szCs w:val="14"/>
                <w:color w:val="auto"/>
                <w:w w:val="88"/>
              </w:rPr>
              <w:t>Home and Office Furnishings,</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2.53%</w:t>
            </w:r>
          </w:p>
        </w:tc>
        <w:tc>
          <w:tcPr>
            <w:tcW w:w="720" w:type="dxa"/>
            <w:vAlign w:val="bottom"/>
            <w:gridSpan w:val="2"/>
          </w:tcPr>
          <w:p>
            <w:pPr>
              <w:jc w:val="right"/>
              <w:ind w:right="144"/>
              <w:spacing w:after="0"/>
              <w:rPr>
                <w:sz w:val="20"/>
                <w:szCs w:val="20"/>
                <w:color w:val="auto"/>
              </w:rPr>
            </w:pPr>
            <w:r>
              <w:rPr>
                <w:rFonts w:ascii="Arial" w:cs="Arial" w:eastAsia="Arial" w:hAnsi="Arial"/>
                <w:sz w:val="14"/>
                <w:szCs w:val="14"/>
                <w:color w:val="auto"/>
              </w:rPr>
              <w:t>L+225</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9,817,568</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9,817,568</w:t>
            </w:r>
          </w:p>
        </w:tc>
        <w:tc>
          <w:tcPr>
            <w:tcW w:w="80" w:type="dxa"/>
            <w:vAlign w:val="bottom"/>
          </w:tcPr>
          <w:p>
            <w:pPr>
              <w:spacing w:after="0"/>
              <w:rPr>
                <w:sz w:val="17"/>
                <w:szCs w:val="17"/>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4,810,608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6"/>
              </w:rPr>
              <w:t>Housewares and Durable Consumer</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60" w:type="dxa"/>
            <w:vAlign w:val="bottom"/>
            <w:gridSpan w:val="2"/>
          </w:tcPr>
          <w:p>
            <w:pPr>
              <w:jc w:val="center"/>
              <w:ind w:right="940"/>
              <w:spacing w:after="0" w:line="159" w:lineRule="exact"/>
              <w:rPr>
                <w:sz w:val="20"/>
                <w:szCs w:val="20"/>
                <w:color w:val="auto"/>
              </w:rPr>
            </w:pPr>
            <w:r>
              <w:rPr>
                <w:rFonts w:ascii="Arial" w:cs="Arial" w:eastAsia="Arial" w:hAnsi="Arial"/>
                <w:sz w:val="14"/>
                <w:szCs w:val="14"/>
                <w:color w:val="auto"/>
                <w:w w:val="86"/>
              </w:rPr>
              <w:t>Products</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Levlad, L.L.C.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03/08/2014</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Consumer Products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7.75%</w:t>
            </w:r>
          </w:p>
        </w:tc>
        <w:tc>
          <w:tcPr>
            <w:tcW w:w="720" w:type="dxa"/>
            <w:vAlign w:val="bottom"/>
            <w:gridSpan w:val="2"/>
            <w:shd w:val="clear" w:color="auto" w:fill="CCEEFF"/>
          </w:tcPr>
          <w:p>
            <w:pPr>
              <w:jc w:val="right"/>
              <w:ind w:right="144"/>
              <w:spacing w:after="0" w:line="149" w:lineRule="exact"/>
              <w:rPr>
                <w:sz w:val="20"/>
                <w:szCs w:val="20"/>
                <w:color w:val="auto"/>
              </w:rPr>
            </w:pPr>
            <w:r>
              <w:rPr>
                <w:rFonts w:ascii="Arial" w:cs="Arial" w:eastAsia="Arial" w:hAnsi="Arial"/>
                <w:sz w:val="14"/>
                <w:szCs w:val="14"/>
                <w:color w:val="auto"/>
              </w:rPr>
              <w:t>L+475</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4,434,548</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4,434,548</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1,064,292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Lyondell Chemical Co.</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12/15/2009</w:t>
            </w:r>
          </w:p>
        </w:tc>
        <w:tc>
          <w:tcPr>
            <w:tcW w:w="23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6"/>
              </w:rPr>
              <w:t>Chemicals, Plastics and Rubber</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13.00%</w:t>
            </w:r>
          </w:p>
        </w:tc>
        <w:tc>
          <w:tcPr>
            <w:tcW w:w="720" w:type="dxa"/>
            <w:vAlign w:val="bottom"/>
            <w:gridSpan w:val="2"/>
          </w:tcPr>
          <w:p>
            <w:pPr>
              <w:jc w:val="right"/>
              <w:ind w:right="24"/>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12,668,615</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12,965,067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13,169,026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Lyondell Chemical Co.</w:t>
            </w:r>
            <w:r>
              <w:rPr>
                <w:rFonts w:ascii="Arial" w:cs="Arial" w:eastAsia="Arial" w:hAnsi="Arial"/>
                <w:sz w:val="17"/>
                <w:szCs w:val="17"/>
                <w:color w:val="auto"/>
                <w:vertAlign w:val="superscript"/>
              </w:rPr>
              <w:t>(9)</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12/15/2009</w:t>
            </w:r>
          </w:p>
        </w:tc>
        <w:tc>
          <w:tcPr>
            <w:tcW w:w="23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6"/>
              </w:rPr>
              <w:t>Chemicals, Plastics and Rubber</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right w:val="single" w:sz="8" w:color="CCEEFF"/>
            </w:tcBorders>
            <w:shd w:val="clear" w:color="auto" w:fill="CCEEFF"/>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6,331,385</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6,458,897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6,581,474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tcPr>
          <w:p>
            <w:pPr>
              <w:spacing w:after="0" w:line="138" w:lineRule="exact"/>
              <w:rPr>
                <w:sz w:val="20"/>
                <w:szCs w:val="20"/>
                <w:color w:val="auto"/>
              </w:rPr>
            </w:pPr>
            <w:r>
              <w:rPr>
                <w:rFonts w:ascii="Arial" w:cs="Arial" w:eastAsia="Arial" w:hAnsi="Arial"/>
                <w:sz w:val="14"/>
                <w:szCs w:val="14"/>
                <w:color w:val="auto"/>
              </w:rPr>
              <w:t>Mattress Holding Corp.</w:t>
            </w:r>
          </w:p>
        </w:tc>
        <w:tc>
          <w:tcPr>
            <w:tcW w:w="8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w w:val="96"/>
              </w:rPr>
              <w:t>01/18/2014</w:t>
            </w:r>
          </w:p>
        </w:tc>
        <w:tc>
          <w:tcPr>
            <w:tcW w:w="2320" w:type="dxa"/>
            <w:vAlign w:val="bottom"/>
            <w:gridSpan w:val="3"/>
          </w:tcPr>
          <w:p>
            <w:pPr>
              <w:jc w:val="center"/>
              <w:ind w:right="80"/>
              <w:spacing w:after="0" w:line="138" w:lineRule="exact"/>
              <w:rPr>
                <w:sz w:val="20"/>
                <w:szCs w:val="20"/>
                <w:color w:val="auto"/>
              </w:rPr>
            </w:pPr>
            <w:r>
              <w:rPr>
                <w:rFonts w:ascii="Arial" w:cs="Arial" w:eastAsia="Arial" w:hAnsi="Arial"/>
                <w:sz w:val="14"/>
                <w:szCs w:val="14"/>
                <w:color w:val="auto"/>
                <w:w w:val="88"/>
              </w:rPr>
              <w:t>Home and Office Furnishings,</w:t>
            </w:r>
          </w:p>
        </w:tc>
        <w:tc>
          <w:tcPr>
            <w:tcW w:w="8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2.55%</w:t>
            </w:r>
          </w:p>
        </w:tc>
        <w:tc>
          <w:tcPr>
            <w:tcW w:w="720" w:type="dxa"/>
            <w:vAlign w:val="bottom"/>
            <w:gridSpan w:val="2"/>
          </w:tcPr>
          <w:p>
            <w:pPr>
              <w:jc w:val="right"/>
              <w:ind w:right="144"/>
              <w:spacing w:after="0" w:line="138" w:lineRule="exact"/>
              <w:rPr>
                <w:sz w:val="20"/>
                <w:szCs w:val="20"/>
                <w:color w:val="auto"/>
              </w:rPr>
            </w:pPr>
            <w:r>
              <w:rPr>
                <w:rFonts w:ascii="Arial" w:cs="Arial" w:eastAsia="Arial" w:hAnsi="Arial"/>
                <w:sz w:val="14"/>
                <w:szCs w:val="14"/>
                <w:color w:val="auto"/>
              </w:rPr>
              <w:t>L+225</w:t>
            </w:r>
          </w:p>
        </w:tc>
        <w:tc>
          <w:tcPr>
            <w:tcW w:w="8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3,910,200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3,910,200</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3,022,585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6"/>
              </w:rPr>
              <w:t>Housewares and Durable Consumer</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gridSpan w:val="2"/>
          </w:tcPr>
          <w:p>
            <w:pPr>
              <w:jc w:val="center"/>
              <w:ind w:right="940"/>
              <w:spacing w:after="0"/>
              <w:rPr>
                <w:sz w:val="20"/>
                <w:szCs w:val="20"/>
                <w:color w:val="auto"/>
              </w:rPr>
            </w:pPr>
            <w:r>
              <w:rPr>
                <w:rFonts w:ascii="Arial" w:cs="Arial" w:eastAsia="Arial" w:hAnsi="Arial"/>
                <w:sz w:val="14"/>
                <w:szCs w:val="14"/>
                <w:color w:val="auto"/>
                <w:w w:val="86"/>
              </w:rPr>
              <w:t>Products</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Mitchell International,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03/28/2014</w:t>
            </w:r>
          </w:p>
        </w:tc>
        <w:tc>
          <w:tcPr>
            <w:tcW w:w="23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2.31%</w:t>
            </w:r>
          </w:p>
        </w:tc>
        <w:tc>
          <w:tcPr>
            <w:tcW w:w="720" w:type="dxa"/>
            <w:vAlign w:val="bottom"/>
            <w:gridSpan w:val="2"/>
            <w:shd w:val="clear" w:color="auto" w:fill="CCEEFF"/>
          </w:tcPr>
          <w:p>
            <w:pPr>
              <w:jc w:val="right"/>
              <w:ind w:right="144"/>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1,910,204</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1,910,204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1,687,346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tcPr>
          <w:p>
            <w:pPr>
              <w:spacing w:after="0" w:line="138" w:lineRule="exact"/>
              <w:rPr>
                <w:sz w:val="20"/>
                <w:szCs w:val="20"/>
                <w:color w:val="auto"/>
              </w:rPr>
            </w:pPr>
            <w:r>
              <w:rPr>
                <w:rFonts w:ascii="Arial" w:cs="Arial" w:eastAsia="Arial" w:hAnsi="Arial"/>
                <w:sz w:val="14"/>
                <w:szCs w:val="14"/>
                <w:color w:val="auto"/>
              </w:rPr>
              <w:t>National Bedding Co., L.L.C.</w:t>
            </w:r>
          </w:p>
        </w:tc>
        <w:tc>
          <w:tcPr>
            <w:tcW w:w="8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w w:val="96"/>
              </w:rPr>
              <w:t>02/28/2013</w:t>
            </w:r>
          </w:p>
        </w:tc>
        <w:tc>
          <w:tcPr>
            <w:tcW w:w="2320" w:type="dxa"/>
            <w:vAlign w:val="bottom"/>
            <w:gridSpan w:val="3"/>
          </w:tcPr>
          <w:p>
            <w:pPr>
              <w:jc w:val="center"/>
              <w:ind w:right="80"/>
              <w:spacing w:after="0" w:line="138" w:lineRule="exact"/>
              <w:rPr>
                <w:sz w:val="20"/>
                <w:szCs w:val="20"/>
                <w:color w:val="auto"/>
              </w:rPr>
            </w:pPr>
            <w:r>
              <w:rPr>
                <w:rFonts w:ascii="Arial" w:cs="Arial" w:eastAsia="Arial" w:hAnsi="Arial"/>
                <w:sz w:val="14"/>
                <w:szCs w:val="14"/>
                <w:color w:val="auto"/>
                <w:w w:val="88"/>
              </w:rPr>
              <w:t>Home and Office Furnishings,</w:t>
            </w:r>
          </w:p>
        </w:tc>
        <w:tc>
          <w:tcPr>
            <w:tcW w:w="8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2.26%</w:t>
            </w:r>
          </w:p>
        </w:tc>
        <w:tc>
          <w:tcPr>
            <w:tcW w:w="720" w:type="dxa"/>
            <w:vAlign w:val="bottom"/>
            <w:gridSpan w:val="2"/>
          </w:tcPr>
          <w:p>
            <w:pPr>
              <w:jc w:val="right"/>
              <w:ind w:right="144"/>
              <w:spacing w:after="0" w:line="138" w:lineRule="exact"/>
              <w:rPr>
                <w:sz w:val="20"/>
                <w:szCs w:val="20"/>
                <w:color w:val="auto"/>
              </w:rPr>
            </w:pPr>
            <w:r>
              <w:rPr>
                <w:rFonts w:ascii="Arial" w:cs="Arial" w:eastAsia="Arial" w:hAnsi="Arial"/>
                <w:sz w:val="14"/>
                <w:szCs w:val="14"/>
                <w:color w:val="auto"/>
              </w:rPr>
              <w:t>L+200</w:t>
            </w:r>
          </w:p>
        </w:tc>
        <w:tc>
          <w:tcPr>
            <w:tcW w:w="8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6,825,000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6,829,243</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6,142,500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6"/>
              </w:rPr>
              <w:t>Housewares and Durable Consumer</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gridSpan w:val="2"/>
          </w:tcPr>
          <w:p>
            <w:pPr>
              <w:jc w:val="center"/>
              <w:ind w:right="940"/>
              <w:spacing w:after="0"/>
              <w:rPr>
                <w:sz w:val="20"/>
                <w:szCs w:val="20"/>
                <w:color w:val="auto"/>
              </w:rPr>
            </w:pPr>
            <w:r>
              <w:rPr>
                <w:rFonts w:ascii="Arial" w:cs="Arial" w:eastAsia="Arial" w:hAnsi="Arial"/>
                <w:sz w:val="14"/>
                <w:szCs w:val="14"/>
                <w:color w:val="auto"/>
                <w:w w:val="86"/>
              </w:rPr>
              <w:t>Products</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02/01/2013</w:t>
            </w:r>
          </w:p>
        </w:tc>
        <w:tc>
          <w:tcPr>
            <w:tcW w:w="23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2.73%</w:t>
            </w:r>
          </w:p>
        </w:tc>
        <w:tc>
          <w:tcPr>
            <w:tcW w:w="720" w:type="dxa"/>
            <w:vAlign w:val="bottom"/>
            <w:gridSpan w:val="2"/>
            <w:shd w:val="clear" w:color="auto" w:fill="CCEEFF"/>
          </w:tcPr>
          <w:p>
            <w:pPr>
              <w:jc w:val="right"/>
              <w:ind w:right="144"/>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4,875,000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4,875,000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3,568,500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Philosophy, Inc.</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03/16/2014</w:t>
            </w:r>
          </w:p>
        </w:tc>
        <w:tc>
          <w:tcPr>
            <w:tcW w:w="23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Consumer Products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2.25%</w:t>
            </w:r>
          </w:p>
        </w:tc>
        <w:tc>
          <w:tcPr>
            <w:tcW w:w="720" w:type="dxa"/>
            <w:vAlign w:val="bottom"/>
            <w:gridSpan w:val="2"/>
          </w:tcPr>
          <w:p>
            <w:pPr>
              <w:jc w:val="right"/>
              <w:ind w:right="144"/>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1,426,506</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1,426,506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1,148,337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05/04/2014</w:t>
            </w:r>
          </w:p>
        </w:tc>
        <w:tc>
          <w:tcPr>
            <w:tcW w:w="23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5.25%</w:t>
            </w:r>
            <w:r>
              <w:rPr>
                <w:rFonts w:ascii="Arial" w:cs="Arial" w:eastAsia="Arial" w:hAnsi="Arial"/>
                <w:sz w:val="17"/>
                <w:szCs w:val="17"/>
                <w:color w:val="auto"/>
                <w:vertAlign w:val="superscript"/>
              </w:rPr>
              <w:t>(7)</w:t>
            </w:r>
          </w:p>
        </w:tc>
        <w:tc>
          <w:tcPr>
            <w:tcW w:w="720" w:type="dxa"/>
            <w:vAlign w:val="bottom"/>
            <w:gridSpan w:val="2"/>
            <w:shd w:val="clear" w:color="auto" w:fill="CCEEFF"/>
          </w:tcPr>
          <w:p>
            <w:pPr>
              <w:jc w:val="right"/>
              <w:ind w:right="144"/>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4,886,667</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4,886,667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2,912,600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4"/>
                <w:szCs w:val="14"/>
                <w:color w:val="auto"/>
              </w:rPr>
              <w:t>Rexair, L.L.C.</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06/30/2010</w:t>
            </w:r>
          </w:p>
        </w:tc>
        <w:tc>
          <w:tcPr>
            <w:tcW w:w="860" w:type="dxa"/>
            <w:vAlign w:val="bottom"/>
          </w:tcPr>
          <w:p>
            <w:pPr>
              <w:spacing w:after="0"/>
              <w:rPr>
                <w:sz w:val="18"/>
                <w:szCs w:val="18"/>
                <w:color w:val="auto"/>
              </w:rPr>
            </w:pPr>
          </w:p>
        </w:tc>
        <w:tc>
          <w:tcPr>
            <w:tcW w:w="1460" w:type="dxa"/>
            <w:vAlign w:val="bottom"/>
            <w:gridSpan w:val="2"/>
          </w:tcPr>
          <w:p>
            <w:pPr>
              <w:jc w:val="center"/>
              <w:ind w:right="940"/>
              <w:spacing w:after="0"/>
              <w:rPr>
                <w:sz w:val="20"/>
                <w:szCs w:val="20"/>
                <w:color w:val="auto"/>
              </w:rPr>
            </w:pPr>
            <w:r>
              <w:rPr>
                <w:rFonts w:ascii="Arial" w:cs="Arial" w:eastAsia="Arial" w:hAnsi="Arial"/>
                <w:sz w:val="14"/>
                <w:szCs w:val="14"/>
                <w:color w:val="auto"/>
                <w:w w:val="89"/>
              </w:rPr>
              <w:t>Retail</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4.50%</w:t>
            </w:r>
          </w:p>
        </w:tc>
        <w:tc>
          <w:tcPr>
            <w:tcW w:w="720" w:type="dxa"/>
            <w:vAlign w:val="bottom"/>
            <w:gridSpan w:val="2"/>
          </w:tcPr>
          <w:p>
            <w:pPr>
              <w:jc w:val="right"/>
              <w:ind w:right="144"/>
              <w:spacing w:after="0"/>
              <w:rPr>
                <w:sz w:val="20"/>
                <w:szCs w:val="20"/>
                <w:color w:val="auto"/>
              </w:rPr>
            </w:pPr>
            <w:r>
              <w:rPr>
                <w:rFonts w:ascii="Arial" w:cs="Arial" w:eastAsia="Arial" w:hAnsi="Arial"/>
                <w:sz w:val="14"/>
                <w:szCs w:val="14"/>
                <w:color w:val="auto"/>
              </w:rPr>
              <w:t>L+425</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6,695,795</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5,507,847</w:t>
            </w:r>
          </w:p>
        </w:tc>
        <w:tc>
          <w:tcPr>
            <w:tcW w:w="8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5,189,241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Rexnord, L.L.C.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07/19/2013</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Manufacturing/Basic Industry</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2.50%</w:t>
            </w:r>
          </w:p>
        </w:tc>
        <w:tc>
          <w:tcPr>
            <w:tcW w:w="720" w:type="dxa"/>
            <w:vAlign w:val="bottom"/>
            <w:gridSpan w:val="2"/>
            <w:shd w:val="clear" w:color="auto" w:fill="CCEEFF"/>
          </w:tcPr>
          <w:p>
            <w:pPr>
              <w:jc w:val="right"/>
              <w:ind w:right="144"/>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2,887,881</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2,887,881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2,768,756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01/30/2014</w:t>
            </w:r>
          </w:p>
        </w:tc>
        <w:tc>
          <w:tcPr>
            <w:tcW w:w="23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5.95%</w:t>
            </w:r>
          </w:p>
        </w:tc>
        <w:tc>
          <w:tcPr>
            <w:tcW w:w="720" w:type="dxa"/>
            <w:vAlign w:val="bottom"/>
            <w:gridSpan w:val="2"/>
          </w:tcPr>
          <w:p>
            <w:pPr>
              <w:jc w:val="right"/>
              <w:ind w:right="144"/>
              <w:spacing w:after="0" w:line="149" w:lineRule="exact"/>
              <w:rPr>
                <w:sz w:val="20"/>
                <w:szCs w:val="20"/>
                <w:color w:val="auto"/>
              </w:rPr>
            </w:pPr>
            <w:r>
              <w:rPr>
                <w:rFonts w:ascii="Arial" w:cs="Arial" w:eastAsia="Arial" w:hAnsi="Arial"/>
                <w:sz w:val="14"/>
                <w:szCs w:val="14"/>
                <w:color w:val="auto"/>
              </w:rPr>
              <w:t>L+550</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2,682,328</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2,682,328</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2,226,332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Sugarhouse HSP Gaming Prop.</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09/23/2014</w:t>
            </w:r>
          </w:p>
        </w:tc>
        <w:tc>
          <w:tcPr>
            <w:tcW w:w="23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Hotels, Motels, Inns and Gaming</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11.25%</w:t>
            </w:r>
          </w:p>
        </w:tc>
        <w:tc>
          <w:tcPr>
            <w:tcW w:w="720" w:type="dxa"/>
            <w:vAlign w:val="bottom"/>
            <w:gridSpan w:val="2"/>
            <w:shd w:val="clear" w:color="auto" w:fill="CCEEFF"/>
          </w:tcPr>
          <w:p>
            <w:pPr>
              <w:jc w:val="right"/>
              <w:ind w:right="24"/>
              <w:spacing w:after="0" w:line="149" w:lineRule="exact"/>
              <w:rPr>
                <w:sz w:val="20"/>
                <w:szCs w:val="20"/>
                <w:color w:val="auto"/>
              </w:rPr>
            </w:pPr>
            <w:r>
              <w:rPr>
                <w:rFonts w:ascii="Arial" w:cs="Arial" w:eastAsia="Arial" w:hAnsi="Arial"/>
                <w:sz w:val="11"/>
                <w:szCs w:val="11"/>
                <w:color w:val="auto"/>
              </w:rPr>
              <w:t>L+825</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19,203,528</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19,600,000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U.S. Xpress Enterprises, Inc.</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10/12/2014</w:t>
            </w:r>
          </w:p>
        </w:tc>
        <w:tc>
          <w:tcPr>
            <w:tcW w:w="2320" w:type="dxa"/>
            <w:vAlign w:val="bottom"/>
            <w:gridSpan w:val="3"/>
          </w:tcPr>
          <w:p>
            <w:pPr>
              <w:jc w:val="center"/>
              <w:ind w:right="80"/>
              <w:spacing w:after="0"/>
              <w:rPr>
                <w:sz w:val="20"/>
                <w:szCs w:val="20"/>
                <w:color w:val="auto"/>
              </w:rPr>
            </w:pPr>
            <w:r>
              <w:rPr>
                <w:rFonts w:ascii="Arial" w:cs="Arial" w:eastAsia="Arial" w:hAnsi="Arial"/>
                <w:sz w:val="14"/>
                <w:szCs w:val="14"/>
                <w:color w:val="auto"/>
                <w:w w:val="87"/>
              </w:rPr>
              <w:t>Cargo Transportation</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4.26%</w:t>
            </w:r>
          </w:p>
        </w:tc>
        <w:tc>
          <w:tcPr>
            <w:tcW w:w="720" w:type="dxa"/>
            <w:vAlign w:val="bottom"/>
            <w:gridSpan w:val="2"/>
          </w:tcPr>
          <w:p>
            <w:pPr>
              <w:jc w:val="right"/>
              <w:ind w:right="144"/>
              <w:spacing w:after="0"/>
              <w:rPr>
                <w:sz w:val="20"/>
                <w:szCs w:val="20"/>
                <w:color w:val="auto"/>
              </w:rPr>
            </w:pPr>
            <w:r>
              <w:rPr>
                <w:rFonts w:ascii="Arial" w:cs="Arial" w:eastAsia="Arial" w:hAnsi="Arial"/>
                <w:sz w:val="14"/>
                <w:szCs w:val="14"/>
                <w:color w:val="auto"/>
              </w:rPr>
              <w:t>L+400</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14,966,254</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10,315,732</w:t>
            </w:r>
          </w:p>
        </w:tc>
        <w:tc>
          <w:tcPr>
            <w:tcW w:w="8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10,887,950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7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World Color Press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07/21/2012</w:t>
            </w:r>
          </w:p>
        </w:tc>
        <w:tc>
          <w:tcPr>
            <w:tcW w:w="8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940"/>
              <w:spacing w:after="0" w:line="149" w:lineRule="exact"/>
              <w:rPr>
                <w:sz w:val="20"/>
                <w:szCs w:val="20"/>
                <w:color w:val="auto"/>
              </w:rPr>
            </w:pPr>
            <w:r>
              <w:rPr>
                <w:rFonts w:ascii="Arial" w:cs="Arial" w:eastAsia="Arial" w:hAnsi="Arial"/>
                <w:sz w:val="14"/>
                <w:szCs w:val="14"/>
                <w:color w:val="auto"/>
                <w:w w:val="92"/>
              </w:rPr>
              <w:t>Printing</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720" w:type="dxa"/>
            <w:vAlign w:val="bottom"/>
            <w:gridSpan w:val="2"/>
            <w:shd w:val="clear" w:color="auto" w:fill="CCEEFF"/>
          </w:tcPr>
          <w:p>
            <w:pPr>
              <w:jc w:val="right"/>
              <w:ind w:right="24"/>
              <w:spacing w:after="0" w:line="149" w:lineRule="exact"/>
              <w:rPr>
                <w:sz w:val="20"/>
                <w:szCs w:val="20"/>
                <w:color w:val="auto"/>
              </w:rPr>
            </w:pPr>
            <w:r>
              <w:rPr>
                <w:rFonts w:ascii="Arial" w:cs="Arial" w:eastAsia="Arial" w:hAnsi="Arial"/>
                <w:sz w:val="11"/>
                <w:szCs w:val="11"/>
                <w:color w:val="auto"/>
              </w:rPr>
              <w:t>P+500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3,177,842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3,491,250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Yonkers Racing Corp. </w:t>
            </w:r>
            <w:r>
              <w:rPr>
                <w:rFonts w:ascii="Arial" w:cs="Arial" w:eastAsia="Arial" w:hAnsi="Arial"/>
                <w:sz w:val="17"/>
                <w:szCs w:val="17"/>
                <w:color w:val="auto"/>
                <w:vertAlign w:val="superscript"/>
              </w:rPr>
              <w:t>(5)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07/15/2016</w:t>
            </w:r>
          </w:p>
        </w:tc>
        <w:tc>
          <w:tcPr>
            <w:tcW w:w="23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8"/>
              </w:rPr>
              <w:t>Hotels, Motels, Inns and Gaming</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11.38%</w:t>
            </w:r>
          </w:p>
        </w:tc>
        <w:tc>
          <w:tcPr>
            <w:tcW w:w="520" w:type="dxa"/>
            <w:vAlign w:val="bottom"/>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4,857,698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5,200,000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164,863,868</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150,607,490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Debt—42.1%</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02/07/2015</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2"/>
              </w:rPr>
              <w:t>Energy/Utilities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6.36%</w:t>
            </w:r>
          </w:p>
        </w:tc>
        <w:tc>
          <w:tcPr>
            <w:tcW w:w="720" w:type="dxa"/>
            <w:vAlign w:val="bottom"/>
            <w:gridSpan w:val="2"/>
            <w:shd w:val="clear" w:color="auto" w:fill="CCEEFF"/>
          </w:tcPr>
          <w:p>
            <w:pPr>
              <w:jc w:val="right"/>
              <w:ind w:right="144"/>
              <w:spacing w:after="0" w:line="149" w:lineRule="exact"/>
              <w:rPr>
                <w:sz w:val="20"/>
                <w:szCs w:val="20"/>
                <w:color w:val="auto"/>
              </w:rPr>
            </w:pPr>
            <w:r>
              <w:rPr>
                <w:rFonts w:ascii="Arial" w:cs="Arial" w:eastAsia="Arial" w:hAnsi="Arial"/>
                <w:sz w:val="14"/>
                <w:szCs w:val="14"/>
                <w:color w:val="auto"/>
              </w:rPr>
              <w:t>L+600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13,153,077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12,416,800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02/07/2015</w:t>
            </w:r>
          </w:p>
        </w:tc>
        <w:tc>
          <w:tcPr>
            <w:tcW w:w="23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Energy/Utilities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7.44%</w:t>
            </w:r>
          </w:p>
        </w:tc>
        <w:tc>
          <w:tcPr>
            <w:tcW w:w="720" w:type="dxa"/>
            <w:vAlign w:val="bottom"/>
            <w:gridSpan w:val="2"/>
          </w:tcPr>
          <w:p>
            <w:pPr>
              <w:jc w:val="right"/>
              <w:ind w:right="144"/>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12,000,000</w:t>
            </w:r>
          </w:p>
        </w:tc>
        <w:tc>
          <w:tcPr>
            <w:tcW w:w="9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11,735,965</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11,364,000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8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w w:val="96"/>
              </w:rPr>
              <w:t>04/30/2015</w:t>
            </w:r>
          </w:p>
        </w:tc>
        <w:tc>
          <w:tcPr>
            <w:tcW w:w="2320" w:type="dxa"/>
            <w:vAlign w:val="bottom"/>
            <w:gridSpan w:val="3"/>
            <w:shd w:val="clear" w:color="auto" w:fill="CCEEFF"/>
          </w:tcPr>
          <w:p>
            <w:pPr>
              <w:jc w:val="center"/>
              <w:ind w:right="80"/>
              <w:spacing w:after="0" w:line="138" w:lineRule="exact"/>
              <w:rPr>
                <w:sz w:val="20"/>
                <w:szCs w:val="20"/>
                <w:color w:val="auto"/>
              </w:rPr>
            </w:pPr>
            <w:r>
              <w:rPr>
                <w:rFonts w:ascii="Arial" w:cs="Arial" w:eastAsia="Arial" w:hAnsi="Arial"/>
                <w:sz w:val="14"/>
                <w:szCs w:val="14"/>
                <w:color w:val="auto"/>
                <w:w w:val="87"/>
              </w:rPr>
              <w:t>Healthcare, Education and</w:t>
            </w:r>
          </w:p>
        </w:tc>
        <w:tc>
          <w:tcPr>
            <w:tcW w:w="8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7.78%</w:t>
            </w:r>
          </w:p>
        </w:tc>
        <w:tc>
          <w:tcPr>
            <w:tcW w:w="720" w:type="dxa"/>
            <w:vAlign w:val="bottom"/>
            <w:gridSpan w:val="2"/>
            <w:shd w:val="clear" w:color="auto" w:fill="CCEEFF"/>
          </w:tcPr>
          <w:p>
            <w:pPr>
              <w:jc w:val="right"/>
              <w:ind w:right="144"/>
              <w:spacing w:after="0" w:line="138" w:lineRule="exact"/>
              <w:rPr>
                <w:sz w:val="20"/>
                <w:szCs w:val="20"/>
                <w:color w:val="auto"/>
              </w:rPr>
            </w:pPr>
            <w:r>
              <w:rPr>
                <w:rFonts w:ascii="Arial" w:cs="Arial" w:eastAsia="Arial" w:hAnsi="Arial"/>
                <w:sz w:val="14"/>
                <w:szCs w:val="14"/>
                <w:color w:val="auto"/>
              </w:rPr>
              <w:t>L+750</w:t>
            </w:r>
          </w:p>
        </w:tc>
        <w:tc>
          <w:tcPr>
            <w:tcW w:w="8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12,000,000</w:t>
            </w:r>
          </w:p>
        </w:tc>
        <w:tc>
          <w:tcPr>
            <w:tcW w:w="920" w:type="dxa"/>
            <w:vAlign w:val="bottom"/>
            <w:gridSpan w:val="5"/>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11,949,634</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11,376,000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32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color w:val="auto"/>
                <w:w w:val="87"/>
              </w:rPr>
              <w:t>Childcare</w:t>
            </w: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03/01/2014</w:t>
            </w:r>
          </w:p>
        </w:tc>
        <w:tc>
          <w:tcPr>
            <w:tcW w:w="23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6"/>
              </w:rPr>
              <w:t>Cargo Transport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720" w:type="dxa"/>
            <w:vAlign w:val="bottom"/>
            <w:gridSpan w:val="2"/>
          </w:tcPr>
          <w:p>
            <w:pPr>
              <w:jc w:val="right"/>
              <w:ind w:right="24"/>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2,309,343</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2,309,344</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2,309,344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11/04/2014</w:t>
            </w:r>
          </w:p>
        </w:tc>
        <w:tc>
          <w:tcPr>
            <w:tcW w:w="23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6.91%</w:t>
            </w:r>
            <w:r>
              <w:rPr>
                <w:rFonts w:ascii="Arial" w:cs="Arial" w:eastAsia="Arial" w:hAnsi="Arial"/>
                <w:sz w:val="17"/>
                <w:szCs w:val="17"/>
                <w:color w:val="auto"/>
                <w:vertAlign w:val="superscript"/>
              </w:rPr>
              <w:t>(7)</w:t>
            </w:r>
          </w:p>
        </w:tc>
        <w:tc>
          <w:tcPr>
            <w:tcW w:w="720" w:type="dxa"/>
            <w:vAlign w:val="bottom"/>
            <w:gridSpan w:val="2"/>
            <w:shd w:val="clear" w:color="auto" w:fill="CCEEFF"/>
          </w:tcPr>
          <w:p>
            <w:pPr>
              <w:jc w:val="right"/>
              <w:ind w:right="144"/>
              <w:spacing w:after="0" w:line="149" w:lineRule="exact"/>
              <w:rPr>
                <w:sz w:val="20"/>
                <w:szCs w:val="20"/>
                <w:color w:val="auto"/>
              </w:rPr>
            </w:pPr>
            <w:r>
              <w:rPr>
                <w:rFonts w:ascii="Arial" w:cs="Arial" w:eastAsia="Arial" w:hAnsi="Arial"/>
                <w:sz w:val="14"/>
                <w:szCs w:val="14"/>
                <w:color w:val="auto"/>
              </w:rPr>
              <w:t>L+650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10/15/2017</w:t>
            </w:r>
          </w:p>
        </w:tc>
        <w:tc>
          <w:tcPr>
            <w:tcW w:w="23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Buildings and Real Estate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13.50%</w:t>
            </w:r>
          </w:p>
        </w:tc>
        <w:tc>
          <w:tcPr>
            <w:tcW w:w="520" w:type="dxa"/>
            <w:vAlign w:val="bottom"/>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10,387,500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05/15/2015</w:t>
            </w:r>
          </w:p>
        </w:tc>
        <w:tc>
          <w:tcPr>
            <w:tcW w:w="23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Transportation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8.19%</w:t>
            </w:r>
          </w:p>
        </w:tc>
        <w:tc>
          <w:tcPr>
            <w:tcW w:w="720" w:type="dxa"/>
            <w:vAlign w:val="bottom"/>
            <w:gridSpan w:val="2"/>
            <w:shd w:val="clear" w:color="auto" w:fill="CCEEFF"/>
          </w:tcPr>
          <w:p>
            <w:pPr>
              <w:jc w:val="right"/>
              <w:ind w:right="144"/>
              <w:spacing w:after="0" w:line="149" w:lineRule="exact"/>
              <w:rPr>
                <w:sz w:val="20"/>
                <w:szCs w:val="20"/>
                <w:color w:val="auto"/>
              </w:rPr>
            </w:pPr>
            <w:r>
              <w:rPr>
                <w:rFonts w:ascii="Arial" w:cs="Arial" w:eastAsia="Arial" w:hAnsi="Arial"/>
                <w:sz w:val="14"/>
                <w:szCs w:val="14"/>
                <w:color w:val="auto"/>
              </w:rPr>
              <w:t>L+775</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9,941,121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05/15/2017</w:t>
            </w:r>
          </w:p>
        </w:tc>
        <w:tc>
          <w:tcPr>
            <w:tcW w:w="23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8"/>
              </w:rPr>
              <w:t>Transportation</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520" w:type="dxa"/>
            <w:vAlign w:val="bottom"/>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16,890,972</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14,250,000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8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w w:val="96"/>
              </w:rPr>
              <w:t>06/15/2015</w:t>
            </w:r>
          </w:p>
        </w:tc>
        <w:tc>
          <w:tcPr>
            <w:tcW w:w="2320" w:type="dxa"/>
            <w:vAlign w:val="bottom"/>
            <w:gridSpan w:val="3"/>
            <w:shd w:val="clear" w:color="auto" w:fill="CCEEFF"/>
          </w:tcPr>
          <w:p>
            <w:pPr>
              <w:jc w:val="center"/>
              <w:ind w:right="80"/>
              <w:spacing w:after="0" w:line="138" w:lineRule="exact"/>
              <w:rPr>
                <w:sz w:val="20"/>
                <w:szCs w:val="20"/>
                <w:color w:val="auto"/>
              </w:rPr>
            </w:pPr>
            <w:r>
              <w:rPr>
                <w:rFonts w:ascii="Arial" w:cs="Arial" w:eastAsia="Arial" w:hAnsi="Arial"/>
                <w:sz w:val="14"/>
                <w:szCs w:val="14"/>
                <w:color w:val="auto"/>
                <w:w w:val="87"/>
              </w:rPr>
              <w:t>Healthcare, Education and</w:t>
            </w:r>
          </w:p>
        </w:tc>
        <w:tc>
          <w:tcPr>
            <w:tcW w:w="8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6.00%</w:t>
            </w:r>
            <w:r>
              <w:rPr>
                <w:rFonts w:ascii="Arial" w:cs="Arial" w:eastAsia="Arial" w:hAnsi="Arial"/>
                <w:sz w:val="15"/>
                <w:szCs w:val="15"/>
                <w:color w:val="auto"/>
                <w:vertAlign w:val="superscript"/>
              </w:rPr>
              <w:t>(6)</w:t>
            </w:r>
          </w:p>
        </w:tc>
        <w:tc>
          <w:tcPr>
            <w:tcW w:w="720" w:type="dxa"/>
            <w:vAlign w:val="bottom"/>
            <w:gridSpan w:val="2"/>
            <w:shd w:val="clear" w:color="auto" w:fill="CCEEFF"/>
          </w:tcPr>
          <w:p>
            <w:pPr>
              <w:jc w:val="right"/>
              <w:ind w:right="144"/>
              <w:spacing w:after="0" w:line="138" w:lineRule="exact"/>
              <w:rPr>
                <w:sz w:val="20"/>
                <w:szCs w:val="20"/>
                <w:color w:val="auto"/>
              </w:rPr>
            </w:pPr>
            <w:r>
              <w:rPr>
                <w:rFonts w:ascii="Arial" w:cs="Arial" w:eastAsia="Arial" w:hAnsi="Arial"/>
                <w:sz w:val="14"/>
                <w:szCs w:val="14"/>
                <w:color w:val="auto"/>
              </w:rPr>
              <w:t>L+575</w:t>
            </w:r>
          </w:p>
        </w:tc>
        <w:tc>
          <w:tcPr>
            <w:tcW w:w="8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21,500,000</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18,855,728</w:t>
            </w:r>
          </w:p>
        </w:tc>
        <w:tc>
          <w:tcPr>
            <w:tcW w:w="8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19,414,500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32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color w:val="auto"/>
                <w:w w:val="87"/>
              </w:rPr>
              <w:t>Childcare</w:t>
            </w: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Specialized Technology Resources, Inc.</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12/15/2014</w:t>
            </w:r>
          </w:p>
        </w:tc>
        <w:tc>
          <w:tcPr>
            <w:tcW w:w="2320" w:type="dxa"/>
            <w:vAlign w:val="bottom"/>
            <w:gridSpan w:val="3"/>
          </w:tcPr>
          <w:p>
            <w:pPr>
              <w:jc w:val="center"/>
              <w:ind w:right="100"/>
              <w:spacing w:after="0"/>
              <w:rPr>
                <w:sz w:val="20"/>
                <w:szCs w:val="20"/>
                <w:color w:val="auto"/>
              </w:rPr>
            </w:pPr>
            <w:r>
              <w:rPr>
                <w:rFonts w:ascii="Arial" w:cs="Arial" w:eastAsia="Arial" w:hAnsi="Arial"/>
                <w:sz w:val="14"/>
                <w:szCs w:val="14"/>
                <w:color w:val="auto"/>
                <w:w w:val="86"/>
              </w:rPr>
              <w:t>Chemical, Plastics and Rubber</w:t>
            </w:r>
          </w:p>
        </w:tc>
        <w:tc>
          <w:tcPr>
            <w:tcW w:w="860" w:type="dxa"/>
            <w:vAlign w:val="bottom"/>
            <w:gridSpan w:val="2"/>
          </w:tcPr>
          <w:p>
            <w:pPr>
              <w:jc w:val="right"/>
              <w:ind w:right="140"/>
              <w:spacing w:after="0" w:line="217" w:lineRule="exact"/>
              <w:rPr>
                <w:sz w:val="20"/>
                <w:szCs w:val="20"/>
                <w:color w:val="auto"/>
              </w:rPr>
            </w:pPr>
            <w:r>
              <w:rPr>
                <w:rFonts w:ascii="Arial" w:cs="Arial" w:eastAsia="Arial" w:hAnsi="Arial"/>
                <w:sz w:val="14"/>
                <w:szCs w:val="14"/>
                <w:color w:val="auto"/>
              </w:rPr>
              <w:t>7.25%</w:t>
            </w:r>
            <w:r>
              <w:rPr>
                <w:rFonts w:ascii="Arial" w:cs="Arial" w:eastAsia="Arial" w:hAnsi="Arial"/>
                <w:sz w:val="22"/>
                <w:szCs w:val="22"/>
                <w:color w:val="auto"/>
                <w:vertAlign w:val="superscript"/>
              </w:rPr>
              <w:t>(6)</w:t>
            </w:r>
          </w:p>
        </w:tc>
        <w:tc>
          <w:tcPr>
            <w:tcW w:w="720" w:type="dxa"/>
            <w:vAlign w:val="bottom"/>
            <w:gridSpan w:val="2"/>
          </w:tcPr>
          <w:p>
            <w:pPr>
              <w:jc w:val="right"/>
              <w:ind w:right="144"/>
              <w:spacing w:after="0"/>
              <w:rPr>
                <w:sz w:val="20"/>
                <w:szCs w:val="20"/>
                <w:color w:val="auto"/>
              </w:rPr>
            </w:pPr>
            <w:r>
              <w:rPr>
                <w:rFonts w:ascii="Arial" w:cs="Arial" w:eastAsia="Arial" w:hAnsi="Arial"/>
                <w:sz w:val="14"/>
                <w:szCs w:val="14"/>
                <w:color w:val="auto"/>
              </w:rPr>
              <w:t>L+700</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22,500,000</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22,488,166</w:t>
            </w:r>
          </w:p>
        </w:tc>
        <w:tc>
          <w:tcPr>
            <w:tcW w:w="8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06/15/2015</w:t>
            </w:r>
          </w:p>
        </w:tc>
        <w:tc>
          <w:tcPr>
            <w:tcW w:w="23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7"/>
              </w:rPr>
              <w:t>Financial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7.04%</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144"/>
              <w:spacing w:after="0" w:line="149" w:lineRule="exact"/>
              <w:rPr>
                <w:sz w:val="20"/>
                <w:szCs w:val="20"/>
                <w:color w:val="auto"/>
              </w:rPr>
            </w:pPr>
            <w:r>
              <w:rPr>
                <w:rFonts w:ascii="Arial" w:cs="Arial" w:eastAsia="Arial" w:hAnsi="Arial"/>
                <w:sz w:val="14"/>
                <w:szCs w:val="14"/>
                <w:color w:val="auto"/>
              </w:rPr>
              <w:t>L+675</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16,792,105</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16,247,489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15,264,023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2"/>
              </w:rPr>
              <w:t>143,571,496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5"/>
              </w:rPr>
              <w:t>126,382,167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-4672965</wp:posOffset>
            </wp:positionV>
            <wp:extent cx="7246620" cy="946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-4484370</wp:posOffset>
            </wp:positionV>
            <wp:extent cx="7246620" cy="946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-4295775</wp:posOffset>
            </wp:positionV>
            <wp:extent cx="7246620" cy="946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0"/>
              </w:rPr>
              <w:t>Basis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Point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Spread</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0"/>
              </w:rPr>
              <w:t>Current</w:t>
            </w:r>
          </w:p>
        </w:tc>
        <w:tc>
          <w:tcPr>
            <w:tcW w:w="5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4"/>
              </w:rPr>
              <w:t>Above</w:t>
            </w:r>
          </w:p>
        </w:tc>
        <w:tc>
          <w:tcPr>
            <w:tcW w:w="220" w:type="dxa"/>
            <w:vAlign w:val="bottom"/>
          </w:tcPr>
          <w:p>
            <w:pPr>
              <w:spacing w:after="0"/>
              <w:rPr>
                <w:sz w:val="11"/>
                <w:szCs w:val="11"/>
                <w:color w:val="auto"/>
              </w:rPr>
            </w:pPr>
          </w:p>
        </w:tc>
        <w:tc>
          <w:tcPr>
            <w:tcW w:w="72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rPr>
              <w:t>Par /</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40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Maturity</w:t>
            </w:r>
          </w:p>
        </w:tc>
        <w:tc>
          <w:tcPr>
            <w:tcW w:w="480" w:type="dxa"/>
            <w:vAlign w:val="bottom"/>
          </w:tcPr>
          <w:p>
            <w:pPr>
              <w:spacing w:after="0"/>
              <w:rPr>
                <w:sz w:val="14"/>
                <w:szCs w:val="14"/>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560" w:type="dxa"/>
            <w:vAlign w:val="bottom"/>
            <w:gridSpan w:val="2"/>
          </w:tcPr>
          <w:p>
            <w:pPr>
              <w:jc w:val="center"/>
              <w:ind w:right="60"/>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22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Shares</w:t>
            </w:r>
          </w:p>
        </w:tc>
        <w:tc>
          <w:tcPr>
            <w:tcW w:w="72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center"/>
              <w:ind w:right="200"/>
              <w:spacing w:after="0" w:line="162" w:lineRule="exact"/>
              <w:rPr>
                <w:sz w:val="20"/>
                <w:szCs w:val="20"/>
                <w:color w:val="auto"/>
              </w:rPr>
            </w:pPr>
            <w:r>
              <w:rPr>
                <w:rFonts w:ascii="Arial" w:cs="Arial" w:eastAsia="Arial" w:hAnsi="Arial"/>
                <w:sz w:val="12"/>
                <w:szCs w:val="12"/>
                <w:b w:val="1"/>
                <w:bCs w:val="1"/>
                <w:color w:val="auto"/>
                <w:w w:val="98"/>
              </w:rPr>
              <w:t>Value</w:t>
            </w:r>
            <w:r>
              <w:rPr>
                <w:rFonts w:ascii="Arial" w:cs="Arial" w:eastAsia="Arial" w:hAnsi="Arial"/>
                <w:sz w:val="18"/>
                <w:szCs w:val="18"/>
                <w:b w:val="1"/>
                <w:bCs w:val="1"/>
                <w:color w:val="auto"/>
                <w:w w:val="98"/>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Notes—50.6%</w:t>
            </w: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1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03/01/2012</w:t>
            </w:r>
          </w:p>
        </w:tc>
        <w:tc>
          <w:tcPr>
            <w:tcW w:w="1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Consumer Products</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8.27%</w:t>
            </w:r>
            <w:r>
              <w:rPr>
                <w:rFonts w:ascii="Arial" w:cs="Arial" w:eastAsia="Arial" w:hAnsi="Arial"/>
                <w:sz w:val="17"/>
                <w:szCs w:val="17"/>
                <w:color w:val="auto"/>
                <w:vertAlign w:val="superscript"/>
              </w:rPr>
              <w:t>(6)</w:t>
            </w:r>
          </w:p>
        </w:tc>
        <w:tc>
          <w:tcPr>
            <w:tcW w:w="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L+750</w:t>
            </w:r>
          </w:p>
        </w:tc>
        <w:tc>
          <w:tcPr>
            <w:tcW w:w="9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23,572,133</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9"/>
              </w:rPr>
              <w:t>22,930,475</w:t>
            </w:r>
          </w:p>
        </w:tc>
        <w:tc>
          <w:tcPr>
            <w:tcW w:w="9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21,497,875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11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04/17/2015</w:t>
            </w:r>
          </w:p>
        </w:tc>
        <w:tc>
          <w:tcPr>
            <w:tcW w:w="1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Aerospace and Defense</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8,109,468</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7,952,769</w:t>
            </w:r>
          </w:p>
        </w:tc>
        <w:tc>
          <w:tcPr>
            <w:tcW w:w="9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8,190,563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1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03/22/2014</w:t>
            </w:r>
          </w:p>
        </w:tc>
        <w:tc>
          <w:tcPr>
            <w:tcW w:w="1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5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20,311,603</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9"/>
              </w:rPr>
              <w:t>19,875,880</w:t>
            </w:r>
          </w:p>
        </w:tc>
        <w:tc>
          <w:tcPr>
            <w:tcW w:w="9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20,463,940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Digicel Limited </w:t>
            </w:r>
            <w:r>
              <w:rPr>
                <w:rFonts w:ascii="Arial" w:cs="Arial" w:eastAsia="Arial" w:hAnsi="Arial"/>
                <w:sz w:val="17"/>
                <w:szCs w:val="17"/>
                <w:color w:val="auto"/>
                <w:vertAlign w:val="superscript"/>
              </w:rPr>
              <w:t>(5)</w:t>
            </w:r>
          </w:p>
        </w:tc>
        <w:tc>
          <w:tcPr>
            <w:tcW w:w="11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04/01/2014</w:t>
            </w:r>
          </w:p>
        </w:tc>
        <w:tc>
          <w:tcPr>
            <w:tcW w:w="150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Telecommunications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1,000,000</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995,610</w:t>
            </w:r>
          </w:p>
        </w:tc>
        <w:tc>
          <w:tcPr>
            <w:tcW w:w="9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1,115,000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11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06/06/2014</w:t>
            </w:r>
          </w:p>
        </w:tc>
        <w:tc>
          <w:tcPr>
            <w:tcW w:w="1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3"/>
              </w:rPr>
              <w:t>Aerospace and Defense</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5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22,653,857</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9"/>
              </w:rPr>
              <w:t>22,279,800</w:t>
            </w:r>
          </w:p>
        </w:tc>
        <w:tc>
          <w:tcPr>
            <w:tcW w:w="9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22,880,395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IDQ Holdings, Inc.</w:t>
            </w:r>
          </w:p>
        </w:tc>
        <w:tc>
          <w:tcPr>
            <w:tcW w:w="11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05/20/2012</w:t>
            </w:r>
          </w:p>
        </w:tc>
        <w:tc>
          <w:tcPr>
            <w:tcW w:w="1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Auto Sector</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13.75%</w:t>
            </w: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20,000,000</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19,632,400</w:t>
            </w:r>
          </w:p>
        </w:tc>
        <w:tc>
          <w:tcPr>
            <w:tcW w:w="9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20,060,000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Inc.</w:t>
            </w:r>
          </w:p>
        </w:tc>
        <w:tc>
          <w:tcPr>
            <w:tcW w:w="11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12/28/2015</w:t>
            </w:r>
          </w:p>
        </w:tc>
        <w:tc>
          <w:tcPr>
            <w:tcW w:w="1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Education</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5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10,324,976</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9"/>
              </w:rPr>
              <w:t>10,190,682</w:t>
            </w:r>
          </w:p>
        </w:tc>
        <w:tc>
          <w:tcPr>
            <w:tcW w:w="9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10,324,976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Realogy Corp.</w:t>
            </w:r>
          </w:p>
        </w:tc>
        <w:tc>
          <w:tcPr>
            <w:tcW w:w="11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04/15/2015</w:t>
            </w:r>
          </w:p>
        </w:tc>
        <w:tc>
          <w:tcPr>
            <w:tcW w:w="1500" w:type="dxa"/>
            <w:vAlign w:val="bottom"/>
            <w:gridSpan w:val="3"/>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9"/>
              </w:rPr>
              <w:t>Buildings and Real</w:t>
            </w:r>
          </w:p>
        </w:tc>
        <w:tc>
          <w:tcPr>
            <w:tcW w:w="8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12.38%</w:t>
            </w:r>
          </w:p>
        </w:tc>
        <w:tc>
          <w:tcPr>
            <w:tcW w:w="5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10,000,000</w:t>
            </w:r>
          </w:p>
        </w:tc>
        <w:tc>
          <w:tcPr>
            <w:tcW w:w="7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8,921,187</w:t>
            </w:r>
          </w:p>
        </w:tc>
        <w:tc>
          <w:tcPr>
            <w:tcW w:w="90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5,525,000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520"/>
              <w:spacing w:after="0"/>
              <w:rPr>
                <w:sz w:val="20"/>
                <w:szCs w:val="20"/>
                <w:color w:val="auto"/>
              </w:rPr>
            </w:pPr>
            <w:r>
              <w:rPr>
                <w:rFonts w:ascii="Arial" w:cs="Arial" w:eastAsia="Arial" w:hAnsi="Arial"/>
                <w:sz w:val="14"/>
                <w:szCs w:val="14"/>
                <w:color w:val="auto"/>
                <w:w w:val="85"/>
              </w:rPr>
              <w:t>Estate</w:t>
            </w: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Trizetto Group, Inc.</w:t>
            </w:r>
          </w:p>
        </w:tc>
        <w:tc>
          <w:tcPr>
            <w:tcW w:w="11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10/01/2016</w:t>
            </w:r>
          </w:p>
        </w:tc>
        <w:tc>
          <w:tcPr>
            <w:tcW w:w="1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7"/>
              </w:rPr>
              <w:t>Insurance</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5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20,197,856</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9"/>
              </w:rPr>
              <w:t>20,010,210</w:t>
            </w:r>
          </w:p>
        </w:tc>
        <w:tc>
          <w:tcPr>
            <w:tcW w:w="9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20,652,308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Acquisitions Sub Inc.</w:t>
            </w:r>
          </w:p>
        </w:tc>
        <w:tc>
          <w:tcPr>
            <w:tcW w:w="11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02/08/2015</w:t>
            </w:r>
          </w:p>
        </w:tc>
        <w:tc>
          <w:tcPr>
            <w:tcW w:w="1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9"/>
              </w:rPr>
              <w:t>Oil and Gas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13.50%</w:t>
            </w: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21,000,000</w:t>
            </w:r>
          </w:p>
        </w:tc>
        <w:tc>
          <w:tcPr>
            <w:tcW w:w="7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20,472,809</w:t>
            </w:r>
          </w:p>
        </w:tc>
        <w:tc>
          <w:tcPr>
            <w:tcW w:w="180" w:type="dxa"/>
            <w:vAlign w:val="bottom"/>
            <w:shd w:val="clear" w:color="auto" w:fill="CCEEFF"/>
          </w:tcPr>
          <w:p>
            <w:pPr>
              <w:spacing w:after="0"/>
              <w:rPr>
                <w:sz w:val="12"/>
                <w:szCs w:val="12"/>
                <w:color w:val="auto"/>
              </w:rPr>
            </w:pPr>
          </w:p>
        </w:tc>
        <w:tc>
          <w:tcPr>
            <w:tcW w:w="7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21,420,000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7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89"/>
              </w:rPr>
              <w:t>153,261,822</w:t>
            </w:r>
          </w:p>
        </w:tc>
        <w:tc>
          <w:tcPr>
            <w:tcW w:w="9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152,130,057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 3.6%</w:t>
            </w:r>
            <w:r>
              <w:rPr>
                <w:rFonts w:ascii="Arial" w:cs="Arial" w:eastAsia="Arial" w:hAnsi="Arial"/>
                <w:sz w:val="17"/>
                <w:szCs w:val="17"/>
                <w:b w:val="1"/>
                <w:bCs w:val="1"/>
                <w:color w:val="auto"/>
                <w:vertAlign w:val="superscript"/>
              </w:rPr>
              <w:t>(7)</w:t>
            </w: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4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3"/>
              </w:rPr>
              <w:t>Aerospace and Defense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5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797</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$797,288</w:t>
            </w:r>
          </w:p>
        </w:tc>
        <w:tc>
          <w:tcPr>
            <w:tcW w:w="9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$949,648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4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Aerospace and Defense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4,137,240</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9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4,793,729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 (Trizetto Group, Inc.)</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(TZ Merger Sub, Inc.)</w:t>
            </w:r>
          </w:p>
        </w:tc>
        <w:tc>
          <w:tcPr>
            <w:tcW w:w="400" w:type="dxa"/>
            <w:vAlign w:val="bottom"/>
          </w:tcPr>
          <w:p>
            <w:pPr>
              <w:spacing w:after="0"/>
              <w:rPr>
                <w:sz w:val="13"/>
                <w:szCs w:val="13"/>
                <w:color w:val="auto"/>
              </w:rPr>
            </w:pPr>
          </w:p>
        </w:tc>
        <w:tc>
          <w:tcPr>
            <w:tcW w:w="70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99"/>
              </w:rPr>
              <w:t>—</w:t>
            </w:r>
          </w:p>
        </w:tc>
        <w:tc>
          <w:tcPr>
            <w:tcW w:w="150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7"/>
              </w:rPr>
              <w:t>Insurance</w:t>
            </w: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686</w:t>
            </w: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685,820</w:t>
            </w:r>
          </w:p>
        </w:tc>
        <w:tc>
          <w:tcPr>
            <w:tcW w:w="9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 (Trizetto Group, Inc.)</w:t>
            </w:r>
          </w:p>
        </w:tc>
        <w:tc>
          <w:tcPr>
            <w:tcW w:w="4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Insurance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1,312</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1,312,006</w:t>
            </w:r>
          </w:p>
        </w:tc>
        <w:tc>
          <w:tcPr>
            <w:tcW w:w="9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1,410,604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780" w:type="dxa"/>
            <w:vAlign w:val="bottom"/>
            <w:gridSpan w:val="3"/>
          </w:tcPr>
          <w:p>
            <w:pPr>
              <w:spacing w:after="0"/>
              <w:rPr>
                <w:sz w:val="20"/>
                <w:szCs w:val="20"/>
                <w:color w:val="auto"/>
              </w:rPr>
            </w:pPr>
            <w:r>
              <w:rPr>
                <w:rFonts w:ascii="Arial" w:cs="Arial" w:eastAsia="Arial" w:hAnsi="Arial"/>
                <w:sz w:val="14"/>
                <w:szCs w:val="14"/>
                <w:color w:val="auto"/>
              </w:rPr>
              <w:t>UP Holdings Inc., Class A-1 (UP Acquisitions Sub Inc.)</w:t>
            </w:r>
          </w:p>
        </w:tc>
        <w:tc>
          <w:tcPr>
            <w:tcW w:w="400" w:type="dxa"/>
            <w:vAlign w:val="bottom"/>
          </w:tcPr>
          <w:p>
            <w:pPr>
              <w:spacing w:after="0"/>
              <w:rPr>
                <w:sz w:val="19"/>
                <w:szCs w:val="19"/>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1500" w:type="dxa"/>
            <w:vAlign w:val="bottom"/>
            <w:gridSpan w:val="3"/>
          </w:tcPr>
          <w:p>
            <w:pPr>
              <w:jc w:val="center"/>
              <w:ind w:right="40"/>
              <w:spacing w:after="0"/>
              <w:rPr>
                <w:sz w:val="20"/>
                <w:szCs w:val="20"/>
                <w:color w:val="auto"/>
              </w:rPr>
            </w:pPr>
            <w:r>
              <w:rPr>
                <w:rFonts w:ascii="Arial" w:cs="Arial" w:eastAsia="Arial" w:hAnsi="Arial"/>
                <w:sz w:val="14"/>
                <w:szCs w:val="14"/>
                <w:color w:val="auto"/>
                <w:w w:val="89"/>
              </w:rPr>
              <w:t>Oil and Gas</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8.00%</w:t>
            </w: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4"/>
                <w:szCs w:val="14"/>
                <w:color w:val="auto"/>
              </w:rPr>
              <w:t>91,608</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2,499,067</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3,094,252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VSS-AHC Holdings, LLC (Advanstar Inc.)</w:t>
            </w:r>
          </w:p>
        </w:tc>
        <w:tc>
          <w:tcPr>
            <w:tcW w:w="4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Other Media</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319</w:t>
            </w:r>
          </w:p>
        </w:tc>
        <w:tc>
          <w:tcPr>
            <w:tcW w:w="7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318,896</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7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9,750,317</w:t>
            </w:r>
          </w:p>
        </w:tc>
        <w:tc>
          <w:tcPr>
            <w:tcW w:w="9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10,934,053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Equity/Warrants/Partnership Interests—4.5%</w:t>
            </w:r>
            <w:r>
              <w:rPr>
                <w:rFonts w:ascii="Arial" w:cs="Arial" w:eastAsia="Arial" w:hAnsi="Arial"/>
                <w:sz w:val="17"/>
                <w:szCs w:val="17"/>
                <w:b w:val="1"/>
                <w:bCs w:val="1"/>
                <w:color w:val="auto"/>
                <w:vertAlign w:val="superscript"/>
              </w:rPr>
              <w:t>(7)</w:t>
            </w: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4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0"/>
              </w:rPr>
              <w:t>Other Media</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3,000</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3,005,163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CFHC Holdings, Inc. (Consolidated Foundries, Inc.)</w:t>
            </w:r>
          </w:p>
        </w:tc>
        <w:tc>
          <w:tcPr>
            <w:tcW w:w="4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Aerospace and Defense</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1,627</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16,271</w:t>
            </w:r>
          </w:p>
        </w:tc>
        <w:tc>
          <w:tcPr>
            <w:tcW w:w="9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215,547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400" w:type="dxa"/>
            <w:vAlign w:val="bottom"/>
          </w:tcPr>
          <w:p>
            <w:pPr>
              <w:spacing w:after="0"/>
              <w:rPr>
                <w:sz w:val="13"/>
                <w:szCs w:val="13"/>
                <w:color w:val="auto"/>
              </w:rPr>
            </w:pPr>
          </w:p>
        </w:tc>
        <w:tc>
          <w:tcPr>
            <w:tcW w:w="70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99"/>
              </w:rPr>
              <w:t>—</w:t>
            </w:r>
          </w:p>
        </w:tc>
        <w:tc>
          <w:tcPr>
            <w:tcW w:w="150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5,556</w:t>
            </w: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3,200,000</w:t>
            </w:r>
          </w:p>
        </w:tc>
        <w:tc>
          <w:tcPr>
            <w:tcW w:w="9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6,696,281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4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Aerospace and Defense</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457,322</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454,030</w:t>
            </w:r>
          </w:p>
        </w:tc>
        <w:tc>
          <w:tcPr>
            <w:tcW w:w="9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1,293,476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400" w:type="dxa"/>
            <w:vAlign w:val="bottom"/>
          </w:tcPr>
          <w:p>
            <w:pPr>
              <w:spacing w:after="0"/>
              <w:rPr>
                <w:sz w:val="13"/>
                <w:szCs w:val="13"/>
                <w:color w:val="auto"/>
              </w:rPr>
            </w:pPr>
          </w:p>
        </w:tc>
        <w:tc>
          <w:tcPr>
            <w:tcW w:w="70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99"/>
              </w:rPr>
              <w:t>—</w:t>
            </w:r>
          </w:p>
        </w:tc>
        <w:tc>
          <w:tcPr>
            <w:tcW w:w="150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6"/>
              </w:rPr>
              <w:t>Cargo Transport</w:t>
            </w: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106,299</w:t>
            </w: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1,779,455</w:t>
            </w:r>
          </w:p>
        </w:tc>
        <w:tc>
          <w:tcPr>
            <w:tcW w:w="9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2,391,463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4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Insurance</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6,467</w:t>
            </w:r>
          </w:p>
        </w:tc>
        <w:tc>
          <w:tcPr>
            <w:tcW w:w="9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1,337,451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gridSpan w:val="2"/>
          </w:tcPr>
          <w:p>
            <w:pPr>
              <w:spacing w:after="0"/>
              <w:rPr>
                <w:sz w:val="20"/>
                <w:szCs w:val="20"/>
                <w:color w:val="auto"/>
              </w:rPr>
            </w:pPr>
            <w:r>
              <w:rPr>
                <w:rFonts w:ascii="Arial" w:cs="Arial" w:eastAsia="Arial" w:hAnsi="Arial"/>
                <w:sz w:val="14"/>
                <w:szCs w:val="14"/>
                <w:color w:val="auto"/>
              </w:rPr>
              <w:t>UP Holdings Inc. (UP Acquisitions Sub Inc.)</w:t>
            </w:r>
          </w:p>
        </w:tc>
        <w:tc>
          <w:tcPr>
            <w:tcW w:w="4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1500" w:type="dxa"/>
            <w:vAlign w:val="bottom"/>
            <w:gridSpan w:val="3"/>
          </w:tcPr>
          <w:p>
            <w:pPr>
              <w:jc w:val="center"/>
              <w:ind w:right="40"/>
              <w:spacing w:after="0"/>
              <w:rPr>
                <w:sz w:val="20"/>
                <w:szCs w:val="20"/>
                <w:color w:val="auto"/>
              </w:rPr>
            </w:pPr>
            <w:r>
              <w:rPr>
                <w:rFonts w:ascii="Arial" w:cs="Arial" w:eastAsia="Arial" w:hAnsi="Arial"/>
                <w:sz w:val="14"/>
                <w:szCs w:val="14"/>
                <w:color w:val="auto"/>
                <w:w w:val="89"/>
              </w:rPr>
              <w:t>Oil and Gas</w:t>
            </w:r>
          </w:p>
        </w:tc>
        <w:tc>
          <w:tcPr>
            <w:tcW w:w="8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4"/>
                <w:szCs w:val="14"/>
                <w:color w:val="auto"/>
              </w:rPr>
              <w:t>91,608</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916</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1,656,350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40" w:type="dxa"/>
            <w:vAlign w:val="bottom"/>
          </w:tcPr>
          <w:p>
            <w:pPr>
              <w:spacing w:after="0"/>
              <w:rPr>
                <w:sz w:val="7"/>
                <w:szCs w:val="7"/>
                <w:color w:val="auto"/>
              </w:rPr>
            </w:pPr>
          </w:p>
        </w:tc>
        <w:tc>
          <w:tcPr>
            <w:tcW w:w="4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VSS-AHC Holdings, Inc. (Advanstar, Inc.) (Warrant)</w:t>
            </w:r>
          </w:p>
        </w:tc>
        <w:tc>
          <w:tcPr>
            <w:tcW w:w="11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11/06/2018</w:t>
            </w:r>
          </w:p>
        </w:tc>
        <w:tc>
          <w:tcPr>
            <w:tcW w:w="1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Other Media</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w:t>
            </w:r>
          </w:p>
        </w:tc>
        <w:tc>
          <w:tcPr>
            <w:tcW w:w="2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7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8,462,302</w:t>
            </w:r>
          </w:p>
        </w:tc>
        <w:tc>
          <w:tcPr>
            <w:tcW w:w="180" w:type="dxa"/>
            <w:vAlign w:val="bottom"/>
          </w:tcPr>
          <w:p>
            <w:pPr>
              <w:spacing w:after="0"/>
              <w:rPr>
                <w:sz w:val="14"/>
                <w:szCs w:val="14"/>
                <w:color w:val="auto"/>
              </w:rPr>
            </w:pPr>
          </w:p>
        </w:tc>
        <w:tc>
          <w:tcPr>
            <w:tcW w:w="7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9"/>
              </w:rPr>
              <w:t>13,590,568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479,909,805</w:t>
            </w:r>
          </w:p>
        </w:tc>
        <w:tc>
          <w:tcPr>
            <w:tcW w:w="9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453,644,335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Investments in Non-Controlled, Affiliated Portfolio Companies—5.4% </w:t>
            </w:r>
            <w:r>
              <w:rPr>
                <w:rFonts w:ascii="Arial" w:cs="Arial" w:eastAsia="Arial" w:hAnsi="Arial"/>
                <w:sz w:val="18"/>
                <w:szCs w:val="18"/>
                <w:b w:val="1"/>
                <w:bCs w:val="1"/>
                <w:color w:val="auto"/>
                <w:vertAlign w:val="superscript"/>
              </w:rPr>
              <w:t>(1),(2)</w:t>
            </w: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Notes—1.7%</w:t>
            </w: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gridSpan w:val="2"/>
          </w:tcPr>
          <w:p>
            <w:pPr>
              <w:spacing w:after="0" w:line="138" w:lineRule="exact"/>
              <w:rPr>
                <w:sz w:val="20"/>
                <w:szCs w:val="20"/>
                <w:color w:val="auto"/>
              </w:rPr>
            </w:pPr>
            <w:r>
              <w:rPr>
                <w:rFonts w:ascii="Arial" w:cs="Arial" w:eastAsia="Arial" w:hAnsi="Arial"/>
                <w:sz w:val="14"/>
                <w:szCs w:val="14"/>
                <w:color w:val="auto"/>
              </w:rPr>
              <w:t>Performance Holdings, Inc.</w:t>
            </w:r>
          </w:p>
        </w:tc>
        <w:tc>
          <w:tcPr>
            <w:tcW w:w="11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07/02/2014</w:t>
            </w:r>
          </w:p>
        </w:tc>
        <w:tc>
          <w:tcPr>
            <w:tcW w:w="150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7"/>
              </w:rPr>
              <w:t>Leisure, Amusement,</w:t>
            </w:r>
          </w:p>
        </w:tc>
        <w:tc>
          <w:tcPr>
            <w:tcW w:w="860" w:type="dxa"/>
            <w:vAlign w:val="bottom"/>
            <w:gridSpan w:val="2"/>
          </w:tcPr>
          <w:p>
            <w:pPr>
              <w:jc w:val="right"/>
              <w:ind w:right="14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560" w:type="dxa"/>
            <w:vAlign w:val="bottom"/>
            <w:gridSpan w:val="2"/>
          </w:tcPr>
          <w:p>
            <w:pPr>
              <w:ind w:left="28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$ 5,077,822</w:t>
            </w:r>
          </w:p>
        </w:tc>
        <w:tc>
          <w:tcPr>
            <w:tcW w:w="72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4,878,081</w:t>
            </w:r>
          </w:p>
        </w:tc>
        <w:tc>
          <w:tcPr>
            <w:tcW w:w="9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4,988,960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9"/>
              </w:rPr>
              <w:t>Motion Pictures,</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9"/>
              </w:rPr>
              <w:t>Entertainment</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Debt—2.7%</w:t>
            </w: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gridSpan w:val="2"/>
          </w:tcPr>
          <w:p>
            <w:pPr>
              <w:spacing w:after="0" w:line="138" w:lineRule="exact"/>
              <w:rPr>
                <w:sz w:val="20"/>
                <w:szCs w:val="20"/>
                <w:color w:val="auto"/>
              </w:rPr>
            </w:pPr>
            <w:r>
              <w:rPr>
                <w:rFonts w:ascii="Arial" w:cs="Arial" w:eastAsia="Arial" w:hAnsi="Arial"/>
                <w:sz w:val="14"/>
                <w:szCs w:val="14"/>
                <w:color w:val="auto"/>
              </w:rPr>
              <w:t>Performance, Inc.</w:t>
            </w:r>
          </w:p>
        </w:tc>
        <w:tc>
          <w:tcPr>
            <w:tcW w:w="11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07/02/2013</w:t>
            </w:r>
          </w:p>
        </w:tc>
        <w:tc>
          <w:tcPr>
            <w:tcW w:w="150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6"/>
              </w:rPr>
              <w:t>Leisure, Amusement,</w:t>
            </w:r>
          </w:p>
        </w:tc>
        <w:tc>
          <w:tcPr>
            <w:tcW w:w="8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6.24%</w:t>
            </w:r>
          </w:p>
        </w:tc>
        <w:tc>
          <w:tcPr>
            <w:tcW w:w="560" w:type="dxa"/>
            <w:vAlign w:val="bottom"/>
            <w:gridSpan w:val="2"/>
          </w:tcPr>
          <w:p>
            <w:pPr>
              <w:ind w:left="120"/>
              <w:spacing w:after="0" w:line="138" w:lineRule="exact"/>
              <w:rPr>
                <w:sz w:val="20"/>
                <w:szCs w:val="20"/>
                <w:color w:val="auto"/>
              </w:rPr>
            </w:pPr>
            <w:r>
              <w:rPr>
                <w:rFonts w:ascii="Arial" w:cs="Arial" w:eastAsia="Arial" w:hAnsi="Arial"/>
                <w:sz w:val="14"/>
                <w:szCs w:val="14"/>
                <w:color w:val="auto"/>
              </w:rPr>
              <w:t>L+575</w:t>
            </w:r>
          </w:p>
        </w:tc>
        <w:tc>
          <w:tcPr>
            <w:tcW w:w="94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8,750,000</w:t>
            </w:r>
          </w:p>
        </w:tc>
        <w:tc>
          <w:tcPr>
            <w:tcW w:w="72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8,750,000</w:t>
            </w:r>
          </w:p>
        </w:tc>
        <w:tc>
          <w:tcPr>
            <w:tcW w:w="9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8,019,375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9"/>
              </w:rPr>
              <w:t>Motion Pictures,</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9"/>
              </w:rPr>
              <w:t>Entertainment</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4"/>
                <w:szCs w:val="14"/>
                <w:b w:val="1"/>
                <w:bCs w:val="1"/>
                <w:color w:val="auto"/>
                <w:w w:val="86"/>
              </w:rPr>
              <w:t>Current</w:t>
            </w:r>
          </w:p>
        </w:tc>
        <w:tc>
          <w:tcPr>
            <w:tcW w:w="1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300" w:type="dxa"/>
            <w:vAlign w:val="bottom"/>
          </w:tcPr>
          <w:p>
            <w:pPr>
              <w:spacing w:after="0"/>
              <w:rPr>
                <w:sz w:val="11"/>
                <w:szCs w:val="11"/>
                <w:color w:val="auto"/>
              </w:rPr>
            </w:pPr>
          </w:p>
        </w:tc>
        <w:tc>
          <w:tcPr>
            <w:tcW w:w="70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rPr>
              <w:t>Par/</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w w:val="99"/>
              </w:rPr>
              <w:t>Maturity</w:t>
            </w:r>
          </w:p>
        </w:tc>
        <w:tc>
          <w:tcPr>
            <w:tcW w:w="640" w:type="dxa"/>
            <w:vAlign w:val="bottom"/>
          </w:tcPr>
          <w:p>
            <w:pPr>
              <w:spacing w:after="0"/>
              <w:rPr>
                <w:sz w:val="14"/>
                <w:szCs w:val="14"/>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Industry</w:t>
            </w:r>
          </w:p>
        </w:tc>
        <w:tc>
          <w:tcPr>
            <w:tcW w:w="460" w:type="dxa"/>
            <w:vAlign w:val="bottom"/>
          </w:tcPr>
          <w:p>
            <w:pPr>
              <w:spacing w:after="0"/>
              <w:rPr>
                <w:sz w:val="20"/>
                <w:szCs w:val="20"/>
                <w:color w:val="auto"/>
              </w:rPr>
            </w:pPr>
            <w:r>
              <w:rPr>
                <w:rFonts w:ascii="Arial" w:cs="Arial" w:eastAsia="Arial" w:hAnsi="Arial"/>
                <w:sz w:val="14"/>
                <w:szCs w:val="14"/>
                <w:b w:val="1"/>
                <w:bCs w:val="1"/>
                <w:color w:val="auto"/>
                <w:w w:val="83"/>
              </w:rPr>
              <w:t>Coupon</w:t>
            </w:r>
          </w:p>
        </w:tc>
        <w:tc>
          <w:tcPr>
            <w:tcW w:w="180" w:type="dxa"/>
            <w:vAlign w:val="bottom"/>
          </w:tcPr>
          <w:p>
            <w:pPr>
              <w:spacing w:after="0"/>
              <w:rPr>
                <w:sz w:val="14"/>
                <w:szCs w:val="14"/>
                <w:color w:val="auto"/>
              </w:rPr>
            </w:pPr>
          </w:p>
        </w:tc>
        <w:tc>
          <w:tcPr>
            <w:tcW w:w="48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3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tcPr>
          <w:p>
            <w:pPr>
              <w:spacing w:after="0"/>
              <w:rPr>
                <w:sz w:val="14"/>
                <w:szCs w:val="14"/>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76"/>
              </w:rPr>
              <w:t>Cost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right"/>
              <w:ind w:right="24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Equity/Partnership Interest—1.0%</w:t>
            </w:r>
            <w:r>
              <w:rPr>
                <w:rFonts w:ascii="Arial" w:cs="Arial" w:eastAsia="Arial" w:hAnsi="Arial"/>
                <w:sz w:val="17"/>
                <w:szCs w:val="17"/>
                <w:b w:val="1"/>
                <w:bCs w:val="1"/>
                <w:color w:val="auto"/>
                <w:vertAlign w:val="superscript"/>
              </w:rPr>
              <w:t>(7)</w:t>
            </w: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4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580" w:type="dxa"/>
            <w:vAlign w:val="bottom"/>
          </w:tcPr>
          <w:p>
            <w:pPr>
              <w:ind w:left="380"/>
              <w:spacing w:after="0" w:line="138"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460" w:type="dxa"/>
            <w:vAlign w:val="bottom"/>
          </w:tcPr>
          <w:p>
            <w:pPr>
              <w:ind w:left="26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480" w:type="dxa"/>
            <w:vAlign w:val="bottom"/>
          </w:tcPr>
          <w:p>
            <w:pPr>
              <w:ind w:left="280"/>
              <w:spacing w:after="0" w:line="138"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37,500</w:t>
            </w:r>
          </w:p>
        </w:tc>
        <w:tc>
          <w:tcPr>
            <w:tcW w:w="7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3,750,000</w:t>
            </w:r>
          </w:p>
        </w:tc>
        <w:tc>
          <w:tcPr>
            <w:tcW w:w="9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3,107,403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17,378,081</w:t>
            </w:r>
          </w:p>
        </w:tc>
        <w:tc>
          <w:tcPr>
            <w:tcW w:w="180" w:type="dxa"/>
            <w:vAlign w:val="bottom"/>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16,115,738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Investments—156.3%</w:t>
            </w: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7"/>
              </w:rPr>
              <w:t>497,287,886</w:t>
            </w:r>
          </w:p>
        </w:tc>
        <w:tc>
          <w:tcPr>
            <w:tcW w:w="180" w:type="dxa"/>
            <w:vAlign w:val="bottom"/>
          </w:tcPr>
          <w:p>
            <w:pPr>
              <w:spacing w:after="0"/>
              <w:rPr>
                <w:sz w:val="14"/>
                <w:szCs w:val="14"/>
                <w:color w:val="auto"/>
              </w:rPr>
            </w:pPr>
          </w:p>
        </w:tc>
        <w:tc>
          <w:tcPr>
            <w:tcW w:w="7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7"/>
              </w:rPr>
              <w:t>469,760,073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Equivalents—11.1%</w:t>
            </w: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33,247,666</w:t>
            </w: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33,247,666</w:t>
            </w:r>
          </w:p>
        </w:tc>
        <w:tc>
          <w:tcPr>
            <w:tcW w:w="180" w:type="dxa"/>
            <w:vAlign w:val="bottom"/>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33,247,666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Equivalents—167.4%</w:t>
            </w: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530,535,552</w:t>
            </w:r>
          </w:p>
        </w:tc>
        <w:tc>
          <w:tcPr>
            <w:tcW w:w="960" w:type="dxa"/>
            <w:vAlign w:val="bottom"/>
            <w:gridSpan w:val="4"/>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503,007,739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Assets—(67.4%)</w:t>
            </w: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5"/>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(202,427,471)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300,580,268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6636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ind w:left="340" w:hanging="332"/>
        <w:spacing w:after="0"/>
        <w:tabs>
          <w:tab w:leader="none" w:pos="34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2010</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Except where the context suggests otherwise, the terms “we,” “us,” “our” or “PennantPark Investment” refer to PennantPark Investment Corporation.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 is a closed-end, externally managed, non-diversified investment company that has elected to be treated as a business development company (“BDC”), under the Investment Company Act of 1940 (the “1940 Act”). PennantPark Investment’s objective is to generate both current income and capital appreciation through debt and equity investments. PennantPark Investment invests primarily in U.S. middle-market companies in the form of senior secured loans, mezzanine debt and equity investments.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April 24, 2007, PennantPark Investment closed its initial public offering and its common stock trades on the NASDAQ Global Select Market under the symbol “PNNT”. We are externally managed by PennantPark Investment Advisers, LLC (the “Investment Adviser” or “PennantPark Investment Advisers”). PennantPark Investment Administration, LLC (the “Administrator” or “PennantPark Investment Administration”) provides the administrative services necessary for us to operate.</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PennantPark SBIC LP (the “SBIC LP” or “our SBIC”) and its general partner, PennantPark SBIC GP, LLC (the “SBIC GP”), were organized in Delaware as a limited partnership and a limited liability company, respectively, on May 7, 2010 and began operations on June 11, 2010. SBIC LP received a license from the Small Business Administration (“SBA”) to operate as a Small Business Investment Company (“SBIC”) effective July 30, 2010 under Section 301(c) of the Small Business Investment Act of 1958 (the “1958 Act”). Both SBIC LP and SBIC GP (the “Subsidiaries”) are consolidated wholly owned subsidiaries of PennantPark Investment. The SBIC LP’s objective is to generate both current income and capital appreciation through debt and equity investments. SBIC LP, generally, invests with us in SBA eligible businesses that meet the investment criteria used by PennantPark Investment. See Note 13 for subsequent events regarding SBIC LP.</w:t>
      </w:r>
    </w:p>
    <w:p>
      <w:pPr>
        <w:spacing w:after="0" w:line="14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PennantPark Investment completed its initial public offering of common stock in 2007 and issued 21.0 million shares raising $294.1 million in net proceeds. For the year ended September 30, 2009, we sold 4.3 million shares of common stock through a follow-on public offering at a price less than the then current net asset value, resulting in net proceeds of $32.5 million. For the year ended September 30, 2010, we sold 10.8 million shares of common stock through follow-on public offerings at a price less than the then current net asset value, resulting in net proceeds of $101.7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7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 of PennantPark Investment’s and its Subsidiaries’ assets and liabilities at the date of the consolidated financial statements and the reported amounts of income and expenses during the reported period. Actual results could differ from these estimates. Certain prior period amounts have been reclassified to conform to current period presentation. All intercompany balances and transactions have been eliminated. References to the Accounting Standards Codification (“ASC”), serve as a single source of accounting literature and are not intended to change accounting literature. Subsequent events are evaluated and disclosed as appropriate for events occurring subsequently through the date the consolidated financial statements are issued.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consolidated financial statements are prepared in accordance with GAAP and pursuant to the requirements for reporting on Form 10-K and Article 6 or 10 of Regulation S-X, as appropriate. In accordance with Article 6-09 of Regulation S-X under the Exchange Act, we are providing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and its Subsidiaries are:</w:t>
      </w:r>
    </w:p>
    <w:p>
      <w:pPr>
        <w:spacing w:after="0" w:line="293" w:lineRule="exact"/>
        <w:rPr>
          <w:sz w:val="20"/>
          <w:szCs w:val="20"/>
          <w:color w:val="auto"/>
        </w:rPr>
      </w:pPr>
    </w:p>
    <w:p>
      <w:pPr>
        <w:ind w:left="1480" w:hanging="567"/>
        <w:spacing w:after="0"/>
        <w:tabs>
          <w:tab w:leader="none" w:pos="1480" w:val="left"/>
        </w:tabs>
        <w:numPr>
          <w:ilvl w:val="0"/>
          <w:numId w:val="10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 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consolidated financial statements.</w:t>
      </w:r>
    </w:p>
    <w:p>
      <w:pPr>
        <w:spacing w:after="0" w:line="12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262" w:lineRule="exact"/>
        <w:rPr>
          <w:sz w:val="20"/>
          <w:szCs w:val="20"/>
          <w:color w:val="auto"/>
        </w:rPr>
      </w:pPr>
    </w:p>
    <w:p>
      <w:pPr>
        <w:ind w:left="1480" w:hanging="567"/>
        <w:spacing w:after="0"/>
        <w:tabs>
          <w:tab w:leader="none" w:pos="1480" w:val="left"/>
        </w:tabs>
        <w:numPr>
          <w:ilvl w:val="0"/>
          <w:numId w:val="1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payment-in-kind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and deferred financing costs are capitalized, and we then accrete or amortize such amounts using the effective interest method as interest income or interest expense as it relates to our deferred financing costs. We record prepayment premiums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34" w:lineRule="exact"/>
        <w:rPr>
          <w:sz w:val="20"/>
          <w:szCs w:val="20"/>
          <w:color w:val="auto"/>
        </w:rPr>
      </w:pPr>
    </w:p>
    <w:p>
      <w:pPr>
        <w:ind w:left="1480" w:hanging="567"/>
        <w:spacing w:after="0"/>
        <w:tabs>
          <w:tab w:leader="none" w:pos="1480" w:val="left"/>
        </w:tabs>
        <w:numPr>
          <w:ilvl w:val="0"/>
          <w:numId w:val="1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Since May 1, 2007, PennantPark Investment has complied with the requirements of Subchapter M of the Internal Revenue Code of 1986, as amended, (the “Code”) and expects to be subject to tax as a regulated investment company (“RIC”). As a RIC, PennantPark Investment accounts for income taxes using the asset liability method prescribed by ASC 740,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taxes in the future. Although we are subject to tax as a RIC, we have elected to retain a portion of our calendar year income and pay an excise tax of $0.1 million for the fiscal year ended September 30, 2010. 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inception-to-date federal tax years remain subject to examination by the Internal Revenue Service.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Book and tax basis differences relating to permanent book and tax differences are reclassified among PennantPark Investment’s capital accounts, as appropriate. Additionally, the character of income and gain distributions are determined in accordance with income tax regulations that may differ from accounting principles generally accepted in the United States of America. See Note 8 to the consolidated financial statements.</w:t>
      </w:r>
    </w:p>
    <w:p>
      <w:pPr>
        <w:spacing w:after="0" w:line="228" w:lineRule="exact"/>
        <w:rPr>
          <w:sz w:val="20"/>
          <w:szCs w:val="20"/>
          <w:color w:val="auto"/>
        </w:rPr>
      </w:pPr>
    </w:p>
    <w:p>
      <w:pPr>
        <w:ind w:left="1480" w:hanging="567"/>
        <w:spacing w:after="0"/>
        <w:tabs>
          <w:tab w:leader="none" w:pos="1480" w:val="left"/>
        </w:tabs>
        <w:numPr>
          <w:ilvl w:val="0"/>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54" w:lineRule="exact"/>
        <w:rPr>
          <w:sz w:val="20"/>
          <w:szCs w:val="20"/>
          <w:color w:val="auto"/>
        </w:rPr>
      </w:pPr>
    </w:p>
    <w:p>
      <w:pPr>
        <w:ind w:left="1480" w:hanging="567"/>
        <w:spacing w:after="0"/>
        <w:tabs>
          <w:tab w:leader="none" w:pos="1480" w:val="left"/>
        </w:tabs>
        <w:numPr>
          <w:ilvl w:val="0"/>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As permitted under Regulation S-X and the AICPA Audit and Accounting Guide for Investment Companies, PennantPark Investment will generally not consolidate its investment in a company other than an investment company subsidiary or a controlled operating company whose business consists of providing services to us. Accordingly, we have consolidated the results of the Subsidiaries in our consolidated financial statements.</w:t>
      </w:r>
    </w:p>
    <w:p>
      <w:pPr>
        <w:spacing w:after="0" w:line="228" w:lineRule="exact"/>
        <w:rPr>
          <w:sz w:val="20"/>
          <w:szCs w:val="20"/>
          <w:color w:val="auto"/>
        </w:rPr>
      </w:pPr>
    </w:p>
    <w:p>
      <w:pPr>
        <w:ind w:left="1480" w:hanging="567"/>
        <w:spacing w:after="0"/>
        <w:tabs>
          <w:tab w:leader="none" w:pos="1480" w:val="left"/>
        </w:tabs>
        <w:numPr>
          <w:ilvl w:val="0"/>
          <w:numId w:val="1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Pronouncements and Accounting Standards Updates (“ASU”)</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January 2010, the FASB issued ASU 2010-06, Fair Value Measurements and Disclosures, to clarify and amend ASC 820-10. In particular, it requires additional disclosures with regards to transfers into and out of Levels 1 and 2. It also requires that entities disclose on a gross basis purchases, sales, issuances, and settlements within the Level 3 fair value roll-forward. ASU 2010-06 also clarifies existing fair value disclosures about the level of disaggregation as well as inputs and valuation techniques for both recurring and nonrecurring fair value measurements that fall into Level 2 or 3. The new disclosures and clarifications of existing disclosures are effective for interim and annual reporting periods beginning after December 15, 2009, except for the disclosures about purchases, sales and settlements in the roll-forward of activity in Level 3 fair value measurements, which are effective for fiscal years beginning after December 15, 2010, and for interim periods within those fiscal years. The adoption of the additional disclosure requirements of ASU 2010-06 did not materially impact our consolidated financial statements. The disclosures regarding the disaggregation of purchases, sales and settlements in the roll-forward of activity in Level 3 fair value measurements is not expected to have a material impact on our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which was re-approved by our board of directors, including a majority of our directors who are not interested persons of PennantPark Investment in February 2010. Under this agreement the Investment Adviser, subject to the overall supervision of PennantPark Investment’s board of directors, manages the day-to-day operations of and provides investment advisory services to, PennantPark Investment. PennantPark Investment, through the Investment Adviser, manages day-to-day operations of and provides investment advisory services to SBIC LP under its investment management agreement. The SBIC LP investment management agreement does not affect the management or incentive fees of PennantPark Investment. For providing these services, the Investment Adviser receives a fee from PennantPark Investment, consisting of two components—a base management fee and an incentive fee (collectively, “Management Fees”).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360"/>
          </w:cols>
          <w:pgMar w:left="240" w:top="460" w:right="2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credit facility or “average adjusted gross assets”, if any, see Note 11). Although the base management fee is 2.00% of our average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been 2.00% since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fiscal years ended September 30, 2010, 2009 and 2008, the Investment Adviser earned a net base management fee of $11.6 million, $7.7 million and $6.7 million, respectively, from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2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fiscal years ended September 30, 2010, 2009 and 2008, the Investment Adviser received an incentive fee of $8.0 million, $5.7 million and $3.8 million, respectively, from us.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PennantPark Investment has also entered into an Administration Agreement with the Administrator, which was reapproved by our board of directors including a majority of our directors who are not interested persons of PennantPark Investment in February 2010. Under this agreement PennantPark Investment Administration provides administrative services for PennantPark Investment. PennantPark Investment, through the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80"/>
          </w:cols>
          <w:pgMar w:left="240" w:top="459" w:right="2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Administrator, provides similar services to SBIC LP under its administration agreement with us.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statement of operations. For the fiscal years ended September 30, 2010, 2009 and 2008, the Investment Adviser and Administrator, collectively, were reimbursed $2.1 million, $1.7 million and $2.0 million, respectively, from us, including expenses it incurred on behalf of the Administrator, for services described above.</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PennantPark Investment entered into an administration agreement with its controlled affiliate, SuttonPark Holdings, Inc. and its subsidiaries (“SPH”). Under the administration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their respective staffs. For the fiscal year ended September 30, 2010, the PennantPark Investment was reimbursed $0.1 million, for the services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Purchases of long-term investments including PIK for the fiscal years ended September 30, 2010, 2009 and 2008 totaled $315.8 million, $117.4 million and $209.2 million, respectively. Sales and repayments of long-term investments for the fiscal years ended September 30, 2010, 2009 and 2008 totaled $145.2 million, $28.0 million and $70.1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00" w:type="dxa"/>
            <w:vAlign w:val="bottom"/>
            <w:gridSpan w:val="3"/>
          </w:tcPr>
          <w:p>
            <w:pPr>
              <w:jc w:val="right"/>
              <w:ind w:right="595"/>
              <w:spacing w:after="0"/>
              <w:rPr>
                <w:sz w:val="20"/>
                <w:szCs w:val="20"/>
                <w:color w:val="auto"/>
              </w:rPr>
            </w:pPr>
            <w:r>
              <w:rPr>
                <w:rFonts w:ascii="Arial" w:cs="Arial" w:eastAsia="Arial" w:hAnsi="Arial"/>
                <w:sz w:val="14"/>
                <w:szCs w:val="14"/>
                <w:b w:val="1"/>
                <w:bCs w:val="1"/>
                <w:color w:val="auto"/>
              </w:rPr>
              <w:t>September 30, 2010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2009</w:t>
            </w: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326"/>
              <w:spacing w:after="0" w:line="142"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3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$ 236,707,418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$ 234,595,683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164,863,868</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150,607,490</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Second lien</w:t>
            </w:r>
          </w:p>
        </w:tc>
        <w:tc>
          <w:tcPr>
            <w:tcW w:w="3260" w:type="dxa"/>
            <w:vAlign w:val="bottom"/>
            <w:gridSpan w:val="3"/>
          </w:tcPr>
          <w:p>
            <w:pPr>
              <w:jc w:val="right"/>
              <w:ind w:right="420"/>
              <w:spacing w:after="0"/>
              <w:rPr>
                <w:sz w:val="20"/>
                <w:szCs w:val="20"/>
                <w:color w:val="auto"/>
              </w:rPr>
            </w:pPr>
            <w:r>
              <w:rPr>
                <w:rFonts w:ascii="Arial" w:cs="Arial" w:eastAsia="Arial" w:hAnsi="Arial"/>
                <w:sz w:val="18"/>
                <w:szCs w:val="18"/>
                <w:color w:val="auto"/>
              </w:rPr>
              <w:t>159,611,934</w:t>
            </w:r>
          </w:p>
        </w:tc>
        <w:tc>
          <w:tcPr>
            <w:tcW w:w="1040" w:type="dxa"/>
            <w:vAlign w:val="bottom"/>
          </w:tcPr>
          <w:p>
            <w:pPr>
              <w:jc w:val="right"/>
              <w:spacing w:after="0"/>
              <w:rPr>
                <w:sz w:val="20"/>
                <w:szCs w:val="20"/>
                <w:color w:val="auto"/>
              </w:rPr>
            </w:pPr>
            <w:r>
              <w:rPr>
                <w:rFonts w:ascii="Arial" w:cs="Arial" w:eastAsia="Arial" w:hAnsi="Arial"/>
                <w:sz w:val="18"/>
                <w:szCs w:val="18"/>
                <w:color w:val="auto"/>
              </w:rPr>
              <w:t>156,671,151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152,321,496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134,401,542</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3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220,149,211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223,969,304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158,139,903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157,119,017</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Preferred equity</w:t>
            </w:r>
          </w:p>
        </w:tc>
        <w:tc>
          <w:tcPr>
            <w:tcW w:w="3260" w:type="dxa"/>
            <w:vAlign w:val="bottom"/>
            <w:gridSpan w:val="3"/>
          </w:tcPr>
          <w:p>
            <w:pPr>
              <w:jc w:val="right"/>
              <w:ind w:right="420"/>
              <w:spacing w:after="0"/>
              <w:rPr>
                <w:sz w:val="20"/>
                <w:szCs w:val="20"/>
                <w:color w:val="auto"/>
              </w:rPr>
            </w:pPr>
            <w:r>
              <w:rPr>
                <w:rFonts w:ascii="Arial" w:cs="Arial" w:eastAsia="Arial" w:hAnsi="Arial"/>
                <w:sz w:val="18"/>
                <w:szCs w:val="18"/>
                <w:color w:val="auto"/>
              </w:rPr>
              <w:t>11,894,692</w:t>
            </w:r>
          </w:p>
        </w:tc>
        <w:tc>
          <w:tcPr>
            <w:tcW w:w="1040" w:type="dxa"/>
            <w:vAlign w:val="bottom"/>
          </w:tcPr>
          <w:p>
            <w:pPr>
              <w:jc w:val="right"/>
              <w:spacing w:after="0"/>
              <w:rPr>
                <w:sz w:val="20"/>
                <w:szCs w:val="20"/>
                <w:color w:val="auto"/>
              </w:rPr>
            </w:pPr>
            <w:r>
              <w:rPr>
                <w:rFonts w:ascii="Arial" w:cs="Arial" w:eastAsia="Arial" w:hAnsi="Arial"/>
                <w:sz w:val="18"/>
                <w:szCs w:val="18"/>
                <w:color w:val="auto"/>
              </w:rPr>
              <w:t>9,271,682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9,750,317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10,934,053</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3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28,345,248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40,216,586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12,212,302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16,697,971</w:t>
            </w: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Cash equivalents</w:t>
            </w:r>
          </w:p>
        </w:tc>
        <w:tc>
          <w:tcPr>
            <w:tcW w:w="18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1,814,451</w:t>
            </w:r>
          </w:p>
        </w:tc>
        <w:tc>
          <w:tcPr>
            <w:tcW w:w="4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1,814,451</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33,247,666</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$ 658,522,954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$ 666,538,857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530,535,552</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503,007,739</w:t>
            </w: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60" w:type="dxa"/>
            <w:vAlign w:val="bottom"/>
            <w:gridSpan w:val="3"/>
          </w:tcPr>
          <w:p>
            <w:pPr>
              <w:ind w:left="1520"/>
              <w:spacing w:after="0"/>
              <w:rPr>
                <w:sz w:val="20"/>
                <w:szCs w:val="20"/>
                <w:color w:val="auto"/>
              </w:rPr>
            </w:pPr>
            <w:r>
              <w:rPr>
                <w:rFonts w:ascii="Arial" w:cs="Arial" w:eastAsia="Arial" w:hAnsi="Arial"/>
                <w:sz w:val="18"/>
                <w:szCs w:val="18"/>
                <w:color w:val="auto"/>
              </w:rPr>
              <w:t>F-48</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2010 and September 30, 2009.</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gridSpan w:val="3"/>
            <w:vMerge w:val="continue"/>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880" w:type="dxa"/>
            <w:vAlign w:val="bottom"/>
          </w:tcPr>
          <w:p>
            <w:pPr>
              <w:spacing w:after="0"/>
              <w:rPr>
                <w:sz w:val="12"/>
                <w:szCs w:val="12"/>
                <w:color w:val="auto"/>
              </w:rPr>
            </w:pPr>
          </w:p>
        </w:tc>
        <w:tc>
          <w:tcPr>
            <w:tcW w:w="40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1"/>
              </w:rPr>
              <w:t>Business Services</w:t>
            </w:r>
          </w:p>
        </w:tc>
        <w:tc>
          <w:tcPr>
            <w:tcW w:w="54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Home and Office Furnishings, Housewares, and Durable Consumer Products</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8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Diversified/Conglomerate Services</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8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Grocery</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Leisure, Amusement, Motion Picture, Entertainment</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Logistics</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1260" w:type="dxa"/>
            <w:vAlign w:val="bottom"/>
            <w:tcBorders>
              <w:right w:val="single" w:sz="8" w:color="CCEEFF"/>
            </w:tcBorders>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126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20" w:type="dxa"/>
            <w:vAlign w:val="bottom"/>
            <w:gridSpan w:val="3"/>
          </w:tcPr>
          <w:p>
            <w:pPr>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spacing w:after="0"/>
              <w:rPr>
                <w:sz w:val="20"/>
                <w:szCs w:val="20"/>
                <w:color w:val="auto"/>
              </w:rPr>
            </w:pPr>
            <w:r>
              <w:rPr>
                <w:rFonts w:ascii="Arial" w:cs="Arial" w:eastAsia="Arial" w:hAnsi="Arial"/>
                <w:sz w:val="18"/>
                <w:szCs w:val="18"/>
                <w:color w:val="auto"/>
              </w:rPr>
              <w:t>100</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Effective October 1, 2008, we adopted ASC 820, Fair Value Measurements for all financial instruments. We realized no gain or loss as a result of the adoption of ASC 820. 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in the circumstances.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long-term credit facility are classified as Level 3.</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September 30, 2010 and 2009, our cash and cash equivalents, investments and our long-term credit facility were categorized as listed below in the fair value hierarchy for ASC 820 purposes. Please refer to the paragraphs preceding this sentence for information regarding Levels 1 through 3 within the fair value hierarchy.</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0"/>
              </w:rPr>
              <w:t>Fair Value Measurements using at September 30, 2010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Fair Value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Level 1</w:t>
            </w:r>
          </w:p>
        </w:tc>
        <w:tc>
          <w:tcPr>
            <w:tcW w:w="76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104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$ 615,236,138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0"/>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$ 615,236,138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8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49,488,268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4,350,440</w:t>
            </w:r>
          </w:p>
        </w:tc>
        <w:tc>
          <w:tcPr>
            <w:tcW w:w="760" w:type="dxa"/>
            <w:vAlign w:val="bottom"/>
          </w:tcPr>
          <w:p>
            <w:pPr>
              <w:spacing w:after="0"/>
              <w:rPr>
                <w:sz w:val="18"/>
                <w:szCs w:val="18"/>
                <w:color w:val="auto"/>
              </w:rPr>
            </w:pPr>
          </w:p>
        </w:tc>
        <w:tc>
          <w:tcPr>
            <w:tcW w:w="11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45,137,828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8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664,724,406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4,350,440</w:t>
            </w:r>
          </w:p>
        </w:tc>
        <w:tc>
          <w:tcPr>
            <w:tcW w:w="7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660,373,966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1,814,451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1,814,451</w:t>
            </w:r>
          </w:p>
        </w:tc>
        <w:tc>
          <w:tcPr>
            <w:tcW w:w="760" w:type="dxa"/>
            <w:vAlign w:val="bottom"/>
          </w:tcPr>
          <w:p>
            <w:pPr>
              <w:spacing w:after="0"/>
              <w:rPr>
                <w:sz w:val="18"/>
                <w:szCs w:val="18"/>
                <w:color w:val="auto"/>
              </w:rPr>
            </w:pPr>
          </w:p>
        </w:tc>
        <w:tc>
          <w:tcPr>
            <w:tcW w:w="11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8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666,538,857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6,164,891</w:t>
            </w:r>
          </w:p>
        </w:tc>
        <w:tc>
          <w:tcPr>
            <w:tcW w:w="7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660,373,966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2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(213,941,125)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160" w:type="dxa"/>
            <w:vAlign w:val="bottom"/>
            <w:gridSpan w:val="2"/>
          </w:tcPr>
          <w:p>
            <w:pPr>
              <w:jc w:val="right"/>
              <w:ind w:right="840"/>
              <w:spacing w:after="0"/>
              <w:rPr>
                <w:sz w:val="20"/>
                <w:szCs w:val="20"/>
                <w:color w:val="auto"/>
              </w:rPr>
            </w:pPr>
            <w:r>
              <w:rPr>
                <w:rFonts w:ascii="Arial" w:cs="Arial" w:eastAsia="Arial" w:hAnsi="Arial"/>
                <w:sz w:val="18"/>
                <w:szCs w:val="18"/>
                <w:color w:val="auto"/>
                <w:w w:val="90"/>
              </w:rPr>
              <w:t>$ —</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(213,941,125)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0"/>
              </w:rPr>
              <w:t>Fair Value Measurements using at September 30, 2009</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2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Fair Value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Level 1</w:t>
            </w:r>
          </w:p>
        </w:tc>
        <w:tc>
          <w:tcPr>
            <w:tcW w:w="76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104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$ 442,128,049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0"/>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$ 442,128,049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8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27,632,024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1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27,632,024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8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469,760,073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33,247,666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33,247,666</w:t>
            </w:r>
          </w:p>
        </w:tc>
        <w:tc>
          <w:tcPr>
            <w:tcW w:w="760" w:type="dxa"/>
            <w:vAlign w:val="bottom"/>
          </w:tcPr>
          <w:p>
            <w:pPr>
              <w:spacing w:after="0"/>
              <w:rPr>
                <w:sz w:val="18"/>
                <w:szCs w:val="18"/>
                <w:color w:val="auto"/>
              </w:rPr>
            </w:pPr>
          </w:p>
        </w:tc>
        <w:tc>
          <w:tcPr>
            <w:tcW w:w="11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8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503,007,739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33,247,666</w:t>
            </w:r>
          </w:p>
        </w:tc>
        <w:tc>
          <w:tcPr>
            <w:tcW w:w="7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2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(168,475,380)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160" w:type="dxa"/>
            <w:vAlign w:val="bottom"/>
            <w:gridSpan w:val="2"/>
          </w:tcPr>
          <w:p>
            <w:pPr>
              <w:jc w:val="right"/>
              <w:ind w:right="840"/>
              <w:spacing w:after="0"/>
              <w:rPr>
                <w:sz w:val="20"/>
                <w:szCs w:val="20"/>
                <w:color w:val="auto"/>
              </w:rPr>
            </w:pPr>
            <w:r>
              <w:rPr>
                <w:rFonts w:ascii="Arial" w:cs="Arial" w:eastAsia="Arial" w:hAnsi="Arial"/>
                <w:sz w:val="18"/>
                <w:szCs w:val="18"/>
                <w:color w:val="auto"/>
                <w:w w:val="90"/>
              </w:rPr>
              <w:t>$ —</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(168,475,380)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F-51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 for the years ended September 30, 2010 and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5"/>
              </w:rPr>
              <w:t>Year ended September 30, 2010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Loan and debt</w:t>
            </w:r>
          </w:p>
        </w:tc>
        <w:tc>
          <w:tcPr>
            <w:tcW w:w="460" w:type="dxa"/>
            <w:vAlign w:val="bottom"/>
          </w:tcPr>
          <w:p>
            <w:pPr>
              <w:spacing w:after="0"/>
              <w:rPr>
                <w:sz w:val="11"/>
                <w:szCs w:val="11"/>
                <w:color w:val="auto"/>
              </w:rPr>
            </w:pPr>
          </w:p>
        </w:tc>
        <w:tc>
          <w:tcPr>
            <w:tcW w:w="142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1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investments</w:t>
            </w:r>
          </w:p>
        </w:tc>
        <w:tc>
          <w:tcPr>
            <w:tcW w:w="46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investments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442,128,049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$ 27,632,024</w:t>
            </w: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469,760,073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Realized (losses)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(12,411,934)</w:t>
            </w:r>
          </w:p>
        </w:tc>
        <w:tc>
          <w:tcPr>
            <w:tcW w:w="1880" w:type="dxa"/>
            <w:vAlign w:val="bottom"/>
            <w:gridSpan w:val="3"/>
          </w:tcPr>
          <w:p>
            <w:pPr>
              <w:jc w:val="right"/>
              <w:ind w:right="460"/>
              <w:spacing w:after="0"/>
              <w:rPr>
                <w:sz w:val="20"/>
                <w:szCs w:val="20"/>
                <w:color w:val="auto"/>
              </w:rPr>
            </w:pPr>
            <w:r>
              <w:rPr>
                <w:rFonts w:ascii="Arial" w:cs="Arial" w:eastAsia="Arial" w:hAnsi="Arial"/>
                <w:sz w:val="18"/>
                <w:szCs w:val="18"/>
                <w:color w:val="auto"/>
              </w:rPr>
              <w:t>(3,005,163)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(15,417,097)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31,964,795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1,693,480</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33,658,275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304,625,814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12,984,260</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317,610,074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(138,765,449)</w:t>
            </w:r>
          </w:p>
        </w:tc>
        <w:tc>
          <w:tcPr>
            <w:tcW w:w="18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(6,922)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(138,772,371)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Non-cash exchanges, including settled delayed draws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(12,305,137)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5,840,149</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(6,464,988)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gridSpan w:val="3"/>
          </w:tcPr>
          <w:p>
            <w:pPr>
              <w:spacing w:after="0"/>
              <w:rPr>
                <w:sz w:val="20"/>
                <w:szCs w:val="20"/>
                <w:color w:val="auto"/>
              </w:rPr>
            </w:pPr>
            <w:r>
              <w:rPr>
                <w:rFonts w:ascii="Arial" w:cs="Arial" w:eastAsia="Arial" w:hAnsi="Arial"/>
                <w:sz w:val="18"/>
                <w:szCs w:val="18"/>
                <w:color w:val="auto"/>
              </w:rPr>
              <w:t>Ending Balance, September 30, 2010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615,236,138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45,137,828</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660,373,966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4"/>
              </w:rPr>
              <w:t>Net change in unrealized appreciation (depreciation) for the period above within the net change</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 unrealized appreciation on investments in our consolidated statement of operations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15,408,002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(1,311,683)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14,096,319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5"/>
              </w:rPr>
              <w:t>Year ended September 30, 2009</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Loan and debt</w:t>
            </w:r>
          </w:p>
        </w:tc>
        <w:tc>
          <w:tcPr>
            <w:tcW w:w="460" w:type="dxa"/>
            <w:vAlign w:val="bottom"/>
          </w:tcPr>
          <w:p>
            <w:pPr>
              <w:spacing w:after="0"/>
              <w:rPr>
                <w:sz w:val="11"/>
                <w:szCs w:val="11"/>
                <w:color w:val="auto"/>
              </w:rPr>
            </w:pPr>
          </w:p>
        </w:tc>
        <w:tc>
          <w:tcPr>
            <w:tcW w:w="142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1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investments</w:t>
            </w:r>
          </w:p>
        </w:tc>
        <w:tc>
          <w:tcPr>
            <w:tcW w:w="46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investments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349,260,104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$ 22,887,716</w:t>
            </w: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372,147,820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Realized (losses)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(39,243,879)</w:t>
            </w:r>
          </w:p>
        </w:tc>
        <w:tc>
          <w:tcPr>
            <w:tcW w:w="46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(39,243,879)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(depreciation)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42,008,505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2,489,868</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44,498,373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118,059,327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2,254,440</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120,313,767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(27,956,008)</w:t>
            </w: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(27,956,008)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Transfers in and /or out of Level 3</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442,128,049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$ 27,632,024</w:t>
            </w: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469,760,073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8"/>
                <w:szCs w:val="18"/>
                <w:color w:val="auto"/>
                <w:w w:val="95"/>
              </w:rPr>
              <w:t>Net change in unrealized depreciation for the period above within the net change in unrealized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1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w w:val="94"/>
              </w:rPr>
              <w:t>depreciation on investments in our statement of operations attributable to our Level 3 assets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still held at the reporting date: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30,141,081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$ 2,489,868</w:t>
            </w:r>
          </w:p>
        </w:tc>
        <w:tc>
          <w:tcPr>
            <w:tcW w:w="5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32,630,949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vMerge w:val="restart"/>
          </w:tcPr>
          <w:p>
            <w:pPr>
              <w:ind w:left="4820"/>
              <w:spacing w:after="0"/>
              <w:rPr>
                <w:sz w:val="20"/>
                <w:szCs w:val="20"/>
                <w:color w:val="auto"/>
              </w:rPr>
            </w:pPr>
            <w:r>
              <w:rPr>
                <w:rFonts w:ascii="Arial" w:cs="Arial" w:eastAsia="Arial" w:hAnsi="Arial"/>
                <w:sz w:val="18"/>
                <w:szCs w:val="18"/>
                <w:color w:val="auto"/>
              </w:rPr>
              <w:t>F-52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 for the fiscal years ended September 30, 2010 and 2009.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September 30,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Long-Term Credit Facility</w:t>
            </w:r>
          </w:p>
        </w:tc>
        <w:tc>
          <w:tcPr>
            <w:tcW w:w="6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2009 (Cost—$218,100,000)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168,475,380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gridSpan w:val="2"/>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35,665,745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177,700,000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gridSpan w:val="2"/>
          </w:tcPr>
          <w:p>
            <w:pPr>
              <w:ind w:left="440"/>
              <w:spacing w:after="0"/>
              <w:rPr>
                <w:sz w:val="20"/>
                <w:szCs w:val="20"/>
                <w:color w:val="auto"/>
              </w:rPr>
            </w:pPr>
            <w:r>
              <w:rPr>
                <w:rFonts w:ascii="Arial" w:cs="Arial" w:eastAsia="Arial" w:hAnsi="Arial"/>
                <w:sz w:val="18"/>
                <w:szCs w:val="18"/>
                <w:color w:val="auto"/>
              </w:rPr>
              <w:t>Repayments</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(167,900,000)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Ending balance of long-term credit facility at fair value,</w:t>
            </w: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20" w:type="dxa"/>
            <w:vAlign w:val="bottom"/>
          </w:tcPr>
          <w:p>
            <w:pPr>
              <w:spacing w:after="0"/>
              <w:rPr>
                <w:sz w:val="20"/>
                <w:szCs w:val="20"/>
                <w:color w:val="auto"/>
              </w:rPr>
            </w:pPr>
          </w:p>
        </w:tc>
        <w:tc>
          <w:tcPr>
            <w:tcW w:w="8420" w:type="dxa"/>
            <w:vAlign w:val="bottom"/>
            <w:gridSpan w:val="2"/>
          </w:tcPr>
          <w:p>
            <w:pPr>
              <w:ind w:left="220"/>
              <w:spacing w:after="0"/>
              <w:rPr>
                <w:sz w:val="20"/>
                <w:szCs w:val="20"/>
                <w:color w:val="auto"/>
              </w:rPr>
            </w:pPr>
            <w:r>
              <w:rPr>
                <w:rFonts w:ascii="Arial" w:cs="Arial" w:eastAsia="Arial" w:hAnsi="Arial"/>
                <w:sz w:val="18"/>
                <w:szCs w:val="18"/>
                <w:color w:val="auto"/>
              </w:rPr>
              <w:t>(Cost—$227,900,000)</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213,941,125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Temporary draw outstanding, at cost</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Total credit facility, September 30, 2010 (Cost—$233,100,000)</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219,141,125</w:t>
            </w:r>
          </w:p>
        </w:tc>
        <w:tc>
          <w:tcPr>
            <w:tcW w:w="0" w:type="dxa"/>
            <w:vAlign w:val="bottom"/>
          </w:tcPr>
          <w:p>
            <w:pPr>
              <w:spacing w:after="0"/>
              <w:rPr>
                <w:sz w:val="1"/>
                <w:szCs w:val="1"/>
                <w:color w:val="auto"/>
              </w:rPr>
            </w:pPr>
          </w:p>
        </w:tc>
      </w:tr>
      <w:tr>
        <w:trPr>
          <w:trHeight w:val="20"/>
        </w:trPr>
        <w:tc>
          <w:tcPr>
            <w:tcW w:w="9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3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Long-Term Credit Facility</w:t>
            </w:r>
          </w:p>
        </w:tc>
        <w:tc>
          <w:tcPr>
            <w:tcW w:w="6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 (Cost—$162,000,000)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162,000,000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gridSpan w:val="2"/>
          </w:tcPr>
          <w:p>
            <w:pPr>
              <w:ind w:left="440"/>
              <w:spacing w:after="0"/>
              <w:rPr>
                <w:sz w:val="20"/>
                <w:szCs w:val="20"/>
                <w:color w:val="auto"/>
              </w:rPr>
            </w:pPr>
            <w:r>
              <w:rPr>
                <w:rFonts w:ascii="Arial" w:cs="Arial" w:eastAsia="Arial" w:hAnsi="Arial"/>
                <w:sz w:val="18"/>
                <w:szCs w:val="18"/>
                <w:color w:val="auto"/>
              </w:rPr>
              <w:t>Cumulative effect of adoption of fair value option</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(41,796,000)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unrealized (depreciation) included in earnings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(7,828,620)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gridSpan w:val="2"/>
          </w:tcPr>
          <w:p>
            <w:pPr>
              <w:ind w:left="440"/>
              <w:spacing w:after="0"/>
              <w:rPr>
                <w:sz w:val="20"/>
                <w:szCs w:val="20"/>
                <w:color w:val="auto"/>
              </w:rPr>
            </w:pPr>
            <w:r>
              <w:rPr>
                <w:rFonts w:ascii="Arial" w:cs="Arial" w:eastAsia="Arial" w:hAnsi="Arial"/>
                <w:sz w:val="18"/>
                <w:szCs w:val="18"/>
                <w:color w:val="auto"/>
              </w:rPr>
              <w:t>Borrowings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108,200,000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Repayments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(52,100,000)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420" w:type="dxa"/>
            <w:vAlign w:val="bottom"/>
            <w:gridSpan w:val="2"/>
          </w:tcPr>
          <w:p>
            <w:pPr>
              <w:ind w:left="440"/>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of long-term credit facility at fair value,</w:t>
            </w: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8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(Cost—$218,100,000)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168,475,380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gridSpan w:val="2"/>
          </w:tcPr>
          <w:p>
            <w:pPr>
              <w:ind w:left="440"/>
              <w:spacing w:after="0"/>
              <w:rPr>
                <w:sz w:val="20"/>
                <w:szCs w:val="20"/>
                <w:color w:val="auto"/>
              </w:rPr>
            </w:pPr>
            <w:r>
              <w:rPr>
                <w:rFonts w:ascii="Arial" w:cs="Arial" w:eastAsia="Arial" w:hAnsi="Arial"/>
                <w:sz w:val="18"/>
                <w:szCs w:val="18"/>
                <w:color w:val="auto"/>
              </w:rPr>
              <w:t>Temporary draw outstanding, at cost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credit facility, September 30, 2009 (Cost—$225,100,000)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175,475,380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PennantPark Investment’s financial liabilities approximates fair value. Effective October 1, 2008, we adopted ASC 825-10, which provides companies with an option to report selected financial assets and liabilities at fair value, and made an irrevocable election to apply ASC 825-10 to its long-term credit facility. PennantPark Investment elected to use the fair value option for its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We elected not to apply ASC 825-10 to any other financial assets or liabilities including the SBA debentures. For the years ended September 30, 2010 and 2009, our credit facility had a net change in unrealized (appreciation) depreciation of $(35.7) million and $7.8 million, respectively. As of September 30, 2010 and 2009, net unrealized depreciation on our long-term credit facility totaled $13.9 million and $49.6 million, respectively, which included the cumulative effect of adoption of ASC 825-10 on our credit facility of $41.8 million. PennantPark Investment uses a nationally recognized independent valuation services to measure the fair value of its credit facility in a manner consistent with the valuation process that the board of directors uses to value investments.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An affiliated company is a company in which the PennantPark Investment has ownership of 5% or more of the portfolio company’s voting securities. Advances to and distributions from affiliates are included in the consolidated statement of cash flows purchases and sales. Transactions with affiliates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Advances to</w:t>
            </w:r>
          </w:p>
        </w:tc>
        <w:tc>
          <w:tcPr>
            <w:tcW w:w="520" w:type="dxa"/>
            <w:vAlign w:val="bottom"/>
          </w:tcPr>
          <w:p>
            <w:pPr>
              <w:spacing w:after="0"/>
              <w:rPr>
                <w:sz w:val="12"/>
                <w:szCs w:val="12"/>
                <w:color w:val="auto"/>
              </w:rPr>
            </w:pPr>
          </w:p>
        </w:tc>
        <w:tc>
          <w:tcPr>
            <w:tcW w:w="11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Distributions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rPr>
              <w:t>Income</w:t>
            </w:r>
          </w:p>
        </w:tc>
        <w:tc>
          <w:tcPr>
            <w:tcW w:w="54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Name of Investment</w:t>
            </w:r>
          </w:p>
        </w:tc>
        <w:tc>
          <w:tcPr>
            <w:tcW w:w="6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 2009</w:t>
            </w:r>
          </w:p>
        </w:tc>
        <w:tc>
          <w:tcPr>
            <w:tcW w:w="2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affiliates</w:t>
            </w:r>
          </w:p>
        </w:tc>
        <w:tc>
          <w:tcPr>
            <w:tcW w:w="52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from affiliates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Arial" w:cs="Arial" w:eastAsia="Arial" w:hAnsi="Arial"/>
                <w:sz w:val="14"/>
                <w:szCs w:val="14"/>
                <w:b w:val="1"/>
                <w:bCs w:val="1"/>
                <w:color w:val="auto"/>
                <w:w w:val="91"/>
              </w:rPr>
              <w:t>Received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Controlled Affiliates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$8,000,100</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8,000,100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 Affiliates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Performance Holdings, Inc.</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16,115,738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750,000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1,313,772</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15,433,680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16,115,738</w:t>
            </w:r>
          </w:p>
        </w:tc>
        <w:tc>
          <w:tcPr>
            <w:tcW w:w="106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8,000,100</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750,000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1,523,772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23,433,780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5"/>
              </w:rPr>
              <w:t>Years ended September 30,</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increase (decrease) in net assets resulting from operations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16,535,491</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35,802,029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(40,702,939)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29,546,772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21,092,334*</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21,068,772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Basic and diluted net increase (decrease) in net assets per share resulting from operations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Denominator for diluted weighted average shares is 21,094,745 based the overallotment exercised subsequent to September 30,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Dividends from net investment income and distributions from net realized capital gains are determined in accordance with U.S. federal tax regulations, which may differ from amounts determined in accordance with GAAP and these book-to-tax adjustments could be material.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The following differences were reclassified for tax purposes for the years ended September 30, 2010 and 2009: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(98,294)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(1,536)</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(Increase) in accumulated net realized loss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(87,991)</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Increase in undistributed net investment income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98,294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89,527</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As of September 30, 2010 and 2009, the cost of investments for federal income tax purposes was $659.4 million and $497.3 million, respectively, resulting in a gross unrealized appreciation of $28.8 million and $19.4 million, respectively, and depreciation of $23.5 million and $46.9 million,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16,535,491</w:t>
            </w:r>
          </w:p>
        </w:tc>
        <w:tc>
          <w:tcPr>
            <w:tcW w:w="5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35,802,029</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Net realized loss on investments not taxable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15,417,097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5"/>
              </w:rPr>
              <w:t>39,243,879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appreciation / (depreciation) on investments and credit facility</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(52,326,993)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Other temporary book-to-tax differences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(305,849)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841,335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deductible expenses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(15,956)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(13,808)</w:t>
            </w:r>
          </w:p>
        </w:tc>
        <w:tc>
          <w:tcPr>
            <w:tcW w:w="0" w:type="dxa"/>
            <w:vAlign w:val="bottom"/>
          </w:tcPr>
          <w:p>
            <w:pPr>
              <w:spacing w:after="0"/>
              <w:rPr>
                <w:sz w:val="1"/>
                <w:szCs w:val="1"/>
                <w:color w:val="auto"/>
              </w:rPr>
            </w:pPr>
          </w:p>
        </w:tc>
      </w:tr>
      <w:tr>
        <w:trPr>
          <w:trHeight w:val="20"/>
        </w:trPr>
        <w:tc>
          <w:tcPr>
            <w:tcW w:w="8220" w:type="dxa"/>
            <w:vAlign w:val="bottom"/>
            <w:gridSpan w:val="3"/>
            <w:vMerge w:val="restart"/>
          </w:tcPr>
          <w:p>
            <w:pPr>
              <w:ind w:left="460"/>
              <w:spacing w:after="0"/>
              <w:rPr>
                <w:sz w:val="20"/>
                <w:szCs w:val="20"/>
                <w:color w:val="auto"/>
              </w:rPr>
            </w:pPr>
            <w:r>
              <w:rPr>
                <w:rFonts w:ascii="Arial" w:cs="Arial" w:eastAsia="Arial" w:hAnsi="Arial"/>
                <w:sz w:val="18"/>
                <w:szCs w:val="18"/>
                <w:color w:val="auto"/>
              </w:rPr>
              <w:t>Taxable income before deductions for distributions</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31,752,812</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23,546,442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780" w:type="dxa"/>
            <w:vAlign w:val="bottom"/>
            <w:gridSpan w:val="8"/>
          </w:tcPr>
          <w:p>
            <w:pPr>
              <w:ind w:left="460"/>
              <w:spacing w:after="0"/>
              <w:rPr>
                <w:sz w:val="20"/>
                <w:szCs w:val="20"/>
                <w:color w:val="auto"/>
              </w:rPr>
            </w:pPr>
            <w:r>
              <w:rPr>
                <w:rFonts w:ascii="Arial" w:cs="Arial" w:eastAsia="Arial" w:hAnsi="Arial"/>
                <w:sz w:val="18"/>
                <w:szCs w:val="18"/>
                <w:color w:val="auto"/>
                <w:w w:val="93"/>
              </w:rPr>
              <w:t>The components of accumulated losses on tax basis and reconciliation to accumulated losses on a book basis are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11,451,782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7,618,230</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Undistributed long-term net capital gains</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undistributed net earnings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11,451,782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7,618,230</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Capital loss carry forwards</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460" w:type="dxa"/>
            <w:vAlign w:val="bottom"/>
            <w:gridSpan w:val="4"/>
          </w:tcPr>
          <w:p>
            <w:pPr>
              <w:jc w:val="right"/>
              <w:ind w:right="480"/>
              <w:spacing w:after="0"/>
              <w:rPr>
                <w:sz w:val="20"/>
                <w:szCs w:val="20"/>
                <w:color w:val="auto"/>
              </w:rPr>
            </w:pPr>
            <w:r>
              <w:rPr>
                <w:rFonts w:ascii="Arial" w:cs="Arial" w:eastAsia="Arial" w:hAnsi="Arial"/>
                <w:sz w:val="18"/>
                <w:szCs w:val="18"/>
                <w:color w:val="auto"/>
                <w:w w:val="94"/>
              </w:rPr>
              <w:t>(54,591,911)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(11,250,568)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Post-October capital losses</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(8,645,354)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(39,331,872)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Dividends payable and other temporary differences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(9,651,137)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(5,638,469)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appreciation (depreciation) of investments and credit facility</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19,300,499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22,096,807</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accumulated deficit</w:t>
            </w:r>
          </w:p>
        </w:tc>
        <w:tc>
          <w:tcPr>
            <w:tcW w:w="10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2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4"/>
          </w:tcPr>
          <w:p>
            <w:pPr>
              <w:jc w:val="right"/>
              <w:ind w:right="480"/>
              <w:spacing w:after="0"/>
              <w:rPr>
                <w:sz w:val="20"/>
                <w:szCs w:val="20"/>
                <w:color w:val="auto"/>
              </w:rPr>
            </w:pPr>
            <w:r>
              <w:rPr>
                <w:rFonts w:ascii="Arial" w:cs="Arial" w:eastAsia="Arial" w:hAnsi="Arial"/>
                <w:sz w:val="18"/>
                <w:szCs w:val="18"/>
                <w:color w:val="auto"/>
                <w:w w:val="94"/>
              </w:rPr>
              <w:t>(42,136,121)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(26,505,872)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54"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As of September 30, 2010, the capital loss carry forward of $54.6 million expires, if not utilized against future capital gains, as follows: $0.2 million in 2016, $11.0 million in 2017 and $43.3 million expires in 2018.</w:t>
      </w:r>
    </w:p>
    <w:p>
      <w:pPr>
        <w:ind w:left="460" w:hanging="452"/>
        <w:spacing w:after="0"/>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Under federal tax law, capital losses realized after October 31 may be deferred and treated as having arisen on the first day of the following fiscal year.</w:t>
      </w:r>
    </w:p>
    <w:p>
      <w:pPr>
        <w:spacing w:after="0" w:line="18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tax characteristics of dividends during the fiscal years ended September 30, 2010 and 2009 were solely from ordinary income, and totaled $32.3 million or $1.09 per share, and $20.2 million or $0.96 per share,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 funds or repo-like treasury securities. These temporary investments with maturities of 90 days or less are deemed cash equivalents and are included in the Schedule of Investments. At the end of each fiscal quarter, PennantPark Investment could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 As of September 30, 2010, cash equivalents consisted of $1.8 million in money market funds.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Below are the financial highlights for the respective periods: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12"/>
                <w:szCs w:val="12"/>
                <w:color w:val="auto"/>
              </w:rPr>
            </w:pP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2"/>
              </w:rPr>
              <w:t>Year ended</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2"/>
                <w:szCs w:val="12"/>
                <w:color w:val="auto"/>
              </w:rPr>
            </w:pPr>
          </w:p>
        </w:tc>
        <w:tc>
          <w:tcPr>
            <w:tcW w:w="1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2008</w:t>
            </w: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11.85</w:t>
            </w:r>
          </w:p>
        </w:tc>
        <w:tc>
          <w:tcPr>
            <w:tcW w:w="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20" w:type="dxa"/>
            <w:vAlign w:val="bottom"/>
            <w:gridSpan w:val="2"/>
          </w:tcPr>
          <w:p>
            <w:pPr>
              <w:spacing w:after="0"/>
              <w:rPr>
                <w:sz w:val="20"/>
                <w:szCs w:val="20"/>
                <w:color w:val="auto"/>
              </w:rPr>
            </w:pPr>
            <w:r>
              <w:rPr>
                <w:rFonts w:ascii="Arial" w:cs="Arial" w:eastAsia="Arial" w:hAnsi="Arial"/>
                <w:sz w:val="18"/>
                <w:szCs w:val="18"/>
                <w:color w:val="auto"/>
              </w:rPr>
              <w:t>Adjusted net asset value, beginning of period</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11.85</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11.99</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realized and unrealized losses</w:t>
            </w:r>
            <w:r>
              <w:rPr>
                <w:rFonts w:ascii="Arial" w:cs="Arial" w:eastAsia="Arial" w:hAnsi="Arial"/>
                <w:sz w:val="11"/>
                <w:szCs w:val="11"/>
                <w:color w:val="auto"/>
              </w:rPr>
              <w:t>(2)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0.62</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(decrease) in net assets resulting from</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r>
              <w:rPr>
                <w:rFonts w:ascii="Arial" w:cs="Arial" w:eastAsia="Arial" w:hAnsi="Arial"/>
                <w:sz w:val="11"/>
                <w:szCs w:val="11"/>
                <w:color w:val="auto"/>
              </w:rPr>
              <w:t>(2)</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11"/>
                <w:szCs w:val="11"/>
                <w:color w:val="auto"/>
              </w:rPr>
              <w:t>(2),(3)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(0.96)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Initial issuance of common stock</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Offering Costs</w:t>
            </w:r>
            <w:r>
              <w:rPr>
                <w:rFonts w:ascii="Arial" w:cs="Arial" w:eastAsia="Arial" w:hAnsi="Arial"/>
                <w:sz w:val="11"/>
                <w:szCs w:val="11"/>
                <w:color w:val="auto"/>
              </w:rPr>
              <w:t>(2)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(0.09)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common stock issuance</w:t>
            </w:r>
            <w:r>
              <w:rPr>
                <w:rFonts w:ascii="Arial" w:cs="Arial" w:eastAsia="Arial" w:hAnsi="Arial"/>
                <w:sz w:val="11"/>
                <w:szCs w:val="11"/>
                <w:color w:val="auto"/>
              </w:rPr>
              <w:t>(2)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20" w:type="dxa"/>
            <w:vAlign w:val="bottom"/>
            <w:gridSpan w:val="2"/>
            <w:vMerge w:val="continue"/>
          </w:tcPr>
          <w:p>
            <w:pPr>
              <w:spacing w:after="0"/>
              <w:rPr>
                <w:sz w:val="19"/>
                <w:szCs w:val="19"/>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c>
          <w:tcPr>
            <w:tcW w:w="8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11.85</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8.11</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44.79%</w:t>
            </w: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30.39%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(8.29)%</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36,158,772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25,368,772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21,068,772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8"/>
              </w:rPr>
              <w:t>Ratio of operating expenses to average net assets</w:t>
            </w:r>
            <w:r>
              <w:rPr>
                <w:rFonts w:ascii="Arial" w:cs="Arial" w:eastAsia="Arial" w:hAnsi="Arial"/>
                <w:sz w:val="11"/>
                <w:szCs w:val="11"/>
                <w:color w:val="auto"/>
                <w:w w:val="98"/>
              </w:rPr>
              <w:t>(5)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5"/>
              </w:rPr>
              <w:t>Ratio of credit facility related expenses to average net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1.93%</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11"/>
                <w:szCs w:val="11"/>
                <w:color w:val="auto"/>
              </w:rPr>
              <w:t>(6)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6"/>
              </w:rPr>
              <w:t>Ratio of net investment income to average net assets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9.49%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5.96%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386,575,223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5"/>
              </w:rPr>
              <w:t>300,580,268</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210,728,260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Weighted average debt outstanding</w:t>
            </w:r>
            <w:r>
              <w:rPr>
                <w:rFonts w:ascii="Arial" w:cs="Arial" w:eastAsia="Arial" w:hAnsi="Arial"/>
                <w:sz w:val="11"/>
                <w:szCs w:val="11"/>
                <w:color w:val="auto"/>
              </w:rPr>
              <w:t>(8)</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246,216,548</w:t>
            </w:r>
          </w:p>
        </w:tc>
        <w:tc>
          <w:tcPr>
            <w:tcW w:w="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w w:val="85"/>
              </w:rPr>
              <w:t>182,490,685</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119,472,732</w:t>
            </w:r>
          </w:p>
        </w:tc>
        <w:tc>
          <w:tcPr>
            <w:tcW w:w="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per share</w:t>
            </w:r>
            <w:r>
              <w:rPr>
                <w:rFonts w:ascii="Arial" w:cs="Arial" w:eastAsia="Arial" w:hAnsi="Arial"/>
                <w:sz w:val="11"/>
                <w:szCs w:val="11"/>
                <w:color w:val="auto"/>
              </w:rPr>
              <w:t>(8)</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8.65</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7.47%</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Not annualized for a period of less than a year.</w:t>
      </w:r>
    </w:p>
    <w:p>
      <w:pPr>
        <w:spacing w:after="0" w:line="15" w:lineRule="exact"/>
        <w:rPr>
          <w:sz w:val="20"/>
          <w:szCs w:val="20"/>
          <w:color w:val="auto"/>
        </w:rPr>
      </w:pPr>
    </w:p>
    <w:p>
      <w:pPr>
        <w:ind w:left="460" w:right="400" w:hanging="452"/>
        <w:spacing w:after="0" w:line="300" w:lineRule="auto"/>
        <w:tabs>
          <w:tab w:leader="none" w:pos="4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 share data are calculated based on the weighted average shares outstanding for the respective periods.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254"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and may differ from amounts determined under U.S. generally accepted accounting principles.</w:t>
      </w:r>
    </w:p>
    <w:p>
      <w:pPr>
        <w:ind w:left="460" w:right="200" w:hanging="452"/>
        <w:spacing w:after="0" w:line="250"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dividends and distributions, if any, reinvested in accordance with our dividend reinvestment plan.</w:t>
      </w:r>
    </w:p>
    <w:p>
      <w:pPr>
        <w:ind w:left="460" w:hanging="452"/>
        <w:spacing w:after="0" w:line="250"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Before adoption of ASC 825 for the fiscal years ended September 30, 2010 and 2009, the ratios were 7.95% and 9.32%, respectively. The ratios before management fee waiver were 6.47% and 4.28% for the fiscal year ended September 30, 2008 and for the period from April 24, 2007 (initial public offering) through September 30, 2007, respectively.</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Before adoption of ASC 825 for the fiscal years ended September 30, 2010 and 2009, the ratios were 9.15% and 11.75%. The ratios before management fee waiver to average net assets were 9.13% and 5.78% for the fiscal year ended September 30, 2008 and for the period from April 24, 2007 (initial public offering) through September 30, 2007, respectively.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Since initial public offering on April 24,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Includes the SBA debentures outstanding.</w:t>
      </w:r>
    </w:p>
    <w:p>
      <w:pPr>
        <w:spacing w:after="0" w:line="23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September 30, 2010 and 2009, there was $233.1 million and $225.1 million in outstanding borrowings under the credit facility (including a $5.2 million and a $7.0 million temporary draw), with a weighted average interest rate at the time of 1.34% and 1.31% exclusive of the fee on undrawn commitment of 0.20%, respectively.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$300.0 million at any one time outstanding. The credit facility is a five-year revolving facility (with a stated maturity date of June 25, 2012) and pricing is set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basis points over LIBOR. The credit facility contains customary affirmative and negative covenants, including the maintenance of a minimum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equity, the maintenance of a ratio not less than 200% of total assets (less total liabilities other than indebtedness) to total indebtedness, and restrictions on certain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payments and issuance of debt. For a complete list of such covenants, see our report on Form 8-K, filed June 28, 2007 and on Form 10-Q, filed May 5, 2010.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September 30, 2010, we were in compliance with our covenants relating to our credit facility.</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SBA Debentures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SBIC LP is able to borrow funds from the SBA against regulatory capital that is paid-in, subject to customary regulatory requirements including but not limited to an examination by the SBA. As of September 30, 2010, we have committed $50.0 million to SBIC LP, funded it with equity capital of $14.5 million and had SBA debentures outstanding of $14.5 million.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 million, which is up to twice its potential regulatory capital. This means that SBIC LP may access the maximum borrowing if it has $75 million in regulatory capital.</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August 5, 2010, SBIC LP received a SBA debenture commitment of $33.5 million. As of September 30, 2010, $14.5 million of the $33.5 million debt commitment was drawn with a weighted average interest rate of 0.93% exclusive of the 3.43% in upfront fees. Of the $14.5 million of SBA debentures outstanding, $0.5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is fixed for 10-years with a rate of 3.50% (inclusive of the SBA annual fee) and $14.0 million is temporary financing currently bearing a rate of 0.84% that will reset to a market-driven rate in March 2011.</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required capitalization thresholds and is subject to periodic audits and examinations. If our SBIC subsidiary fails to comply with applicable SBA regulations, the SBA could, depending on the severity of the violation, limit or prohibit its use of debentures, declare outstanding debentures immediately due and payable, and/or limit it from making new investments. In addition, the SBA can revoke or suspend a license for willful or repeated violation of, or willful or repeated failure to observe, any provision of the Small Business Investment Act of 1958 or any rule or regulation promulgated thereunder. These actions by the SBA would, in turn, negatively affect us because our SBIC subsidiary is our wholly owned subsidiary. As of September 30, 2010, SBIC LP was in compliance with our requirements relating to our SBA debentures.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the filing of its SBA license application, PennantPark Investment applied for exemptive relief from the SEC to permit us to exclude the debt of SBIC LP from our consolidated asset coverage ratio. There can be no assurance that we will be able to capitalize SBIC LP with sufficient regulatory capital to access the maximum borrowing amount available or that we will receive an exemptive relief from the SEC with respect to the SBA-guaranteed debentures.</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If we are granted exemptive relief, our ratio of total assets on a consolidated basis to outstanding to indebtedness may be greater than 200%, which while providing increased investment flexibility, would also increase our exposure to risks associated with leverage. See Note 13 for subsequent events.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of the covenants we made when we entered into, including the ratio of total assets to total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 and subordinated debt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November 4, 2010, SBIC LP received a debt commitment from the SBA for an additional $66.5 million bringing its total debt commitment from the SBA to $100.0 million. Subsequent to September 30, 2010, SBIC LP completed its SBA examination in order to gain access to the full SBA commitment subject to customary regulatory requirements.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380"/>
          </w:cols>
          <w:pgMar w:left="240" w:top="460" w:right="2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0540" w:type="dxa"/>
            <w:vAlign w:val="bottom"/>
          </w:tcPr>
          <w:p>
            <w:pPr>
              <w:ind w:left="4520"/>
              <w:spacing w:after="0"/>
              <w:rPr>
                <w:sz w:val="20"/>
                <w:szCs w:val="20"/>
                <w:color w:val="auto"/>
              </w:rPr>
            </w:pPr>
            <w:r>
              <w:rPr>
                <w:rFonts w:ascii="Arial" w:cs="Arial" w:eastAsia="Arial" w:hAnsi="Arial"/>
                <w:sz w:val="18"/>
                <w:szCs w:val="18"/>
                <w:b w:val="1"/>
                <w:bCs w:val="1"/>
                <w:color w:val="auto"/>
              </w:rPr>
              <w:t>PART C</w:t>
            </w:r>
          </w:p>
        </w:tc>
      </w:tr>
      <w:tr>
        <w:trPr>
          <w:trHeight w:val="228"/>
        </w:trPr>
        <w:tc>
          <w:tcPr>
            <w:tcW w:w="880" w:type="dxa"/>
            <w:vAlign w:val="bottom"/>
          </w:tcPr>
          <w:p>
            <w:pPr>
              <w:spacing w:after="0"/>
              <w:rPr>
                <w:sz w:val="19"/>
                <w:szCs w:val="19"/>
                <w:color w:val="auto"/>
              </w:rPr>
            </w:pPr>
          </w:p>
        </w:tc>
        <w:tc>
          <w:tcPr>
            <w:tcW w:w="10540" w:type="dxa"/>
            <w:vAlign w:val="bottom"/>
          </w:tcPr>
          <w:p>
            <w:pPr>
              <w:ind w:left="3840"/>
              <w:spacing w:after="0"/>
              <w:rPr>
                <w:sz w:val="20"/>
                <w:szCs w:val="20"/>
                <w:color w:val="auto"/>
              </w:rPr>
            </w:pPr>
            <w:r>
              <w:rPr>
                <w:rFonts w:ascii="Arial" w:cs="Arial" w:eastAsia="Arial" w:hAnsi="Arial"/>
                <w:sz w:val="18"/>
                <w:szCs w:val="18"/>
                <w:b w:val="1"/>
                <w:bCs w:val="1"/>
                <w:color w:val="auto"/>
              </w:rPr>
              <w:t>OTHER INFORMATION</w:t>
            </w:r>
          </w:p>
        </w:tc>
      </w:tr>
      <w:tr>
        <w:trPr>
          <w:trHeight w:val="419"/>
        </w:trPr>
        <w:tc>
          <w:tcPr>
            <w:tcW w:w="880" w:type="dxa"/>
            <w:vAlign w:val="bottom"/>
          </w:tcPr>
          <w:p>
            <w:pPr>
              <w:spacing w:after="0"/>
              <w:rPr>
                <w:sz w:val="20"/>
                <w:szCs w:val="20"/>
                <w:color w:val="auto"/>
              </w:rPr>
            </w:pPr>
            <w:r>
              <w:rPr>
                <w:rFonts w:ascii="Arial" w:cs="Arial" w:eastAsia="Arial" w:hAnsi="Arial"/>
                <w:sz w:val="18"/>
                <w:szCs w:val="18"/>
                <w:b w:val="1"/>
                <w:bCs w:val="1"/>
                <w:color w:val="auto"/>
              </w:rPr>
              <w:t>Item 25.</w:t>
            </w:r>
          </w:p>
        </w:tc>
        <w:tc>
          <w:tcPr>
            <w:tcW w:w="10540" w:type="dxa"/>
            <w:vAlign w:val="bottom"/>
          </w:tcPr>
          <w:p>
            <w:pPr>
              <w:ind w:left="2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6"/>
        </w:trPr>
        <w:tc>
          <w:tcPr>
            <w:tcW w:w="880" w:type="dxa"/>
            <w:vAlign w:val="bottom"/>
          </w:tcPr>
          <w:p>
            <w:pPr>
              <w:spacing w:after="0"/>
              <w:rPr>
                <w:sz w:val="20"/>
                <w:szCs w:val="20"/>
                <w:color w:val="auto"/>
              </w:rPr>
            </w:pPr>
            <w:r>
              <w:rPr>
                <w:rFonts w:ascii="Arial" w:cs="Arial" w:eastAsia="Arial" w:hAnsi="Arial"/>
                <w:sz w:val="14"/>
                <w:szCs w:val="14"/>
                <w:color w:val="auto"/>
              </w:rPr>
              <w:t>1.</w:t>
            </w:r>
          </w:p>
        </w:tc>
        <w:tc>
          <w:tcPr>
            <w:tcW w:w="10540" w:type="dxa"/>
            <w:vAlign w:val="bottom"/>
          </w:tcPr>
          <w:p>
            <w:pPr>
              <w:ind w:left="620"/>
              <w:spacing w:after="0"/>
              <w:rPr>
                <w:sz w:val="20"/>
                <w:szCs w:val="20"/>
                <w:color w:val="auto"/>
              </w:rPr>
            </w:pPr>
            <w:r>
              <w:rPr>
                <w:rFonts w:ascii="Arial" w:cs="Arial" w:eastAsia="Arial" w:hAnsi="Arial"/>
                <w:sz w:val="14"/>
                <w:szCs w:val="14"/>
                <w:i w:val="1"/>
                <w:iCs w:val="1"/>
                <w:color w:val="auto"/>
              </w:rPr>
              <w:t>Financial Statements</w:t>
            </w:r>
          </w:p>
        </w:tc>
      </w:tr>
      <w:tr>
        <w:trPr>
          <w:trHeight w:val="257"/>
        </w:trPr>
        <w:tc>
          <w:tcPr>
            <w:tcW w:w="880" w:type="dxa"/>
            <w:vAlign w:val="bottom"/>
          </w:tcPr>
          <w:p>
            <w:pPr>
              <w:spacing w:after="0"/>
              <w:rPr>
                <w:sz w:val="22"/>
                <w:szCs w:val="22"/>
                <w:color w:val="auto"/>
              </w:rPr>
            </w:pPr>
          </w:p>
        </w:tc>
        <w:tc>
          <w:tcPr>
            <w:tcW w:w="10540" w:type="dxa"/>
            <w:vAlign w:val="bottom"/>
          </w:tcPr>
          <w:p>
            <w:pPr>
              <w:ind w:left="620"/>
              <w:spacing w:after="0"/>
              <w:rPr>
                <w:sz w:val="20"/>
                <w:szCs w:val="20"/>
                <w:color w:val="auto"/>
              </w:rPr>
            </w:pPr>
            <w:r>
              <w:rPr>
                <w:rFonts w:ascii="Arial" w:cs="Arial" w:eastAsia="Arial" w:hAnsi="Arial"/>
                <w:sz w:val="14"/>
                <w:szCs w:val="14"/>
                <w:color w:val="auto"/>
              </w:rPr>
              <w:t>The Index to Financial Statements on page F-1of this Registration Statement is hereby incorporated by reference.</w:t>
            </w:r>
          </w:p>
        </w:tc>
      </w:tr>
      <w:tr>
        <w:trPr>
          <w:trHeight w:val="257"/>
        </w:trPr>
        <w:tc>
          <w:tcPr>
            <w:tcW w:w="880" w:type="dxa"/>
            <w:vAlign w:val="bottom"/>
          </w:tcPr>
          <w:p>
            <w:pPr>
              <w:spacing w:after="0"/>
              <w:rPr>
                <w:sz w:val="20"/>
                <w:szCs w:val="20"/>
                <w:color w:val="auto"/>
              </w:rPr>
            </w:pPr>
            <w:r>
              <w:rPr>
                <w:rFonts w:ascii="Arial" w:cs="Arial" w:eastAsia="Arial" w:hAnsi="Arial"/>
                <w:sz w:val="14"/>
                <w:szCs w:val="14"/>
                <w:color w:val="auto"/>
              </w:rPr>
              <w:t>2.</w:t>
            </w:r>
          </w:p>
        </w:tc>
        <w:tc>
          <w:tcPr>
            <w:tcW w:w="10540" w:type="dxa"/>
            <w:vAlign w:val="bottom"/>
          </w:tcPr>
          <w:p>
            <w:pPr>
              <w:ind w:left="620"/>
              <w:spacing w:after="0"/>
              <w:rPr>
                <w:sz w:val="20"/>
                <w:szCs w:val="20"/>
                <w:color w:val="auto"/>
              </w:rPr>
            </w:pPr>
            <w:r>
              <w:rPr>
                <w:rFonts w:ascii="Arial" w:cs="Arial" w:eastAsia="Arial" w:hAnsi="Arial"/>
                <w:sz w:val="14"/>
                <w:szCs w:val="14"/>
                <w:i w:val="1"/>
                <w:iCs w:val="1"/>
                <w:color w:val="auto"/>
              </w:rPr>
              <w:t>Exhibits</w:t>
            </w:r>
          </w:p>
        </w:tc>
      </w:tr>
      <w:tr>
        <w:trPr>
          <w:trHeight w:val="233"/>
        </w:trPr>
        <w:tc>
          <w:tcPr>
            <w:tcW w:w="880" w:type="dxa"/>
            <w:vAlign w:val="bottom"/>
          </w:tcPr>
          <w:p>
            <w:pPr>
              <w:spacing w:after="0"/>
              <w:rPr>
                <w:sz w:val="20"/>
                <w:szCs w:val="20"/>
                <w:color w:val="auto"/>
              </w:rPr>
            </w:pPr>
            <w:r>
              <w:rPr>
                <w:rFonts w:ascii="Arial" w:cs="Arial" w:eastAsia="Arial" w:hAnsi="Arial"/>
                <w:sz w:val="14"/>
                <w:szCs w:val="14"/>
                <w:color w:val="auto"/>
              </w:rPr>
              <w:t>(a)</w:t>
            </w:r>
          </w:p>
        </w:tc>
        <w:tc>
          <w:tcPr>
            <w:tcW w:w="10540" w:type="dxa"/>
            <w:vAlign w:val="bottom"/>
          </w:tcPr>
          <w:p>
            <w:pPr>
              <w:ind w:left="620"/>
              <w:spacing w:after="0"/>
              <w:rPr>
                <w:sz w:val="20"/>
                <w:szCs w:val="20"/>
                <w:color w:val="auto"/>
              </w:rPr>
            </w:pPr>
            <w:r>
              <w:rPr>
                <w:rFonts w:ascii="Arial" w:cs="Arial" w:eastAsia="Arial" w:hAnsi="Arial"/>
                <w:sz w:val="14"/>
                <w:szCs w:val="14"/>
                <w:color w:val="auto"/>
                <w:w w:val="88"/>
              </w:rPr>
              <w:t>Articles of Incorporation of the Registrant (Incorporated by reference to Exhibit 99(a) to the Registrant’s Pre-Effective Amendment No. 3 to the Registration Statement on Form N-2/A</w:t>
            </w:r>
          </w:p>
        </w:tc>
      </w:tr>
      <w:tr>
        <w:trPr>
          <w:trHeight w:val="172"/>
        </w:trPr>
        <w:tc>
          <w:tcPr>
            <w:tcW w:w="880" w:type="dxa"/>
            <w:vAlign w:val="bottom"/>
          </w:tcPr>
          <w:p>
            <w:pPr>
              <w:spacing w:after="0"/>
              <w:rPr>
                <w:sz w:val="14"/>
                <w:szCs w:val="14"/>
                <w:color w:val="auto"/>
              </w:rPr>
            </w:pPr>
          </w:p>
        </w:tc>
        <w:tc>
          <w:tcPr>
            <w:tcW w:w="10540" w:type="dxa"/>
            <w:vAlign w:val="bottom"/>
          </w:tcPr>
          <w:p>
            <w:pPr>
              <w:ind w:left="620"/>
              <w:spacing w:after="0"/>
              <w:rPr>
                <w:sz w:val="20"/>
                <w:szCs w:val="20"/>
                <w:color w:val="auto"/>
              </w:rPr>
            </w:pPr>
            <w:r>
              <w:rPr>
                <w:rFonts w:ascii="Arial" w:cs="Arial" w:eastAsia="Arial" w:hAnsi="Arial"/>
                <w:sz w:val="14"/>
                <w:szCs w:val="14"/>
                <w:color w:val="auto"/>
              </w:rPr>
              <w:t>(File No. 333-140092), filed on April 5, 2007).</w:t>
            </w:r>
          </w:p>
        </w:tc>
      </w:tr>
      <w:tr>
        <w:trPr>
          <w:trHeight w:val="257"/>
        </w:trPr>
        <w:tc>
          <w:tcPr>
            <w:tcW w:w="880" w:type="dxa"/>
            <w:vAlign w:val="bottom"/>
          </w:tcPr>
          <w:p>
            <w:pPr>
              <w:spacing w:after="0"/>
              <w:rPr>
                <w:sz w:val="20"/>
                <w:szCs w:val="20"/>
                <w:color w:val="auto"/>
              </w:rPr>
            </w:pPr>
            <w:r>
              <w:rPr>
                <w:rFonts w:ascii="Arial" w:cs="Arial" w:eastAsia="Arial" w:hAnsi="Arial"/>
                <w:sz w:val="14"/>
                <w:szCs w:val="14"/>
                <w:color w:val="auto"/>
              </w:rPr>
              <w:t>(b)**</w:t>
            </w:r>
          </w:p>
        </w:tc>
        <w:tc>
          <w:tcPr>
            <w:tcW w:w="10540" w:type="dxa"/>
            <w:vAlign w:val="bottom"/>
          </w:tcPr>
          <w:p>
            <w:pPr>
              <w:ind w:left="620"/>
              <w:spacing w:after="0"/>
              <w:rPr>
                <w:sz w:val="20"/>
                <w:szCs w:val="20"/>
                <w:color w:val="auto"/>
              </w:rPr>
            </w:pPr>
            <w:r>
              <w:rPr>
                <w:rFonts w:ascii="Arial" w:cs="Arial" w:eastAsia="Arial" w:hAnsi="Arial"/>
                <w:sz w:val="14"/>
                <w:szCs w:val="14"/>
                <w:color w:val="auto"/>
              </w:rPr>
              <w:t>Second Amended and Restated By-Laws of the Registrant.</w:t>
            </w:r>
          </w:p>
        </w:tc>
      </w:tr>
      <w:tr>
        <w:trPr>
          <w:trHeight w:val="257"/>
        </w:trPr>
        <w:tc>
          <w:tcPr>
            <w:tcW w:w="880" w:type="dxa"/>
            <w:vAlign w:val="bottom"/>
          </w:tcPr>
          <w:p>
            <w:pPr>
              <w:spacing w:after="0"/>
              <w:rPr>
                <w:sz w:val="20"/>
                <w:szCs w:val="20"/>
                <w:color w:val="auto"/>
              </w:rPr>
            </w:pPr>
            <w:r>
              <w:rPr>
                <w:rFonts w:ascii="Arial" w:cs="Arial" w:eastAsia="Arial" w:hAnsi="Arial"/>
                <w:sz w:val="14"/>
                <w:szCs w:val="14"/>
                <w:color w:val="auto"/>
              </w:rPr>
              <w:t>(d)(1)</w:t>
            </w:r>
          </w:p>
        </w:tc>
        <w:tc>
          <w:tcPr>
            <w:tcW w:w="10540" w:type="dxa"/>
            <w:vAlign w:val="bottom"/>
          </w:tcPr>
          <w:p>
            <w:pPr>
              <w:ind w:left="620"/>
              <w:spacing w:after="0"/>
              <w:rPr>
                <w:sz w:val="20"/>
                <w:szCs w:val="20"/>
                <w:color w:val="auto"/>
              </w:rPr>
            </w:pPr>
            <w:r>
              <w:rPr>
                <w:rFonts w:ascii="Arial" w:cs="Arial" w:eastAsia="Arial" w:hAnsi="Arial"/>
                <w:sz w:val="14"/>
                <w:szCs w:val="14"/>
                <w:color w:val="auto"/>
                <w:w w:val="91"/>
              </w:rPr>
              <w:t>Specimen Stock Certificate (Incorporated by reference to Exhibit 99.(D)(1) to the Registrant’s Registration Statement on Form N-2 (File No. 333-150033), filed on April 2, 2008).</w:t>
            </w:r>
          </w:p>
        </w:tc>
      </w:tr>
      <w:tr>
        <w:trPr>
          <w:trHeight w:val="233"/>
        </w:trPr>
        <w:tc>
          <w:tcPr>
            <w:tcW w:w="880" w:type="dxa"/>
            <w:vAlign w:val="bottom"/>
          </w:tcPr>
          <w:p>
            <w:pPr>
              <w:spacing w:after="0"/>
              <w:rPr>
                <w:sz w:val="20"/>
                <w:szCs w:val="20"/>
                <w:color w:val="auto"/>
              </w:rPr>
            </w:pPr>
            <w:r>
              <w:rPr>
                <w:rFonts w:ascii="Arial" w:cs="Arial" w:eastAsia="Arial" w:hAnsi="Arial"/>
                <w:sz w:val="14"/>
                <w:szCs w:val="14"/>
                <w:color w:val="auto"/>
              </w:rPr>
              <w:t>(d)(2)</w:t>
            </w:r>
          </w:p>
        </w:tc>
        <w:tc>
          <w:tcPr>
            <w:tcW w:w="10540" w:type="dxa"/>
            <w:vAlign w:val="bottom"/>
          </w:tcPr>
          <w:p>
            <w:pPr>
              <w:ind w:left="620"/>
              <w:spacing w:after="0"/>
              <w:rPr>
                <w:sz w:val="20"/>
                <w:szCs w:val="20"/>
                <w:color w:val="auto"/>
              </w:rPr>
            </w:pPr>
            <w:r>
              <w:rPr>
                <w:rFonts w:ascii="Arial" w:cs="Arial" w:eastAsia="Arial" w:hAnsi="Arial"/>
                <w:sz w:val="14"/>
                <w:szCs w:val="14"/>
                <w:color w:val="auto"/>
                <w:w w:val="89"/>
              </w:rPr>
              <w:t>Form of Subscription Certificate (Incorporated by reference to Exhibit 99.(D)(2) to the Registrant’s Pre-Effective Amendment to the Registration Statement on Form N-2/A (File No.</w:t>
            </w:r>
          </w:p>
        </w:tc>
      </w:tr>
      <w:tr>
        <w:trPr>
          <w:trHeight w:val="172"/>
        </w:trPr>
        <w:tc>
          <w:tcPr>
            <w:tcW w:w="880" w:type="dxa"/>
            <w:vAlign w:val="bottom"/>
          </w:tcPr>
          <w:p>
            <w:pPr>
              <w:spacing w:after="0"/>
              <w:rPr>
                <w:sz w:val="14"/>
                <w:szCs w:val="14"/>
                <w:color w:val="auto"/>
              </w:rPr>
            </w:pPr>
          </w:p>
        </w:tc>
        <w:tc>
          <w:tcPr>
            <w:tcW w:w="10540" w:type="dxa"/>
            <w:vAlign w:val="bottom"/>
          </w:tcPr>
          <w:p>
            <w:pPr>
              <w:ind w:left="620"/>
              <w:spacing w:after="0"/>
              <w:rPr>
                <w:sz w:val="20"/>
                <w:szCs w:val="20"/>
                <w:color w:val="auto"/>
              </w:rPr>
            </w:pPr>
            <w:r>
              <w:rPr>
                <w:rFonts w:ascii="Arial" w:cs="Arial" w:eastAsia="Arial" w:hAnsi="Arial"/>
                <w:sz w:val="14"/>
                <w:szCs w:val="14"/>
                <w:color w:val="auto"/>
              </w:rPr>
              <w:t>333-150033), filed on May 30, 2008).</w:t>
            </w:r>
          </w:p>
        </w:tc>
      </w:tr>
      <w:tr>
        <w:trPr>
          <w:trHeight w:val="233"/>
        </w:trPr>
        <w:tc>
          <w:tcPr>
            <w:tcW w:w="880" w:type="dxa"/>
            <w:vAlign w:val="bottom"/>
          </w:tcPr>
          <w:p>
            <w:pPr>
              <w:spacing w:after="0"/>
              <w:rPr>
                <w:sz w:val="20"/>
                <w:szCs w:val="20"/>
                <w:color w:val="auto"/>
              </w:rPr>
            </w:pPr>
            <w:r>
              <w:rPr>
                <w:rFonts w:ascii="Arial" w:cs="Arial" w:eastAsia="Arial" w:hAnsi="Arial"/>
                <w:sz w:val="14"/>
                <w:szCs w:val="14"/>
                <w:color w:val="auto"/>
              </w:rPr>
              <w:t>(d)(3)</w:t>
            </w:r>
          </w:p>
        </w:tc>
        <w:tc>
          <w:tcPr>
            <w:tcW w:w="10540" w:type="dxa"/>
            <w:vAlign w:val="bottom"/>
          </w:tcPr>
          <w:p>
            <w:pPr>
              <w:ind w:left="620"/>
              <w:spacing w:after="0"/>
              <w:rPr>
                <w:sz w:val="20"/>
                <w:szCs w:val="20"/>
                <w:color w:val="auto"/>
              </w:rPr>
            </w:pPr>
            <w:r>
              <w:rPr>
                <w:rFonts w:ascii="Arial" w:cs="Arial" w:eastAsia="Arial" w:hAnsi="Arial"/>
                <w:sz w:val="14"/>
                <w:szCs w:val="14"/>
                <w:color w:val="auto"/>
                <w:w w:val="89"/>
              </w:rPr>
              <w:t>Form of Indenture (Incorporated by reference to Exhibit 99.(D)(3) to the Registrant’s Pre-Effective Amendment to the Registration Statement on Form N-2/A (File No. 333-150033),</w:t>
            </w:r>
          </w:p>
        </w:tc>
      </w:tr>
      <w:tr>
        <w:trPr>
          <w:trHeight w:val="172"/>
        </w:trPr>
        <w:tc>
          <w:tcPr>
            <w:tcW w:w="880" w:type="dxa"/>
            <w:vAlign w:val="bottom"/>
          </w:tcPr>
          <w:p>
            <w:pPr>
              <w:spacing w:after="0"/>
              <w:rPr>
                <w:sz w:val="14"/>
                <w:szCs w:val="14"/>
                <w:color w:val="auto"/>
              </w:rPr>
            </w:pPr>
          </w:p>
        </w:tc>
        <w:tc>
          <w:tcPr>
            <w:tcW w:w="10540" w:type="dxa"/>
            <w:vAlign w:val="bottom"/>
          </w:tcPr>
          <w:p>
            <w:pPr>
              <w:ind w:left="620"/>
              <w:spacing w:after="0"/>
              <w:rPr>
                <w:sz w:val="20"/>
                <w:szCs w:val="20"/>
                <w:color w:val="auto"/>
              </w:rPr>
            </w:pPr>
            <w:r>
              <w:rPr>
                <w:rFonts w:ascii="Arial" w:cs="Arial" w:eastAsia="Arial" w:hAnsi="Arial"/>
                <w:sz w:val="14"/>
                <w:szCs w:val="14"/>
                <w:color w:val="auto"/>
              </w:rPr>
              <w:t>filed on May 30, 2008).</w:t>
            </w:r>
          </w:p>
        </w:tc>
      </w:tr>
      <w:tr>
        <w:trPr>
          <w:trHeight w:val="233"/>
        </w:trPr>
        <w:tc>
          <w:tcPr>
            <w:tcW w:w="880" w:type="dxa"/>
            <w:vAlign w:val="bottom"/>
          </w:tcPr>
          <w:p>
            <w:pPr>
              <w:spacing w:after="0"/>
              <w:rPr>
                <w:sz w:val="20"/>
                <w:szCs w:val="20"/>
                <w:color w:val="auto"/>
              </w:rPr>
            </w:pPr>
            <w:r>
              <w:rPr>
                <w:rFonts w:ascii="Arial" w:cs="Arial" w:eastAsia="Arial" w:hAnsi="Arial"/>
                <w:sz w:val="14"/>
                <w:szCs w:val="14"/>
                <w:color w:val="auto"/>
              </w:rPr>
              <w:t>(d)(4)</w:t>
            </w:r>
          </w:p>
        </w:tc>
        <w:tc>
          <w:tcPr>
            <w:tcW w:w="10540" w:type="dxa"/>
            <w:vAlign w:val="bottom"/>
          </w:tcPr>
          <w:p>
            <w:pPr>
              <w:ind w:left="620"/>
              <w:spacing w:after="0"/>
              <w:rPr>
                <w:sz w:val="20"/>
                <w:szCs w:val="20"/>
                <w:color w:val="auto"/>
              </w:rPr>
            </w:pPr>
            <w:r>
              <w:rPr>
                <w:rFonts w:ascii="Arial" w:cs="Arial" w:eastAsia="Arial" w:hAnsi="Arial"/>
                <w:sz w:val="14"/>
                <w:szCs w:val="14"/>
                <w:color w:val="auto"/>
                <w:w w:val="90"/>
              </w:rPr>
              <w:t>Form of Subscription Agent Agreement (Incorporated by reference to Exhibit 99.(D)(4) to the Registrant’s Pre-Effective Amendment to the Registration Statement on Form N-2/A</w:t>
            </w:r>
          </w:p>
        </w:tc>
      </w:tr>
      <w:tr>
        <w:trPr>
          <w:trHeight w:val="172"/>
        </w:trPr>
        <w:tc>
          <w:tcPr>
            <w:tcW w:w="880" w:type="dxa"/>
            <w:vAlign w:val="bottom"/>
          </w:tcPr>
          <w:p>
            <w:pPr>
              <w:spacing w:after="0"/>
              <w:rPr>
                <w:sz w:val="14"/>
                <w:szCs w:val="14"/>
                <w:color w:val="auto"/>
              </w:rPr>
            </w:pPr>
          </w:p>
        </w:tc>
        <w:tc>
          <w:tcPr>
            <w:tcW w:w="10540" w:type="dxa"/>
            <w:vAlign w:val="bottom"/>
          </w:tcPr>
          <w:p>
            <w:pPr>
              <w:ind w:left="620"/>
              <w:spacing w:after="0"/>
              <w:rPr>
                <w:sz w:val="20"/>
                <w:szCs w:val="20"/>
                <w:color w:val="auto"/>
              </w:rPr>
            </w:pPr>
            <w:r>
              <w:rPr>
                <w:rFonts w:ascii="Arial" w:cs="Arial" w:eastAsia="Arial" w:hAnsi="Arial"/>
                <w:sz w:val="14"/>
                <w:szCs w:val="14"/>
                <w:color w:val="auto"/>
              </w:rPr>
              <w:t>(File No. 333-150033), filed on May 30, 2008).</w:t>
            </w:r>
          </w:p>
        </w:tc>
      </w:tr>
      <w:tr>
        <w:trPr>
          <w:trHeight w:val="233"/>
        </w:trPr>
        <w:tc>
          <w:tcPr>
            <w:tcW w:w="880" w:type="dxa"/>
            <w:vAlign w:val="bottom"/>
          </w:tcPr>
          <w:p>
            <w:pPr>
              <w:spacing w:after="0"/>
              <w:rPr>
                <w:sz w:val="20"/>
                <w:szCs w:val="20"/>
                <w:color w:val="auto"/>
              </w:rPr>
            </w:pPr>
            <w:r>
              <w:rPr>
                <w:rFonts w:ascii="Arial" w:cs="Arial" w:eastAsia="Arial" w:hAnsi="Arial"/>
                <w:sz w:val="14"/>
                <w:szCs w:val="14"/>
                <w:color w:val="auto"/>
              </w:rPr>
              <w:t>(d)(5)</w:t>
            </w:r>
          </w:p>
        </w:tc>
        <w:tc>
          <w:tcPr>
            <w:tcW w:w="10540" w:type="dxa"/>
            <w:vAlign w:val="bottom"/>
          </w:tcPr>
          <w:p>
            <w:pPr>
              <w:ind w:left="620"/>
              <w:spacing w:after="0"/>
              <w:rPr>
                <w:sz w:val="20"/>
                <w:szCs w:val="20"/>
                <w:color w:val="auto"/>
              </w:rPr>
            </w:pPr>
            <w:r>
              <w:rPr>
                <w:rFonts w:ascii="Arial" w:cs="Arial" w:eastAsia="Arial" w:hAnsi="Arial"/>
                <w:sz w:val="14"/>
                <w:szCs w:val="14"/>
                <w:color w:val="auto"/>
                <w:w w:val="88"/>
              </w:rPr>
              <w:t>Form of Warrant Agreement (Incorporated by reference to Exhibit 99.(D)(5) to the Registrant’s Pre-Effective Amendment to the Registration Statement on Form N-2/A (File No. 333-</w:t>
            </w:r>
          </w:p>
        </w:tc>
      </w:tr>
      <w:tr>
        <w:trPr>
          <w:trHeight w:val="172"/>
        </w:trPr>
        <w:tc>
          <w:tcPr>
            <w:tcW w:w="880" w:type="dxa"/>
            <w:vAlign w:val="bottom"/>
          </w:tcPr>
          <w:p>
            <w:pPr>
              <w:spacing w:after="0"/>
              <w:rPr>
                <w:sz w:val="14"/>
                <w:szCs w:val="14"/>
                <w:color w:val="auto"/>
              </w:rPr>
            </w:pPr>
          </w:p>
        </w:tc>
        <w:tc>
          <w:tcPr>
            <w:tcW w:w="10540" w:type="dxa"/>
            <w:vAlign w:val="bottom"/>
          </w:tcPr>
          <w:p>
            <w:pPr>
              <w:ind w:left="620"/>
              <w:spacing w:after="0"/>
              <w:rPr>
                <w:sz w:val="20"/>
                <w:szCs w:val="20"/>
                <w:color w:val="auto"/>
              </w:rPr>
            </w:pPr>
            <w:r>
              <w:rPr>
                <w:rFonts w:ascii="Arial" w:cs="Arial" w:eastAsia="Arial" w:hAnsi="Arial"/>
                <w:sz w:val="14"/>
                <w:szCs w:val="14"/>
                <w:color w:val="auto"/>
              </w:rPr>
              <w:t>150033), filed on May 30, 2008).</w:t>
            </w:r>
          </w:p>
        </w:tc>
      </w:tr>
      <w:tr>
        <w:trPr>
          <w:trHeight w:val="257"/>
        </w:trPr>
        <w:tc>
          <w:tcPr>
            <w:tcW w:w="880" w:type="dxa"/>
            <w:vAlign w:val="bottom"/>
          </w:tcPr>
          <w:p>
            <w:pPr>
              <w:spacing w:after="0"/>
              <w:rPr>
                <w:sz w:val="20"/>
                <w:szCs w:val="20"/>
                <w:color w:val="auto"/>
              </w:rPr>
            </w:pPr>
            <w:r>
              <w:rPr>
                <w:rFonts w:ascii="Arial" w:cs="Arial" w:eastAsia="Arial" w:hAnsi="Arial"/>
                <w:sz w:val="14"/>
                <w:szCs w:val="14"/>
                <w:color w:val="auto"/>
              </w:rPr>
              <w:t>(e)</w:t>
            </w:r>
          </w:p>
        </w:tc>
        <w:tc>
          <w:tcPr>
            <w:tcW w:w="10540" w:type="dxa"/>
            <w:vAlign w:val="bottom"/>
          </w:tcPr>
          <w:p>
            <w:pPr>
              <w:ind w:left="620"/>
              <w:spacing w:after="0"/>
              <w:rPr>
                <w:sz w:val="20"/>
                <w:szCs w:val="20"/>
                <w:color w:val="auto"/>
              </w:rPr>
            </w:pPr>
            <w:r>
              <w:rPr>
                <w:rFonts w:ascii="Arial" w:cs="Arial" w:eastAsia="Arial" w:hAnsi="Arial"/>
                <w:sz w:val="14"/>
                <w:szCs w:val="14"/>
                <w:color w:val="auto"/>
                <w:w w:val="91"/>
              </w:rPr>
              <w:t>Dividend Reinvestment Plan (Incorporated by reference to Exhibit 99.(E) to the Registrant’s Registration Statement on Form N-2 (File No. 333-150033), filed on April 2, 2008).</w:t>
            </w:r>
          </w:p>
        </w:tc>
      </w:tr>
      <w:tr>
        <w:trPr>
          <w:trHeight w:val="233"/>
        </w:trPr>
        <w:tc>
          <w:tcPr>
            <w:tcW w:w="880" w:type="dxa"/>
            <w:vAlign w:val="bottom"/>
          </w:tcPr>
          <w:p>
            <w:pPr>
              <w:spacing w:after="0"/>
              <w:rPr>
                <w:sz w:val="20"/>
                <w:szCs w:val="20"/>
                <w:color w:val="auto"/>
              </w:rPr>
            </w:pPr>
            <w:r>
              <w:rPr>
                <w:rFonts w:ascii="Arial" w:cs="Arial" w:eastAsia="Arial" w:hAnsi="Arial"/>
                <w:sz w:val="14"/>
                <w:szCs w:val="14"/>
                <w:color w:val="auto"/>
              </w:rPr>
              <w:t>(g)</w:t>
            </w:r>
          </w:p>
        </w:tc>
        <w:tc>
          <w:tcPr>
            <w:tcW w:w="10540" w:type="dxa"/>
            <w:vAlign w:val="bottom"/>
          </w:tcPr>
          <w:p>
            <w:pPr>
              <w:ind w:left="620"/>
              <w:spacing w:after="0"/>
              <w:rPr>
                <w:sz w:val="20"/>
                <w:szCs w:val="20"/>
                <w:color w:val="auto"/>
              </w:rPr>
            </w:pPr>
            <w:r>
              <w:rPr>
                <w:rFonts w:ascii="Arial" w:cs="Arial" w:eastAsia="Arial" w:hAnsi="Arial"/>
                <w:sz w:val="14"/>
                <w:szCs w:val="14"/>
                <w:color w:val="auto"/>
                <w:w w:val="88"/>
              </w:rPr>
              <w:t>Investment Management Agreement between the Registrant and PennantPark Investment Advisers, LLC (Incorporated by reference to Exhibit 99.(G) to the Registrant’s Registration</w:t>
            </w:r>
          </w:p>
        </w:tc>
      </w:tr>
      <w:tr>
        <w:trPr>
          <w:trHeight w:val="172"/>
        </w:trPr>
        <w:tc>
          <w:tcPr>
            <w:tcW w:w="880" w:type="dxa"/>
            <w:vAlign w:val="bottom"/>
          </w:tcPr>
          <w:p>
            <w:pPr>
              <w:spacing w:after="0"/>
              <w:rPr>
                <w:sz w:val="14"/>
                <w:szCs w:val="14"/>
                <w:color w:val="auto"/>
              </w:rPr>
            </w:pPr>
          </w:p>
        </w:tc>
        <w:tc>
          <w:tcPr>
            <w:tcW w:w="10540" w:type="dxa"/>
            <w:vAlign w:val="bottom"/>
          </w:tcPr>
          <w:p>
            <w:pPr>
              <w:ind w:left="620"/>
              <w:spacing w:after="0"/>
              <w:rPr>
                <w:sz w:val="20"/>
                <w:szCs w:val="20"/>
                <w:color w:val="auto"/>
              </w:rPr>
            </w:pPr>
            <w:r>
              <w:rPr>
                <w:rFonts w:ascii="Arial" w:cs="Arial" w:eastAsia="Arial" w:hAnsi="Arial"/>
                <w:sz w:val="14"/>
                <w:szCs w:val="14"/>
                <w:color w:val="auto"/>
              </w:rPr>
              <w:t>Statement on Form N-2 (File No. 333-150033), filed on April 2, 2008).</w:t>
            </w:r>
          </w:p>
        </w:tc>
      </w:tr>
      <w:tr>
        <w:trPr>
          <w:trHeight w:val="233"/>
        </w:trPr>
        <w:tc>
          <w:tcPr>
            <w:tcW w:w="880" w:type="dxa"/>
            <w:vAlign w:val="bottom"/>
          </w:tcPr>
          <w:p>
            <w:pPr>
              <w:spacing w:after="0"/>
              <w:rPr>
                <w:sz w:val="20"/>
                <w:szCs w:val="20"/>
                <w:color w:val="auto"/>
              </w:rPr>
            </w:pPr>
            <w:r>
              <w:rPr>
                <w:rFonts w:ascii="Arial" w:cs="Arial" w:eastAsia="Arial" w:hAnsi="Arial"/>
                <w:sz w:val="14"/>
                <w:szCs w:val="14"/>
                <w:color w:val="auto"/>
              </w:rPr>
              <w:t>(h)(1)</w:t>
            </w:r>
          </w:p>
        </w:tc>
        <w:tc>
          <w:tcPr>
            <w:tcW w:w="10540" w:type="dxa"/>
            <w:vAlign w:val="bottom"/>
          </w:tcPr>
          <w:p>
            <w:pPr>
              <w:ind w:left="620"/>
              <w:spacing w:after="0"/>
              <w:rPr>
                <w:sz w:val="20"/>
                <w:szCs w:val="20"/>
                <w:color w:val="auto"/>
              </w:rPr>
            </w:pPr>
            <w:r>
              <w:rPr>
                <w:rFonts w:ascii="Arial" w:cs="Arial" w:eastAsia="Arial" w:hAnsi="Arial"/>
                <w:sz w:val="14"/>
                <w:szCs w:val="14"/>
                <w:color w:val="auto"/>
                <w:w w:val="90"/>
              </w:rPr>
              <w:t>Form of Underwriting Agreement for equity (Incorporated by reference to Exhibit 99.(H)(1) to the Registrant’s Pre-Effective Amendment to the Registration Statement on Form N-</w:t>
            </w:r>
          </w:p>
        </w:tc>
      </w:tr>
      <w:tr>
        <w:trPr>
          <w:trHeight w:val="172"/>
        </w:trPr>
        <w:tc>
          <w:tcPr>
            <w:tcW w:w="880" w:type="dxa"/>
            <w:vAlign w:val="bottom"/>
          </w:tcPr>
          <w:p>
            <w:pPr>
              <w:spacing w:after="0"/>
              <w:rPr>
                <w:sz w:val="14"/>
                <w:szCs w:val="14"/>
                <w:color w:val="auto"/>
              </w:rPr>
            </w:pPr>
          </w:p>
        </w:tc>
        <w:tc>
          <w:tcPr>
            <w:tcW w:w="10540" w:type="dxa"/>
            <w:vAlign w:val="bottom"/>
          </w:tcPr>
          <w:p>
            <w:pPr>
              <w:ind w:left="620"/>
              <w:spacing w:after="0"/>
              <w:rPr>
                <w:sz w:val="20"/>
                <w:szCs w:val="20"/>
                <w:color w:val="auto"/>
              </w:rPr>
            </w:pPr>
            <w:r>
              <w:rPr>
                <w:rFonts w:ascii="Arial" w:cs="Arial" w:eastAsia="Arial" w:hAnsi="Arial"/>
                <w:sz w:val="14"/>
                <w:szCs w:val="14"/>
                <w:color w:val="auto"/>
              </w:rPr>
              <w:t>2/A (File No. 333-150033), filed on May 30, 2008).</w:t>
            </w:r>
          </w:p>
        </w:tc>
      </w:tr>
      <w:tr>
        <w:trPr>
          <w:trHeight w:val="233"/>
        </w:trPr>
        <w:tc>
          <w:tcPr>
            <w:tcW w:w="880" w:type="dxa"/>
            <w:vAlign w:val="bottom"/>
          </w:tcPr>
          <w:p>
            <w:pPr>
              <w:spacing w:after="0"/>
              <w:rPr>
                <w:sz w:val="20"/>
                <w:szCs w:val="20"/>
                <w:color w:val="auto"/>
              </w:rPr>
            </w:pPr>
            <w:r>
              <w:rPr>
                <w:rFonts w:ascii="Arial" w:cs="Arial" w:eastAsia="Arial" w:hAnsi="Arial"/>
                <w:sz w:val="14"/>
                <w:szCs w:val="14"/>
                <w:color w:val="auto"/>
              </w:rPr>
              <w:t>(h)(2)</w:t>
            </w:r>
          </w:p>
        </w:tc>
        <w:tc>
          <w:tcPr>
            <w:tcW w:w="10540" w:type="dxa"/>
            <w:vAlign w:val="bottom"/>
          </w:tcPr>
          <w:p>
            <w:pPr>
              <w:ind w:left="620"/>
              <w:spacing w:after="0"/>
              <w:rPr>
                <w:sz w:val="20"/>
                <w:szCs w:val="20"/>
                <w:color w:val="auto"/>
              </w:rPr>
            </w:pPr>
            <w:r>
              <w:rPr>
                <w:rFonts w:ascii="Arial" w:cs="Arial" w:eastAsia="Arial" w:hAnsi="Arial"/>
                <w:sz w:val="14"/>
                <w:szCs w:val="14"/>
                <w:color w:val="auto"/>
                <w:w w:val="91"/>
              </w:rPr>
              <w:t>Form of Underwriting Agreement for equity (Incorporated by reference to Exhibit 99.(H)(1) to the Registrant’s Post-Effective Amendment No. 4 to the Registration Statement on</w:t>
            </w:r>
          </w:p>
        </w:tc>
      </w:tr>
      <w:tr>
        <w:trPr>
          <w:trHeight w:val="172"/>
        </w:trPr>
        <w:tc>
          <w:tcPr>
            <w:tcW w:w="880" w:type="dxa"/>
            <w:vAlign w:val="bottom"/>
          </w:tcPr>
          <w:p>
            <w:pPr>
              <w:spacing w:after="0"/>
              <w:rPr>
                <w:sz w:val="14"/>
                <w:szCs w:val="14"/>
                <w:color w:val="auto"/>
              </w:rPr>
            </w:pPr>
          </w:p>
        </w:tc>
        <w:tc>
          <w:tcPr>
            <w:tcW w:w="10540" w:type="dxa"/>
            <w:vAlign w:val="bottom"/>
          </w:tcPr>
          <w:p>
            <w:pPr>
              <w:ind w:left="620"/>
              <w:spacing w:after="0"/>
              <w:rPr>
                <w:sz w:val="20"/>
                <w:szCs w:val="20"/>
                <w:color w:val="auto"/>
              </w:rPr>
            </w:pPr>
            <w:r>
              <w:rPr>
                <w:rFonts w:ascii="Arial" w:cs="Arial" w:eastAsia="Arial" w:hAnsi="Arial"/>
                <w:sz w:val="14"/>
                <w:szCs w:val="14"/>
                <w:color w:val="auto"/>
              </w:rPr>
              <w:t>Form N-2/A (File No. 333-150033), filed on February 22, 2010).</w:t>
            </w:r>
          </w:p>
        </w:tc>
      </w:tr>
      <w:tr>
        <w:trPr>
          <w:trHeight w:val="233"/>
        </w:trPr>
        <w:tc>
          <w:tcPr>
            <w:tcW w:w="880" w:type="dxa"/>
            <w:vAlign w:val="bottom"/>
          </w:tcPr>
          <w:p>
            <w:pPr>
              <w:spacing w:after="0"/>
              <w:rPr>
                <w:sz w:val="20"/>
                <w:szCs w:val="20"/>
                <w:color w:val="auto"/>
              </w:rPr>
            </w:pPr>
            <w:r>
              <w:rPr>
                <w:rFonts w:ascii="Arial" w:cs="Arial" w:eastAsia="Arial" w:hAnsi="Arial"/>
                <w:sz w:val="14"/>
                <w:szCs w:val="14"/>
                <w:color w:val="auto"/>
              </w:rPr>
              <w:t>(h)(3)</w:t>
            </w:r>
          </w:p>
        </w:tc>
        <w:tc>
          <w:tcPr>
            <w:tcW w:w="10540" w:type="dxa"/>
            <w:vAlign w:val="bottom"/>
          </w:tcPr>
          <w:p>
            <w:pPr>
              <w:ind w:left="620"/>
              <w:spacing w:after="0"/>
              <w:rPr>
                <w:sz w:val="20"/>
                <w:szCs w:val="20"/>
                <w:color w:val="auto"/>
              </w:rPr>
            </w:pPr>
            <w:r>
              <w:rPr>
                <w:rFonts w:ascii="Arial" w:cs="Arial" w:eastAsia="Arial" w:hAnsi="Arial"/>
                <w:sz w:val="14"/>
                <w:szCs w:val="14"/>
                <w:color w:val="auto"/>
                <w:w w:val="89"/>
              </w:rPr>
              <w:t>Form of Underwriting Agreement for debt (Incorporated by reference to Exhibit 99.(H)(2) to the Registrant’s Pre-Effective Amendment to the Registration Statement on Form N-2/A</w:t>
            </w:r>
          </w:p>
        </w:tc>
      </w:tr>
      <w:tr>
        <w:trPr>
          <w:trHeight w:val="172"/>
        </w:trPr>
        <w:tc>
          <w:tcPr>
            <w:tcW w:w="880" w:type="dxa"/>
            <w:vAlign w:val="bottom"/>
          </w:tcPr>
          <w:p>
            <w:pPr>
              <w:spacing w:after="0"/>
              <w:rPr>
                <w:sz w:val="14"/>
                <w:szCs w:val="14"/>
                <w:color w:val="auto"/>
              </w:rPr>
            </w:pPr>
          </w:p>
        </w:tc>
        <w:tc>
          <w:tcPr>
            <w:tcW w:w="10540" w:type="dxa"/>
            <w:vAlign w:val="bottom"/>
          </w:tcPr>
          <w:p>
            <w:pPr>
              <w:ind w:left="620"/>
              <w:spacing w:after="0"/>
              <w:rPr>
                <w:sz w:val="20"/>
                <w:szCs w:val="20"/>
                <w:color w:val="auto"/>
              </w:rPr>
            </w:pPr>
            <w:r>
              <w:rPr>
                <w:rFonts w:ascii="Arial" w:cs="Arial" w:eastAsia="Arial" w:hAnsi="Arial"/>
                <w:sz w:val="14"/>
                <w:szCs w:val="14"/>
                <w:color w:val="auto"/>
              </w:rPr>
              <w:t>(File No. 333-150033), filed on May 30, 2008).</w:t>
            </w:r>
          </w:p>
        </w:tc>
      </w:tr>
      <w:tr>
        <w:trPr>
          <w:trHeight w:val="233"/>
        </w:trPr>
        <w:tc>
          <w:tcPr>
            <w:tcW w:w="880" w:type="dxa"/>
            <w:vAlign w:val="bottom"/>
          </w:tcPr>
          <w:p>
            <w:pPr>
              <w:spacing w:after="0"/>
              <w:rPr>
                <w:sz w:val="20"/>
                <w:szCs w:val="20"/>
                <w:color w:val="auto"/>
              </w:rPr>
            </w:pPr>
            <w:r>
              <w:rPr>
                <w:rFonts w:ascii="Arial" w:cs="Arial" w:eastAsia="Arial" w:hAnsi="Arial"/>
                <w:sz w:val="14"/>
                <w:szCs w:val="14"/>
                <w:color w:val="auto"/>
              </w:rPr>
              <w:t>(j)</w:t>
            </w:r>
          </w:p>
        </w:tc>
        <w:tc>
          <w:tcPr>
            <w:tcW w:w="10540" w:type="dxa"/>
            <w:vAlign w:val="bottom"/>
          </w:tcPr>
          <w:p>
            <w:pPr>
              <w:ind w:left="620"/>
              <w:spacing w:after="0"/>
              <w:rPr>
                <w:sz w:val="20"/>
                <w:szCs w:val="20"/>
                <w:color w:val="auto"/>
              </w:rPr>
            </w:pPr>
            <w:r>
              <w:rPr>
                <w:rFonts w:ascii="Arial" w:cs="Arial" w:eastAsia="Arial" w:hAnsi="Arial"/>
                <w:sz w:val="14"/>
                <w:szCs w:val="14"/>
                <w:color w:val="auto"/>
                <w:w w:val="88"/>
              </w:rPr>
              <w:t>Custodian Agreement between the Registrant and PFPC Trust Company (Incorporated by reference to Exhibit 99.(J)(1) to the Registrant’s Registration Statement on Form N-2 (File</w:t>
            </w:r>
          </w:p>
        </w:tc>
      </w:tr>
      <w:tr>
        <w:trPr>
          <w:trHeight w:val="172"/>
        </w:trPr>
        <w:tc>
          <w:tcPr>
            <w:tcW w:w="880" w:type="dxa"/>
            <w:vAlign w:val="bottom"/>
          </w:tcPr>
          <w:p>
            <w:pPr>
              <w:spacing w:after="0"/>
              <w:rPr>
                <w:sz w:val="14"/>
                <w:szCs w:val="14"/>
                <w:color w:val="auto"/>
              </w:rPr>
            </w:pPr>
          </w:p>
        </w:tc>
        <w:tc>
          <w:tcPr>
            <w:tcW w:w="10540" w:type="dxa"/>
            <w:vAlign w:val="bottom"/>
          </w:tcPr>
          <w:p>
            <w:pPr>
              <w:ind w:left="620"/>
              <w:spacing w:after="0"/>
              <w:rPr>
                <w:sz w:val="20"/>
                <w:szCs w:val="20"/>
                <w:color w:val="auto"/>
              </w:rPr>
            </w:pPr>
            <w:r>
              <w:rPr>
                <w:rFonts w:ascii="Arial" w:cs="Arial" w:eastAsia="Arial" w:hAnsi="Arial"/>
                <w:sz w:val="14"/>
                <w:szCs w:val="14"/>
                <w:color w:val="auto"/>
              </w:rPr>
              <w:t>No. 333-150033), filed on April 2, 2008).</w:t>
            </w:r>
          </w:p>
        </w:tc>
      </w:tr>
      <w:tr>
        <w:trPr>
          <w:trHeight w:val="233"/>
        </w:trPr>
        <w:tc>
          <w:tcPr>
            <w:tcW w:w="880" w:type="dxa"/>
            <w:vAlign w:val="bottom"/>
          </w:tcPr>
          <w:p>
            <w:pPr>
              <w:spacing w:after="0"/>
              <w:rPr>
                <w:sz w:val="20"/>
                <w:szCs w:val="20"/>
                <w:color w:val="auto"/>
              </w:rPr>
            </w:pPr>
            <w:r>
              <w:rPr>
                <w:rFonts w:ascii="Arial" w:cs="Arial" w:eastAsia="Arial" w:hAnsi="Arial"/>
                <w:sz w:val="14"/>
                <w:szCs w:val="14"/>
                <w:color w:val="auto"/>
              </w:rPr>
              <w:t>(k)(1)</w:t>
            </w:r>
          </w:p>
        </w:tc>
        <w:tc>
          <w:tcPr>
            <w:tcW w:w="10540" w:type="dxa"/>
            <w:vAlign w:val="bottom"/>
          </w:tcPr>
          <w:p>
            <w:pPr>
              <w:ind w:left="620"/>
              <w:spacing w:after="0"/>
              <w:rPr>
                <w:sz w:val="20"/>
                <w:szCs w:val="20"/>
                <w:color w:val="auto"/>
              </w:rPr>
            </w:pPr>
            <w:r>
              <w:rPr>
                <w:rFonts w:ascii="Arial" w:cs="Arial" w:eastAsia="Arial" w:hAnsi="Arial"/>
                <w:sz w:val="14"/>
                <w:szCs w:val="14"/>
                <w:color w:val="auto"/>
                <w:w w:val="89"/>
              </w:rPr>
              <w:t>Administration Agreement between the Registrant and PennantPark Investment Administration, LLC (Incorporated by reference to Exhibit 99.(K)(1) to the Registrant’s Registration</w:t>
            </w:r>
          </w:p>
        </w:tc>
      </w:tr>
      <w:tr>
        <w:trPr>
          <w:trHeight w:val="172"/>
        </w:trPr>
        <w:tc>
          <w:tcPr>
            <w:tcW w:w="880" w:type="dxa"/>
            <w:vAlign w:val="bottom"/>
          </w:tcPr>
          <w:p>
            <w:pPr>
              <w:spacing w:after="0"/>
              <w:rPr>
                <w:sz w:val="14"/>
                <w:szCs w:val="14"/>
                <w:color w:val="auto"/>
              </w:rPr>
            </w:pPr>
          </w:p>
        </w:tc>
        <w:tc>
          <w:tcPr>
            <w:tcW w:w="10540" w:type="dxa"/>
            <w:vAlign w:val="bottom"/>
          </w:tcPr>
          <w:p>
            <w:pPr>
              <w:ind w:left="620"/>
              <w:spacing w:after="0"/>
              <w:rPr>
                <w:sz w:val="20"/>
                <w:szCs w:val="20"/>
                <w:color w:val="auto"/>
              </w:rPr>
            </w:pPr>
            <w:r>
              <w:rPr>
                <w:rFonts w:ascii="Arial" w:cs="Arial" w:eastAsia="Arial" w:hAnsi="Arial"/>
                <w:sz w:val="14"/>
                <w:szCs w:val="14"/>
                <w:color w:val="auto"/>
              </w:rPr>
              <w:t>Statement on Form N-2 (File No. 333-150033), filed on April 2, 2008).</w:t>
            </w:r>
          </w:p>
        </w:tc>
      </w:tr>
      <w:tr>
        <w:trPr>
          <w:trHeight w:val="233"/>
        </w:trPr>
        <w:tc>
          <w:tcPr>
            <w:tcW w:w="880" w:type="dxa"/>
            <w:vAlign w:val="bottom"/>
          </w:tcPr>
          <w:p>
            <w:pPr>
              <w:spacing w:after="0"/>
              <w:rPr>
                <w:sz w:val="20"/>
                <w:szCs w:val="20"/>
                <w:color w:val="auto"/>
              </w:rPr>
            </w:pPr>
            <w:r>
              <w:rPr>
                <w:rFonts w:ascii="Arial" w:cs="Arial" w:eastAsia="Arial" w:hAnsi="Arial"/>
                <w:sz w:val="14"/>
                <w:szCs w:val="14"/>
                <w:color w:val="auto"/>
              </w:rPr>
              <w:t>(k)(2)</w:t>
            </w:r>
          </w:p>
        </w:tc>
        <w:tc>
          <w:tcPr>
            <w:tcW w:w="10540" w:type="dxa"/>
            <w:vAlign w:val="bottom"/>
          </w:tcPr>
          <w:p>
            <w:pPr>
              <w:ind w:left="620"/>
              <w:spacing w:after="0"/>
              <w:rPr>
                <w:sz w:val="20"/>
                <w:szCs w:val="20"/>
                <w:color w:val="auto"/>
              </w:rPr>
            </w:pPr>
            <w:r>
              <w:rPr>
                <w:rFonts w:ascii="Arial" w:cs="Arial" w:eastAsia="Arial" w:hAnsi="Arial"/>
                <w:sz w:val="14"/>
                <w:szCs w:val="14"/>
                <w:color w:val="auto"/>
                <w:w w:val="91"/>
              </w:rPr>
              <w:t>Stock Transfer Agency Agreement between the Registrant and American Stock Transfer and Trust Company (Incorporated by reference to Exhibit 99.(K)(2) to the Registrant’s</w:t>
            </w:r>
          </w:p>
        </w:tc>
      </w:tr>
      <w:tr>
        <w:trPr>
          <w:trHeight w:val="172"/>
        </w:trPr>
        <w:tc>
          <w:tcPr>
            <w:tcW w:w="880" w:type="dxa"/>
            <w:vAlign w:val="bottom"/>
          </w:tcPr>
          <w:p>
            <w:pPr>
              <w:spacing w:after="0"/>
              <w:rPr>
                <w:sz w:val="14"/>
                <w:szCs w:val="14"/>
                <w:color w:val="auto"/>
              </w:rPr>
            </w:pPr>
          </w:p>
        </w:tc>
        <w:tc>
          <w:tcPr>
            <w:tcW w:w="10540" w:type="dxa"/>
            <w:vAlign w:val="bottom"/>
          </w:tcPr>
          <w:p>
            <w:pPr>
              <w:ind w:left="620"/>
              <w:spacing w:after="0"/>
              <w:rPr>
                <w:sz w:val="20"/>
                <w:szCs w:val="20"/>
                <w:color w:val="auto"/>
              </w:rPr>
            </w:pPr>
            <w:r>
              <w:rPr>
                <w:rFonts w:ascii="Arial" w:cs="Arial" w:eastAsia="Arial" w:hAnsi="Arial"/>
                <w:sz w:val="14"/>
                <w:szCs w:val="14"/>
                <w:color w:val="auto"/>
              </w:rPr>
              <w:t>Registration Statement on Form N-2 (File No. 333-150033), filed on April 2, 2008).</w:t>
            </w:r>
          </w:p>
        </w:tc>
      </w:tr>
      <w:tr>
        <w:trPr>
          <w:trHeight w:val="257"/>
        </w:trPr>
        <w:tc>
          <w:tcPr>
            <w:tcW w:w="880" w:type="dxa"/>
            <w:vAlign w:val="bottom"/>
          </w:tcPr>
          <w:p>
            <w:pPr>
              <w:spacing w:after="0"/>
              <w:rPr>
                <w:sz w:val="20"/>
                <w:szCs w:val="20"/>
                <w:color w:val="auto"/>
              </w:rPr>
            </w:pPr>
            <w:r>
              <w:rPr>
                <w:rFonts w:ascii="Arial" w:cs="Arial" w:eastAsia="Arial" w:hAnsi="Arial"/>
                <w:sz w:val="14"/>
                <w:szCs w:val="14"/>
                <w:color w:val="auto"/>
              </w:rPr>
              <w:t>(k)(3)</w:t>
            </w:r>
          </w:p>
        </w:tc>
        <w:tc>
          <w:tcPr>
            <w:tcW w:w="10540" w:type="dxa"/>
            <w:vAlign w:val="bottom"/>
          </w:tcPr>
          <w:p>
            <w:pPr>
              <w:ind w:left="620"/>
              <w:spacing w:after="0"/>
              <w:rPr>
                <w:sz w:val="20"/>
                <w:szCs w:val="20"/>
                <w:color w:val="auto"/>
              </w:rPr>
            </w:pPr>
            <w:r>
              <w:rPr>
                <w:rFonts w:ascii="Arial" w:cs="Arial" w:eastAsia="Arial" w:hAnsi="Arial"/>
                <w:sz w:val="14"/>
                <w:szCs w:val="14"/>
                <w:color w:val="auto"/>
                <w:w w:val="89"/>
              </w:rPr>
              <w:t>Trademark License Agreement (Incorporated by reference to Exhibit 99.(K)(3) to the Registrant’s Registration Statement on Form N-2 (File No. 333-150033), filed on April 2, 2008).</w:t>
            </w:r>
          </w:p>
        </w:tc>
      </w:tr>
      <w:tr>
        <w:trPr>
          <w:trHeight w:val="233"/>
        </w:trPr>
        <w:tc>
          <w:tcPr>
            <w:tcW w:w="880" w:type="dxa"/>
            <w:vAlign w:val="bottom"/>
          </w:tcPr>
          <w:p>
            <w:pPr>
              <w:spacing w:after="0"/>
              <w:rPr>
                <w:sz w:val="20"/>
                <w:szCs w:val="20"/>
                <w:color w:val="auto"/>
              </w:rPr>
            </w:pPr>
            <w:r>
              <w:rPr>
                <w:rFonts w:ascii="Arial" w:cs="Arial" w:eastAsia="Arial" w:hAnsi="Arial"/>
                <w:sz w:val="14"/>
                <w:szCs w:val="14"/>
                <w:color w:val="auto"/>
              </w:rPr>
              <w:t>(k)(4)</w:t>
            </w:r>
          </w:p>
        </w:tc>
        <w:tc>
          <w:tcPr>
            <w:tcW w:w="10540" w:type="dxa"/>
            <w:vAlign w:val="bottom"/>
          </w:tcPr>
          <w:p>
            <w:pPr>
              <w:ind w:left="620"/>
              <w:spacing w:after="0"/>
              <w:rPr>
                <w:sz w:val="20"/>
                <w:szCs w:val="20"/>
                <w:color w:val="auto"/>
              </w:rPr>
            </w:pPr>
            <w:r>
              <w:rPr>
                <w:rFonts w:ascii="Arial" w:cs="Arial" w:eastAsia="Arial" w:hAnsi="Arial"/>
                <w:sz w:val="14"/>
                <w:szCs w:val="14"/>
                <w:color w:val="auto"/>
                <w:w w:val="89"/>
              </w:rPr>
              <w:t>Senior Secured Revolving Credit Agreement between Registrant and various lenders (Incorporated by reference to the Report on Form 8-K. Exhibit 99.2 (File No. 814-00736), filed</w:t>
            </w:r>
          </w:p>
        </w:tc>
      </w:tr>
      <w:tr>
        <w:trPr>
          <w:trHeight w:val="172"/>
        </w:trPr>
        <w:tc>
          <w:tcPr>
            <w:tcW w:w="880" w:type="dxa"/>
            <w:vAlign w:val="bottom"/>
          </w:tcPr>
          <w:p>
            <w:pPr>
              <w:spacing w:after="0"/>
              <w:rPr>
                <w:sz w:val="14"/>
                <w:szCs w:val="14"/>
                <w:color w:val="auto"/>
              </w:rPr>
            </w:pPr>
          </w:p>
        </w:tc>
        <w:tc>
          <w:tcPr>
            <w:tcW w:w="10540" w:type="dxa"/>
            <w:vAlign w:val="bottom"/>
          </w:tcPr>
          <w:p>
            <w:pPr>
              <w:ind w:left="620"/>
              <w:spacing w:after="0"/>
              <w:rPr>
                <w:sz w:val="20"/>
                <w:szCs w:val="20"/>
                <w:color w:val="auto"/>
              </w:rPr>
            </w:pPr>
            <w:r>
              <w:rPr>
                <w:rFonts w:ascii="Arial" w:cs="Arial" w:eastAsia="Arial" w:hAnsi="Arial"/>
                <w:sz w:val="14"/>
                <w:szCs w:val="14"/>
                <w:color w:val="auto"/>
              </w:rPr>
              <w:t>on June 28, 2007 and May 5, 2010, as amended).</w:t>
            </w:r>
          </w:p>
        </w:tc>
      </w:tr>
      <w:tr>
        <w:trPr>
          <w:trHeight w:val="257"/>
        </w:trPr>
        <w:tc>
          <w:tcPr>
            <w:tcW w:w="880" w:type="dxa"/>
            <w:vAlign w:val="bottom"/>
          </w:tcPr>
          <w:p>
            <w:pPr>
              <w:spacing w:after="0"/>
              <w:rPr>
                <w:sz w:val="20"/>
                <w:szCs w:val="20"/>
                <w:color w:val="auto"/>
              </w:rPr>
            </w:pPr>
            <w:r>
              <w:rPr>
                <w:rFonts w:ascii="Arial" w:cs="Arial" w:eastAsia="Arial" w:hAnsi="Arial"/>
                <w:sz w:val="14"/>
                <w:szCs w:val="14"/>
                <w:color w:val="auto"/>
              </w:rPr>
              <w:t>(l)*</w:t>
            </w:r>
          </w:p>
        </w:tc>
        <w:tc>
          <w:tcPr>
            <w:tcW w:w="10540" w:type="dxa"/>
            <w:vAlign w:val="bottom"/>
          </w:tcPr>
          <w:p>
            <w:pPr>
              <w:ind w:left="620"/>
              <w:spacing w:after="0"/>
              <w:rPr>
                <w:sz w:val="20"/>
                <w:szCs w:val="20"/>
                <w:color w:val="auto"/>
              </w:rPr>
            </w:pPr>
            <w:r>
              <w:rPr>
                <w:rFonts w:ascii="Arial" w:cs="Arial" w:eastAsia="Arial" w:hAnsi="Arial"/>
                <w:sz w:val="14"/>
                <w:szCs w:val="14"/>
                <w:color w:val="auto"/>
              </w:rPr>
              <w:t>Opinion and Consent of Venable LLP.</w:t>
            </w:r>
          </w:p>
        </w:tc>
      </w:tr>
      <w:tr>
        <w:trPr>
          <w:trHeight w:val="257"/>
        </w:trPr>
        <w:tc>
          <w:tcPr>
            <w:tcW w:w="880" w:type="dxa"/>
            <w:vAlign w:val="bottom"/>
          </w:tcPr>
          <w:p>
            <w:pPr>
              <w:spacing w:after="0"/>
              <w:rPr>
                <w:sz w:val="20"/>
                <w:szCs w:val="20"/>
                <w:color w:val="auto"/>
              </w:rPr>
            </w:pPr>
            <w:r>
              <w:rPr>
                <w:rFonts w:ascii="Arial" w:cs="Arial" w:eastAsia="Arial" w:hAnsi="Arial"/>
                <w:sz w:val="14"/>
                <w:szCs w:val="14"/>
                <w:color w:val="auto"/>
              </w:rPr>
              <w:t>(n)(1)**</w:t>
            </w:r>
          </w:p>
        </w:tc>
        <w:tc>
          <w:tcPr>
            <w:tcW w:w="10540" w:type="dxa"/>
            <w:vAlign w:val="bottom"/>
          </w:tcPr>
          <w:p>
            <w:pPr>
              <w:ind w:left="620"/>
              <w:spacing w:after="0"/>
              <w:rPr>
                <w:sz w:val="20"/>
                <w:szCs w:val="20"/>
                <w:color w:val="auto"/>
              </w:rPr>
            </w:pPr>
            <w:r>
              <w:rPr>
                <w:rFonts w:ascii="Arial" w:cs="Arial" w:eastAsia="Arial" w:hAnsi="Arial"/>
                <w:sz w:val="14"/>
                <w:szCs w:val="14"/>
                <w:color w:val="auto"/>
              </w:rPr>
              <w:t>Awareness Letter of Independent Registered Public Accounting Firm.</w:t>
            </w:r>
          </w:p>
        </w:tc>
      </w:tr>
      <w:tr>
        <w:trPr>
          <w:trHeight w:val="257"/>
        </w:trPr>
        <w:tc>
          <w:tcPr>
            <w:tcW w:w="880" w:type="dxa"/>
            <w:vAlign w:val="bottom"/>
          </w:tcPr>
          <w:p>
            <w:pPr>
              <w:spacing w:after="0"/>
              <w:rPr>
                <w:sz w:val="20"/>
                <w:szCs w:val="20"/>
                <w:color w:val="auto"/>
              </w:rPr>
            </w:pPr>
            <w:r>
              <w:rPr>
                <w:rFonts w:ascii="Arial" w:cs="Arial" w:eastAsia="Arial" w:hAnsi="Arial"/>
                <w:sz w:val="14"/>
                <w:szCs w:val="14"/>
                <w:color w:val="auto"/>
              </w:rPr>
              <w:t>(n)(2)**</w:t>
            </w:r>
          </w:p>
        </w:tc>
        <w:tc>
          <w:tcPr>
            <w:tcW w:w="10540" w:type="dxa"/>
            <w:vAlign w:val="bottom"/>
          </w:tcPr>
          <w:p>
            <w:pPr>
              <w:ind w:left="620"/>
              <w:spacing w:after="0"/>
              <w:rPr>
                <w:sz w:val="20"/>
                <w:szCs w:val="20"/>
                <w:color w:val="auto"/>
              </w:rPr>
            </w:pPr>
            <w:r>
              <w:rPr>
                <w:rFonts w:ascii="Arial" w:cs="Arial" w:eastAsia="Arial" w:hAnsi="Arial"/>
                <w:sz w:val="14"/>
                <w:szCs w:val="14"/>
                <w:color w:val="auto"/>
              </w:rPr>
              <w:t>Consent of Independent Registered Public Accounting Firm.</w:t>
            </w:r>
          </w:p>
        </w:tc>
      </w:tr>
      <w:tr>
        <w:trPr>
          <w:trHeight w:val="233"/>
        </w:trPr>
        <w:tc>
          <w:tcPr>
            <w:tcW w:w="880" w:type="dxa"/>
            <w:vAlign w:val="bottom"/>
          </w:tcPr>
          <w:p>
            <w:pPr>
              <w:spacing w:after="0"/>
              <w:rPr>
                <w:sz w:val="20"/>
                <w:szCs w:val="20"/>
                <w:color w:val="auto"/>
              </w:rPr>
            </w:pPr>
            <w:r>
              <w:rPr>
                <w:rFonts w:ascii="Arial" w:cs="Arial" w:eastAsia="Arial" w:hAnsi="Arial"/>
                <w:sz w:val="14"/>
                <w:szCs w:val="14"/>
                <w:color w:val="auto"/>
              </w:rPr>
              <w:t>(r)(1)</w:t>
            </w:r>
          </w:p>
        </w:tc>
        <w:tc>
          <w:tcPr>
            <w:tcW w:w="10540" w:type="dxa"/>
            <w:vAlign w:val="bottom"/>
          </w:tcPr>
          <w:p>
            <w:pPr>
              <w:ind w:left="620"/>
              <w:spacing w:after="0"/>
              <w:rPr>
                <w:sz w:val="20"/>
                <w:szCs w:val="20"/>
                <w:color w:val="auto"/>
              </w:rPr>
            </w:pPr>
            <w:r>
              <w:rPr>
                <w:rFonts w:ascii="Arial" w:cs="Arial" w:eastAsia="Arial" w:hAnsi="Arial"/>
                <w:sz w:val="14"/>
                <w:szCs w:val="14"/>
                <w:color w:val="auto"/>
                <w:w w:val="89"/>
              </w:rPr>
              <w:t>Joint Code of Ethics of the Registrant and PennantPark Investment Advisers, LLC (Incorporated by reference to Exhibit 14.1 to the Registrant’s Report on Form 10-K (File No. 814-</w:t>
            </w:r>
          </w:p>
        </w:tc>
      </w:tr>
      <w:tr>
        <w:trPr>
          <w:trHeight w:val="172"/>
        </w:trPr>
        <w:tc>
          <w:tcPr>
            <w:tcW w:w="880" w:type="dxa"/>
            <w:vAlign w:val="bottom"/>
          </w:tcPr>
          <w:p>
            <w:pPr>
              <w:spacing w:after="0"/>
              <w:rPr>
                <w:sz w:val="14"/>
                <w:szCs w:val="14"/>
                <w:color w:val="auto"/>
              </w:rPr>
            </w:pPr>
          </w:p>
        </w:tc>
        <w:tc>
          <w:tcPr>
            <w:tcW w:w="10540" w:type="dxa"/>
            <w:vAlign w:val="bottom"/>
          </w:tcPr>
          <w:p>
            <w:pPr>
              <w:ind w:left="620"/>
              <w:spacing w:after="0"/>
              <w:rPr>
                <w:sz w:val="20"/>
                <w:szCs w:val="20"/>
                <w:color w:val="auto"/>
              </w:rPr>
            </w:pPr>
            <w:r>
              <w:rPr>
                <w:rFonts w:ascii="Arial" w:cs="Arial" w:eastAsia="Arial" w:hAnsi="Arial"/>
                <w:sz w:val="14"/>
                <w:szCs w:val="14"/>
                <w:color w:val="auto"/>
              </w:rPr>
              <w:t>00736), filed on November 17,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right="9120" w:firstLine="8"/>
        <w:spacing w:after="0" w:line="332" w:lineRule="auto"/>
        <w:tabs>
          <w:tab w:leader="none" w:pos="44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To be filed by amendment ** Filed herewith.</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600" w:type="dxa"/>
            <w:vAlign w:val="bottom"/>
            <w:gridSpan w:val="2"/>
            <w:shd w:val="clear" w:color="auto" w:fill="CCEEFF"/>
          </w:tcPr>
          <w:p>
            <w:pPr>
              <w:jc w:val="center"/>
              <w:ind w:left="377"/>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3"/>
          </w:tcPr>
          <w:p>
            <w:pPr>
              <w:spacing w:after="0"/>
              <w:rPr>
                <w:sz w:val="20"/>
                <w:szCs w:val="20"/>
                <w:color w:val="auto"/>
              </w:rPr>
            </w:pPr>
            <w:r>
              <w:rPr>
                <w:rFonts w:ascii="Arial" w:cs="Arial" w:eastAsia="Arial" w:hAnsi="Arial"/>
                <w:sz w:val="18"/>
                <w:szCs w:val="18"/>
                <w:color w:val="auto"/>
              </w:rPr>
              <w:t>NASDAQ listing fee</w:t>
            </w:r>
          </w:p>
        </w:tc>
        <w:tc>
          <w:tcPr>
            <w:tcW w:w="600" w:type="dxa"/>
            <w:vAlign w:val="bottom"/>
            <w:gridSpan w:val="2"/>
          </w:tcPr>
          <w:p>
            <w:pPr>
              <w:jc w:val="center"/>
              <w:ind w:left="377"/>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600" w:type="dxa"/>
            <w:vAlign w:val="bottom"/>
            <w:gridSpan w:val="2"/>
            <w:shd w:val="clear" w:color="auto" w:fill="CCEEFF"/>
          </w:tcPr>
          <w:p>
            <w:pPr>
              <w:jc w:val="center"/>
              <w:ind w:left="377"/>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3"/>
          </w:tcPr>
          <w:p>
            <w:pPr>
              <w:spacing w:after="0"/>
              <w:rPr>
                <w:sz w:val="20"/>
                <w:szCs w:val="20"/>
                <w:color w:val="auto"/>
              </w:rPr>
            </w:pPr>
            <w:r>
              <w:rPr>
                <w:rFonts w:ascii="Arial" w:cs="Arial" w:eastAsia="Arial" w:hAnsi="Arial"/>
                <w:sz w:val="18"/>
                <w:szCs w:val="18"/>
                <w:color w:val="auto"/>
              </w:rPr>
              <w:t>Printing (other than certificates)</w:t>
            </w:r>
          </w:p>
        </w:tc>
        <w:tc>
          <w:tcPr>
            <w:tcW w:w="600" w:type="dxa"/>
            <w:vAlign w:val="bottom"/>
            <w:gridSpan w:val="2"/>
          </w:tcPr>
          <w:p>
            <w:pPr>
              <w:jc w:val="center"/>
              <w:ind w:left="377"/>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600" w:type="dxa"/>
            <w:vAlign w:val="bottom"/>
            <w:gridSpan w:val="2"/>
            <w:shd w:val="clear" w:color="auto" w:fill="CCEEFF"/>
          </w:tcPr>
          <w:p>
            <w:pPr>
              <w:jc w:val="center"/>
              <w:ind w:left="377"/>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600" w:type="dxa"/>
            <w:vAlign w:val="bottom"/>
            <w:gridSpan w:val="2"/>
          </w:tcPr>
          <w:p>
            <w:pPr>
              <w:jc w:val="center"/>
              <w:ind w:left="377"/>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600" w:type="dxa"/>
            <w:vAlign w:val="bottom"/>
            <w:gridSpan w:val="2"/>
          </w:tcPr>
          <w:p>
            <w:pPr>
              <w:jc w:val="center"/>
              <w:ind w:left="377"/>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1,500,000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80" w:type="dxa"/>
            <w:vAlign w:val="bottom"/>
            <w:gridSpan w:val="3"/>
            <w:vMerge w:val="restart"/>
          </w:tcPr>
          <w:p>
            <w:pPr>
              <w:ind w:left="440"/>
              <w:spacing w:after="0"/>
              <w:rPr>
                <w:sz w:val="20"/>
                <w:szCs w:val="20"/>
                <w:color w:val="auto"/>
              </w:rPr>
            </w:pPr>
            <w:r>
              <w:rPr>
                <w:rFonts w:ascii="Arial" w:cs="Arial" w:eastAsia="Arial" w:hAnsi="Arial"/>
                <w:sz w:val="18"/>
                <w:szCs w:val="18"/>
                <w:color w:val="auto"/>
              </w:rPr>
              <w:t>All of the expense set forth above shall be borne by the Registrant.</w:t>
            </w: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98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28.</w:t>
            </w:r>
          </w:p>
        </w:tc>
        <w:tc>
          <w:tcPr>
            <w:tcW w:w="912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Persons controlled by or under common control with the registrant</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980" w:type="dxa"/>
            <w:vAlign w:val="bottom"/>
            <w:gridSpan w:val="3"/>
          </w:tcPr>
          <w:p>
            <w:pPr>
              <w:ind w:left="440"/>
              <w:spacing w:after="0"/>
              <w:rPr>
                <w:sz w:val="20"/>
                <w:szCs w:val="20"/>
                <w:color w:val="auto"/>
              </w:rPr>
            </w:pPr>
            <w:r>
              <w:rPr>
                <w:rFonts w:ascii="Arial" w:cs="Arial" w:eastAsia="Arial" w:hAnsi="Arial"/>
                <w:sz w:val="18"/>
                <w:szCs w:val="18"/>
                <w:color w:val="auto"/>
              </w:rPr>
              <w:t>The following lists sets forth each of the companies considered to be controlled by us as defined by the 1940 Act.</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4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Voting Securities</w:t>
            </w:r>
          </w:p>
        </w:tc>
        <w:tc>
          <w:tcPr>
            <w:tcW w:w="0" w:type="dxa"/>
            <w:vAlign w:val="bottom"/>
          </w:tcPr>
          <w:p>
            <w:pPr>
              <w:spacing w:after="0"/>
              <w:rPr>
                <w:sz w:val="1"/>
                <w:szCs w:val="1"/>
                <w:color w:val="auto"/>
              </w:rPr>
            </w:pPr>
          </w:p>
        </w:tc>
      </w:tr>
      <w:tr>
        <w:trPr>
          <w:trHeight w:val="161"/>
        </w:trPr>
        <w:tc>
          <w:tcPr>
            <w:tcW w:w="10000" w:type="dxa"/>
            <w:vAlign w:val="bottom"/>
            <w:gridSpan w:val="4"/>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14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Owned 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PennantPark SBIC LP (Delaware)</w:t>
            </w:r>
          </w:p>
        </w:tc>
        <w:tc>
          <w:tcPr>
            <w:tcW w:w="7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4"/>
              </w:rPr>
              <w:t>100%</w:t>
            </w:r>
            <w:r>
              <w:rPr>
                <w:rFonts w:ascii="Arial" w:cs="Arial" w:eastAsia="Arial" w:hAnsi="Arial"/>
                <w:sz w:val="11"/>
                <w:szCs w:val="11"/>
                <w:color w:val="auto"/>
                <w:w w:val="94"/>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3"/>
          </w:tcPr>
          <w:p>
            <w:pPr>
              <w:spacing w:after="0"/>
              <w:rPr>
                <w:sz w:val="20"/>
                <w:szCs w:val="20"/>
                <w:color w:val="auto"/>
              </w:rPr>
            </w:pPr>
            <w:r>
              <w:rPr>
                <w:rFonts w:ascii="Arial" w:cs="Arial" w:eastAsia="Arial" w:hAnsi="Arial"/>
                <w:sz w:val="18"/>
                <w:szCs w:val="18"/>
                <w:color w:val="auto"/>
              </w:rPr>
              <w:t>PennantPark GP, LLC (Delaware)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PNNT Alabama Holdings Inc. (Delaware)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4"/>
              </w:rPr>
              <w:t>100%</w:t>
            </w:r>
            <w:r>
              <w:rPr>
                <w:rFonts w:ascii="Arial" w:cs="Arial" w:eastAsia="Arial" w:hAnsi="Arial"/>
                <w:sz w:val="11"/>
                <w:szCs w:val="11"/>
                <w:color w:val="auto"/>
                <w:w w:val="94"/>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3"/>
          </w:tcPr>
          <w:p>
            <w:pPr>
              <w:spacing w:after="0"/>
              <w:rPr>
                <w:sz w:val="20"/>
                <w:szCs w:val="20"/>
                <w:color w:val="auto"/>
              </w:rPr>
            </w:pPr>
            <w:r>
              <w:rPr>
                <w:rFonts w:ascii="Arial" w:cs="Arial" w:eastAsia="Arial" w:hAnsi="Arial"/>
                <w:sz w:val="18"/>
                <w:szCs w:val="18"/>
                <w:color w:val="auto"/>
              </w:rPr>
              <w:t>SuttonPark Holdings, Inc. (Delaware)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ind w:left="240"/>
              <w:spacing w:after="0"/>
              <w:rPr>
                <w:sz w:val="20"/>
                <w:szCs w:val="20"/>
                <w:color w:val="auto"/>
              </w:rPr>
            </w:pPr>
            <w:r>
              <w:rPr>
                <w:rFonts w:ascii="Arial" w:cs="Arial" w:eastAsia="Arial" w:hAnsi="Arial"/>
                <w:sz w:val="18"/>
                <w:szCs w:val="18"/>
                <w:color w:val="auto"/>
                <w:w w:val="94"/>
              </w:rPr>
              <w:t>100%</w:t>
            </w:r>
            <w:r>
              <w:rPr>
                <w:rFonts w:ascii="Arial" w:cs="Arial" w:eastAsia="Arial" w:hAnsi="Arial"/>
                <w:sz w:val="11"/>
                <w:szCs w:val="11"/>
                <w:color w:val="auto"/>
                <w:w w:val="94"/>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SuttonPark Capital LLC (Delaware)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00"/>
              <w:spacing w:after="0" w:line="217" w:lineRule="exact"/>
              <w:rPr>
                <w:sz w:val="20"/>
                <w:szCs w:val="20"/>
                <w:color w:val="auto"/>
              </w:rPr>
            </w:pPr>
            <w:r>
              <w:rPr>
                <w:rFonts w:ascii="Arial" w:cs="Arial" w:eastAsia="Arial" w:hAnsi="Arial"/>
                <w:sz w:val="18"/>
                <w:szCs w:val="18"/>
                <w:color w:val="auto"/>
              </w:rPr>
              <w:t>N/A</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entity is directly owned 99% by us and 1% by PennantPark GP, LLC, which is effectively wholly-owned by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This entity is non-operational.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This is a controlled investment.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entity is indirectly owned by us and directly owned by SuttonPark Holdings, Inc.</w:t>
      </w:r>
    </w:p>
    <w:p>
      <w:pPr>
        <w:spacing w:after="0" w:line="2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29.</w:t>
      </w:r>
      <w:r>
        <w:rPr>
          <w:sz w:val="20"/>
          <w:szCs w:val="20"/>
          <w:color w:val="auto"/>
        </w:rPr>
        <w:tab/>
      </w:r>
      <w:r>
        <w:rPr>
          <w:rFonts w:ascii="Arial" w:cs="Arial" w:eastAsia="Arial" w:hAnsi="Arial"/>
          <w:sz w:val="15"/>
          <w:szCs w:val="15"/>
          <w:b w:val="1"/>
          <w:bCs w:val="1"/>
          <w:color w:val="auto"/>
        </w:rPr>
        <w:t>Number of holders of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23, 2011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554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Number of Record Holders</w:t>
            </w:r>
          </w:p>
        </w:tc>
      </w:tr>
      <w:tr>
        <w:trPr>
          <w:trHeight w:val="166"/>
        </w:trPr>
        <w:tc>
          <w:tcPr>
            <w:tcW w:w="4020" w:type="dxa"/>
            <w:vAlign w:val="bottom"/>
          </w:tcPr>
          <w:p>
            <w:pPr>
              <w:jc w:val="center"/>
              <w:spacing w:after="0"/>
              <w:rPr>
                <w:sz w:val="20"/>
                <w:szCs w:val="20"/>
                <w:color w:val="auto"/>
              </w:rPr>
            </w:pPr>
            <w:r>
              <w:rPr>
                <w:rFonts w:ascii="Arial" w:cs="Arial" w:eastAsia="Arial" w:hAnsi="Arial"/>
                <w:sz w:val="14"/>
                <w:szCs w:val="14"/>
                <w:color w:val="auto"/>
                <w:w w:val="87"/>
              </w:rPr>
              <w:t>Common Stock, $0.001 par value</w:t>
            </w:r>
          </w:p>
        </w:tc>
        <w:tc>
          <w:tcPr>
            <w:tcW w:w="5540" w:type="dxa"/>
            <w:vAlign w:val="bottom"/>
          </w:tcPr>
          <w:p>
            <w:pPr>
              <w:spacing w:after="0"/>
              <w:rPr>
                <w:sz w:val="14"/>
                <w:szCs w:val="14"/>
                <w:color w:val="auto"/>
              </w:rPr>
            </w:pPr>
          </w:p>
        </w:tc>
        <w:tc>
          <w:tcPr>
            <w:tcW w:w="1860" w:type="dxa"/>
            <w:vAlign w:val="bottom"/>
          </w:tcPr>
          <w:p>
            <w:pPr>
              <w:jc w:val="right"/>
              <w:ind w:right="792"/>
              <w:spacing w:after="0"/>
              <w:rPr>
                <w:sz w:val="20"/>
                <w:szCs w:val="20"/>
                <w:color w:val="auto"/>
              </w:rPr>
            </w:pPr>
            <w:r>
              <w:rPr>
                <w:rFonts w:ascii="Arial" w:cs="Arial" w:eastAsia="Arial" w:hAnsi="Arial"/>
                <w:sz w:val="14"/>
                <w:szCs w:val="14"/>
                <w:color w:val="auto"/>
              </w:rPr>
              <w:t>13</w:t>
            </w:r>
          </w:p>
        </w:tc>
      </w:tr>
    </w:tbl>
    <w:p>
      <w:pPr>
        <w:spacing w:after="0" w:line="2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information contained under the heading “Limitation on Liability of Directors and Officers; Indemnification and Advance of Expenses”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Adviser and its officers and directors is set forth in its Form ADV, as filed with the Securities and Exchange Commission (SEC File No. 801-67622), and is incorporated herein by reference.</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accounts, books and other documents required to be maintained by Section 31(a) of the 1940 Act, and the rules thereunder are maintained at the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65" w:lineRule="exact"/>
        <w:rPr>
          <w:sz w:val="20"/>
          <w:szCs w:val="20"/>
          <w:color w:val="auto"/>
        </w:rPr>
      </w:pPr>
    </w:p>
    <w:p>
      <w:pPr>
        <w:ind w:left="720" w:hanging="256"/>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590 Madison Avenue, 15th Floor, New York, NY 10022</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Transfer Agent, American Stock Transfer and Trust Company, 59 Maiden Lane, New York, NY 10038;</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Custodian, PFPC Trust Company, 8800 Tinicum Boulevard, 4th Floor, Philadelphia, PA 19153;</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15th Floor, New York, NY 10022</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undertakes:</w:t>
      </w:r>
    </w:p>
    <w:p>
      <w:pPr>
        <w:spacing w:after="0" w:line="171" w:lineRule="exact"/>
        <w:rPr>
          <w:sz w:val="20"/>
          <w:szCs w:val="20"/>
          <w:color w:val="auto"/>
        </w:rPr>
      </w:pPr>
    </w:p>
    <w:p>
      <w:pPr>
        <w:ind w:right="220" w:firstLine="464"/>
        <w:spacing w:after="0" w:line="259" w:lineRule="auto"/>
        <w:tabs>
          <w:tab w:leader="none" w:pos="70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suspend the offering of its units until it amends its prospectus if (a) subsequent to the effective date of its registration statement, the net asset value declines more than 10 percent from its net asset value as of the effective date of the Registration Statement or (b) the net asset value increases to an amount greater than its net proceeds as stated in the prospectus;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40" w:firstLine="464"/>
        <w:spacing w:after="0" w:line="294" w:lineRule="auto"/>
        <w:tabs>
          <w:tab w:leader="none" w:pos="70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90" w:lineRule="exact"/>
        <w:rPr>
          <w:sz w:val="20"/>
          <w:szCs w:val="20"/>
          <w:color w:val="auto"/>
        </w:rPr>
      </w:pPr>
    </w:p>
    <w:p>
      <w:pPr>
        <w:ind w:left="1560" w:hanging="219"/>
        <w:spacing w:after="0"/>
        <w:tabs>
          <w:tab w:leader="none" w:pos="15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920" w:firstLine="421"/>
        <w:spacing w:after="0" w:line="259" w:lineRule="auto"/>
        <w:tabs>
          <w:tab w:leader="none" w:pos="159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00" w:firstLine="421"/>
        <w:spacing w:after="0" w:line="268" w:lineRule="auto"/>
        <w:tabs>
          <w:tab w:leader="none" w:pos="164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9"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460" w:right="40" w:firstLine="443"/>
        <w:spacing w:after="0" w:line="290" w:lineRule="auto"/>
        <w:tabs>
          <w:tab w:leader="none" w:pos="114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37" w:lineRule="exact"/>
        <w:rPr>
          <w:rFonts w:ascii="Arial" w:cs="Arial" w:eastAsia="Arial" w:hAnsi="Arial"/>
          <w:sz w:val="16"/>
          <w:szCs w:val="16"/>
          <w:color w:val="auto"/>
        </w:rPr>
      </w:pPr>
    </w:p>
    <w:p>
      <w:pPr>
        <w:ind w:left="460" w:firstLine="443"/>
        <w:spacing w:after="0" w:line="323" w:lineRule="auto"/>
        <w:tabs>
          <w:tab w:leader="none" w:pos="1137"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16" w:lineRule="exact"/>
        <w:rPr>
          <w:rFonts w:ascii="Arial" w:cs="Arial" w:eastAsia="Arial" w:hAnsi="Arial"/>
          <w:sz w:val="15"/>
          <w:szCs w:val="15"/>
          <w:color w:val="auto"/>
        </w:rPr>
      </w:pPr>
    </w:p>
    <w:p>
      <w:pPr>
        <w:ind w:left="920" w:right="320" w:firstLine="421"/>
        <w:spacing w:after="0" w:line="268" w:lineRule="auto"/>
        <w:tabs>
          <w:tab w:leader="none" w:pos="154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1" w:lineRule="exact"/>
        <w:rPr>
          <w:sz w:val="20"/>
          <w:szCs w:val="20"/>
          <w:color w:val="auto"/>
        </w:rPr>
      </w:pPr>
    </w:p>
    <w:p>
      <w:pPr>
        <w:ind w:left="920" w:right="360" w:firstLine="421"/>
        <w:spacing w:after="0" w:line="332" w:lineRule="auto"/>
        <w:tabs>
          <w:tab w:leader="none" w:pos="1598"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4" w:lineRule="exact"/>
        <w:rPr>
          <w:rFonts w:ascii="Arial" w:cs="Arial" w:eastAsia="Arial" w:hAnsi="Arial"/>
          <w:sz w:val="16"/>
          <w:szCs w:val="16"/>
          <w:color w:val="auto"/>
        </w:rPr>
      </w:pPr>
    </w:p>
    <w:p>
      <w:pPr>
        <w:ind w:left="1640" w:hanging="299"/>
        <w:spacing w:after="0"/>
        <w:tabs>
          <w:tab w:leader="none" w:pos="16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460" w:firstLine="443"/>
        <w:spacing w:after="0" w:line="254" w:lineRule="auto"/>
        <w:tabs>
          <w:tab w:leader="none" w:pos="111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 (a) 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4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(5)(a) that for the purposes of determining any liability under the Securities Act of 1933, the information omitted from the form of prospectus filed as part of a registration statement in reliance upon Rule 430A and contained in the form of prospectus filed by the Registrant under Rule 497(h) under the Securities Act of 1933 shall be deemed to be part of the Registration Statement as of the time it was declared effective and</w:t>
      </w:r>
    </w:p>
    <w:p>
      <w:pPr>
        <w:spacing w:after="0" w:line="107" w:lineRule="exact"/>
        <w:rPr>
          <w:sz w:val="20"/>
          <w:szCs w:val="20"/>
          <w:color w:val="auto"/>
        </w:rPr>
      </w:pPr>
    </w:p>
    <w:p>
      <w:pPr>
        <w:ind w:left="1160" w:hanging="257"/>
        <w:spacing w:after="0"/>
        <w:tabs>
          <w:tab w:leader="none" w:pos="11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of 1933, each post-effective amendment that contains a form of</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prospectus shall be deemed to be a new registration statement relating to the securities offered therein, and the offering of the securities at that time shall be deemed to be the initial bona fide offering thereof.</w:t>
      </w:r>
    </w:p>
    <w:p>
      <w:pPr>
        <w:spacing w:after="0" w:line="56" w:lineRule="exact"/>
        <w:rPr>
          <w:rFonts w:ascii="Arial" w:cs="Arial" w:eastAsia="Arial" w:hAnsi="Arial"/>
          <w:sz w:val="16"/>
          <w:szCs w:val="16"/>
          <w:color w:val="auto"/>
        </w:rPr>
      </w:pPr>
    </w:p>
    <w:p>
      <w:pPr>
        <w:ind w:left="720" w:hanging="256"/>
        <w:spacing w:after="0"/>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N-2 to be signed on its behalf by the undersigned, thereunto duly authorized, in the City of New York, and State of New York, on the 15</w:t>
      </w:r>
      <w:r>
        <w:rPr>
          <w:rFonts w:ascii="Arial" w:cs="Arial" w:eastAsia="Arial" w:hAnsi="Arial"/>
          <w:sz w:val="10"/>
          <w:szCs w:val="10"/>
          <w:color w:val="auto"/>
        </w:rPr>
        <w:t>th</w:t>
      </w:r>
      <w:r>
        <w:rPr>
          <w:rFonts w:ascii="Arial" w:cs="Arial" w:eastAsia="Arial" w:hAnsi="Arial"/>
          <w:sz w:val="16"/>
          <w:szCs w:val="16"/>
          <w:color w:val="auto"/>
        </w:rPr>
        <w:t xml:space="preserve"> day of April, 2011.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131"/>
        </w:trPr>
        <w:tc>
          <w:tcPr>
            <w:tcW w:w="52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Arthur H. Penn</w:t>
            </w:r>
          </w:p>
        </w:tc>
      </w:tr>
      <w:tr>
        <w:trPr>
          <w:trHeight w:val="174"/>
        </w:trPr>
        <w:tc>
          <w:tcPr>
            <w:tcW w:w="52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 Board</w:t>
            </w:r>
          </w:p>
        </w:tc>
      </w:tr>
    </w:tbl>
    <w:p>
      <w:pPr>
        <w:spacing w:after="0" w:line="22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set forth below on the 15</w:t>
      </w:r>
      <w:r>
        <w:rPr>
          <w:rFonts w:ascii="Arial" w:cs="Arial" w:eastAsia="Arial" w:hAnsi="Arial"/>
          <w:sz w:val="11"/>
          <w:szCs w:val="11"/>
          <w:color w:val="auto"/>
        </w:rPr>
        <w:t>th</w:t>
      </w:r>
      <w:r>
        <w:rPr>
          <w:rFonts w:ascii="Arial" w:cs="Arial" w:eastAsia="Arial" w:hAnsi="Arial"/>
          <w:sz w:val="18"/>
          <w:szCs w:val="18"/>
          <w:color w:val="auto"/>
        </w:rPr>
        <w:t xml:space="preserve"> day of April,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Name</w:t>
            </w:r>
          </w:p>
        </w:tc>
        <w:tc>
          <w:tcPr>
            <w:tcW w:w="580" w:type="dxa"/>
            <w:vAlign w:val="bottom"/>
          </w:tcPr>
          <w:p>
            <w:pPr>
              <w:spacing w:after="0"/>
              <w:rPr>
                <w:sz w:val="15"/>
                <w:szCs w:val="15"/>
                <w:color w:val="auto"/>
              </w:rPr>
            </w:pPr>
          </w:p>
        </w:tc>
        <w:tc>
          <w:tcPr>
            <w:tcW w:w="5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210"/>
        </w:trPr>
        <w:tc>
          <w:tcPr>
            <w:tcW w:w="5040" w:type="dxa"/>
            <w:vAlign w:val="bottom"/>
            <w:tcBorders>
              <w:bottom w:val="single" w:sz="8" w:color="auto"/>
            </w:tcBorders>
          </w:tcPr>
          <w:p>
            <w:pPr>
              <w:jc w:val="center"/>
              <w:ind w:right="223"/>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c>
          <w:tcPr>
            <w:tcW w:w="580" w:type="dxa"/>
            <w:vAlign w:val="bottom"/>
          </w:tcPr>
          <w:p>
            <w:pPr>
              <w:spacing w:after="0"/>
              <w:rPr>
                <w:sz w:val="18"/>
                <w:szCs w:val="18"/>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0"/>
              </w:rPr>
              <w:t>Chairman of the Board of Directors and Chief Executive Officer (Principal</w:t>
            </w:r>
          </w:p>
        </w:tc>
      </w:tr>
      <w:tr>
        <w:trPr>
          <w:trHeight w:val="202"/>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3"/>
              </w:rPr>
              <w:t>Arthur H. Penn</w:t>
            </w:r>
          </w:p>
        </w:tc>
        <w:tc>
          <w:tcPr>
            <w:tcW w:w="580" w:type="dxa"/>
            <w:vAlign w:val="bottom"/>
          </w:tcPr>
          <w:p>
            <w:pPr>
              <w:spacing w:after="0"/>
              <w:rPr>
                <w:sz w:val="17"/>
                <w:szCs w:val="17"/>
                <w:color w:val="auto"/>
              </w:rPr>
            </w:pPr>
          </w:p>
        </w:tc>
        <w:tc>
          <w:tcPr>
            <w:tcW w:w="5800" w:type="dxa"/>
            <w:vAlign w:val="bottom"/>
          </w:tcPr>
          <w:p>
            <w:pPr>
              <w:jc w:val="center"/>
              <w:spacing w:after="0" w:line="202" w:lineRule="exact"/>
              <w:rPr>
                <w:sz w:val="20"/>
                <w:szCs w:val="20"/>
                <w:color w:val="auto"/>
              </w:rPr>
            </w:pPr>
            <w:r>
              <w:rPr>
                <w:rFonts w:ascii="Arial" w:cs="Arial" w:eastAsia="Arial" w:hAnsi="Arial"/>
                <w:sz w:val="18"/>
                <w:szCs w:val="18"/>
                <w:color w:val="auto"/>
                <w:w w:val="92"/>
              </w:rPr>
              <w:t>Executive Officer)</w:t>
            </w:r>
          </w:p>
        </w:tc>
      </w:tr>
      <w:tr>
        <w:trPr>
          <w:trHeight w:val="424"/>
        </w:trPr>
        <w:tc>
          <w:tcPr>
            <w:tcW w:w="5040" w:type="dxa"/>
            <w:vAlign w:val="bottom"/>
            <w:tcBorders>
              <w:bottom w:val="single" w:sz="8" w:color="auto"/>
            </w:tcBorders>
          </w:tcPr>
          <w:p>
            <w:pPr>
              <w:jc w:val="center"/>
              <w:ind w:right="203"/>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VIV</w:t>
            </w:r>
            <w:r>
              <w:rPr>
                <w:rFonts w:ascii="Arial" w:cs="Arial" w:eastAsia="Arial" w:hAnsi="Arial"/>
                <w:sz w:val="18"/>
                <w:szCs w:val="18"/>
                <w:color w:val="auto"/>
              </w:rPr>
              <w:t xml:space="preserve"> E</w:t>
            </w:r>
            <w:r>
              <w:rPr>
                <w:rFonts w:ascii="Arial" w:cs="Arial" w:eastAsia="Arial" w:hAnsi="Arial"/>
                <w:sz w:val="14"/>
                <w:szCs w:val="14"/>
                <w:color w:val="auto"/>
              </w:rPr>
              <w:t>FRAT</w:t>
            </w:r>
          </w:p>
        </w:tc>
        <w:tc>
          <w:tcPr>
            <w:tcW w:w="580" w:type="dxa"/>
            <w:vAlign w:val="bottom"/>
          </w:tcPr>
          <w:p>
            <w:pPr>
              <w:spacing w:after="0"/>
              <w:rPr>
                <w:sz w:val="24"/>
                <w:szCs w:val="24"/>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0"/>
              </w:rPr>
              <w:t>Chief Financial Officer and Treasurer (Principal Financial and Accounting</w:t>
            </w:r>
          </w:p>
        </w:tc>
      </w:tr>
      <w:tr>
        <w:trPr>
          <w:trHeight w:val="202"/>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Aviv Efrat</w:t>
            </w:r>
          </w:p>
        </w:tc>
        <w:tc>
          <w:tcPr>
            <w:tcW w:w="580" w:type="dxa"/>
            <w:vAlign w:val="bottom"/>
          </w:tcPr>
          <w:p>
            <w:pPr>
              <w:spacing w:after="0"/>
              <w:rPr>
                <w:sz w:val="17"/>
                <w:szCs w:val="17"/>
                <w:color w:val="auto"/>
              </w:rPr>
            </w:pPr>
          </w:p>
        </w:tc>
        <w:tc>
          <w:tcPr>
            <w:tcW w:w="5800" w:type="dxa"/>
            <w:vAlign w:val="bottom"/>
          </w:tcPr>
          <w:p>
            <w:pPr>
              <w:jc w:val="center"/>
              <w:spacing w:after="0" w:line="202" w:lineRule="exact"/>
              <w:rPr>
                <w:sz w:val="20"/>
                <w:szCs w:val="20"/>
                <w:color w:val="auto"/>
              </w:rPr>
            </w:pPr>
            <w:r>
              <w:rPr>
                <w:rFonts w:ascii="Arial" w:cs="Arial" w:eastAsia="Arial" w:hAnsi="Arial"/>
                <w:sz w:val="18"/>
                <w:szCs w:val="18"/>
                <w:color w:val="auto"/>
                <w:w w:val="94"/>
              </w:rPr>
              <w:t>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Adam K. Bernstein</w:t>
            </w:r>
          </w:p>
        </w:tc>
        <w:tc>
          <w:tcPr>
            <w:tcW w:w="580" w:type="dxa"/>
            <w:vAlign w:val="bottom"/>
          </w:tcPr>
          <w:p>
            <w:pPr>
              <w:spacing w:after="0"/>
              <w:rPr>
                <w:sz w:val="14"/>
                <w:szCs w:val="14"/>
                <w:color w:val="auto"/>
              </w:rPr>
            </w:pPr>
          </w:p>
        </w:tc>
        <w:tc>
          <w:tcPr>
            <w:tcW w:w="580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5"/>
              </w:rPr>
              <w:t>Jeffrey Flug</w:t>
            </w:r>
          </w:p>
        </w:tc>
        <w:tc>
          <w:tcPr>
            <w:tcW w:w="580" w:type="dxa"/>
            <w:vAlign w:val="bottom"/>
          </w:tcPr>
          <w:p>
            <w:pPr>
              <w:spacing w:after="0"/>
              <w:rPr>
                <w:sz w:val="14"/>
                <w:szCs w:val="14"/>
                <w:color w:val="auto"/>
              </w:rPr>
            </w:pPr>
          </w:p>
        </w:tc>
        <w:tc>
          <w:tcPr>
            <w:tcW w:w="580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Marshall Brozost</w:t>
            </w:r>
          </w:p>
        </w:tc>
        <w:tc>
          <w:tcPr>
            <w:tcW w:w="580" w:type="dxa"/>
            <w:vAlign w:val="bottom"/>
          </w:tcPr>
          <w:p>
            <w:pPr>
              <w:spacing w:after="0"/>
              <w:rPr>
                <w:sz w:val="14"/>
                <w:szCs w:val="14"/>
                <w:color w:val="auto"/>
              </w:rPr>
            </w:pPr>
          </w:p>
        </w:tc>
        <w:tc>
          <w:tcPr>
            <w:tcW w:w="580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Samuel L. Katz</w:t>
            </w:r>
          </w:p>
        </w:tc>
        <w:tc>
          <w:tcPr>
            <w:tcW w:w="580" w:type="dxa"/>
            <w:vAlign w:val="bottom"/>
          </w:tcPr>
          <w:p>
            <w:pPr>
              <w:spacing w:after="0"/>
              <w:rPr>
                <w:sz w:val="14"/>
                <w:szCs w:val="14"/>
                <w:color w:val="auto"/>
              </w:rPr>
            </w:pPr>
          </w:p>
        </w:tc>
        <w:tc>
          <w:tcPr>
            <w:tcW w:w="5800" w:type="dxa"/>
            <w:vAlign w:val="bottom"/>
          </w:tcPr>
          <w:p>
            <w:pPr>
              <w:spacing w:after="0"/>
              <w:rPr>
                <w:sz w:val="14"/>
                <w:szCs w:val="14"/>
                <w:color w:val="auto"/>
              </w:rPr>
            </w:pPr>
          </w:p>
        </w:tc>
      </w:tr>
    </w:tbl>
    <w:p>
      <w:pPr>
        <w:spacing w:after="0" w:line="60" w:lineRule="exact"/>
        <w:rPr>
          <w:sz w:val="20"/>
          <w:szCs w:val="20"/>
          <w:color w:val="auto"/>
        </w:rPr>
      </w:pPr>
    </w:p>
    <w:p>
      <w:pPr>
        <w:ind w:left="5580" w:right="1540" w:hanging="5572"/>
        <w:spacing w:after="0" w:line="440" w:lineRule="auto"/>
        <w:tabs>
          <w:tab w:leader="none" w:pos="22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an attorney-in-fact signed by each on February 28, 2011. C-5</w:t>
      </w:r>
    </w:p>
    <w:p>
      <w:pPr>
        <w:sectPr>
          <w:pgSz w:w="11900" w:h="16838" w:orient="portrait"/>
          <w:cols w:equalWidth="0" w:num="1">
            <w:col w:w="11420"/>
          </w:cols>
          <w:pgMar w:left="240" w:top="459"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PENNANTPARK INVESTMENT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BYLAWS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177"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Corporation in the State of Maryland shall be located at such place as the Board of Directors may designate.</w:t>
      </w:r>
    </w:p>
    <w:p>
      <w:pPr>
        <w:spacing w:after="0" w:line="132"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ADDITIONAL OFFICES</w:t>
      </w:r>
      <w:r>
        <w:rPr>
          <w:rFonts w:ascii="Arial" w:cs="Arial" w:eastAsia="Arial" w:hAnsi="Arial"/>
          <w:sz w:val="18"/>
          <w:szCs w:val="18"/>
          <w:color w:val="auto"/>
        </w:rPr>
        <w:t>. The Corporation may have additional offices, including a principal executive office, at such places as the Board of Directors may from time to time determine or the business of the Corporation may require.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177"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PLACE</w:t>
      </w:r>
      <w:r>
        <w:rPr>
          <w:rFonts w:ascii="Arial" w:cs="Arial" w:eastAsia="Arial" w:hAnsi="Arial"/>
          <w:sz w:val="18"/>
          <w:szCs w:val="18"/>
          <w:color w:val="auto"/>
        </w:rPr>
        <w:t>. All meetings of stockholders shall be held at the principal executive office of the Corporation or at such other place as shall be set by the Board of Directors and stated in the notice of the meeting.</w:t>
      </w:r>
    </w:p>
    <w:p>
      <w:pPr>
        <w:spacing w:after="0" w:line="132"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ANNUAL MEETING</w:t>
      </w:r>
      <w:r>
        <w:rPr>
          <w:rFonts w:ascii="Arial" w:cs="Arial" w:eastAsia="Arial" w:hAnsi="Arial"/>
          <w:sz w:val="18"/>
          <w:szCs w:val="18"/>
          <w:color w:val="auto"/>
        </w:rPr>
        <w:t>. Commencing with the 2008 annual meeting of stockholders of the Corporation, an annual meeting of the stockholders for the election of directors and the transaction of any business within the powers of the Corporation shall be held on a date and at the time set by the Board of Directors during the month of February of each year.</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1"/>
          <w:numId w:val="129"/>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The Chairman of the Board, the president or the Board of Directors may call a special meeting of the stockholders. Subject to subsection</w:t>
      </w:r>
    </w:p>
    <w:p>
      <w:pPr>
        <w:spacing w:after="0" w:line="49" w:lineRule="exact"/>
        <w:rPr>
          <w:rFonts w:ascii="Arial" w:cs="Arial" w:eastAsia="Arial" w:hAnsi="Arial"/>
          <w:sz w:val="15"/>
          <w:szCs w:val="15"/>
          <w:color w:val="auto"/>
        </w:rPr>
      </w:pPr>
    </w:p>
    <w:p>
      <w:pPr>
        <w:ind w:right="100" w:firstLine="8"/>
        <w:spacing w:after="0" w:line="261" w:lineRule="auto"/>
        <w:tabs>
          <w:tab w:leader="none" w:pos="24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of this Section 3, a special meeting of stockholders shall also be called by the secretary of the Corporation upon the written request of stockholders entitled to cast not less than a majority of all the votes entitled to be cast at such meeting.</w:t>
      </w:r>
    </w:p>
    <w:p>
      <w:pPr>
        <w:spacing w:after="0" w:line="137" w:lineRule="exact"/>
        <w:rPr>
          <w:rFonts w:ascii="Arial" w:cs="Arial" w:eastAsia="Arial" w:hAnsi="Arial"/>
          <w:sz w:val="18"/>
          <w:szCs w:val="18"/>
          <w:color w:val="auto"/>
        </w:rPr>
      </w:pPr>
    </w:p>
    <w:p>
      <w:pPr>
        <w:ind w:right="80" w:firstLine="921"/>
        <w:spacing w:after="0" w:line="286" w:lineRule="auto"/>
        <w:tabs>
          <w:tab w:leader="none" w:pos="1161" w:val="left"/>
        </w:tabs>
        <w:numPr>
          <w:ilvl w:val="1"/>
          <w:numId w:val="130"/>
        </w:numPr>
        <w:rPr>
          <w:rFonts w:ascii="Arial" w:cs="Arial" w:eastAsia="Arial" w:hAnsi="Arial"/>
          <w:sz w:val="16"/>
          <w:szCs w:val="16"/>
          <w:color w:val="auto"/>
        </w:rPr>
      </w:pPr>
      <w:r>
        <w:rPr>
          <w:rFonts w:ascii="Arial" w:cs="Arial" w:eastAsia="Arial" w:hAnsi="Arial"/>
          <w:sz w:val="16"/>
          <w:szCs w:val="16"/>
          <w:u w:val="single" w:color="auto"/>
          <w:color w:val="auto"/>
        </w:rPr>
        <w:t>Stockholder Requested Special Meetings</w:t>
      </w:r>
      <w:r>
        <w:rPr>
          <w:rFonts w:ascii="Arial" w:cs="Arial" w:eastAsia="Arial" w:hAnsi="Arial"/>
          <w:sz w:val="16"/>
          <w:szCs w:val="16"/>
          <w:color w:val="auto"/>
        </w:rPr>
        <w:t>. (1) Any stockholder of record seeking to have stockholders request a special meeting shall, by sending written notice to the secretary (the “Record Date Request Notice”) by registered mail, return receipt requested, request the Board of Directors to fix a record date to determine the stockholders entitled to request a special meeting (the “Request Record Date”). The Record Date Request Notice shall set forth the purpose of the meeting and the matters proposed to be acted on at it, shall be signed by one or more stockholders of record as of the date of signature (or their agents duly authorized in a writing accompanying the Record Date Request Notice), shall bear the date of signature of each such stockholder (or such agent) and shall set forth all information relating to each such stockholder that must be disclosed in solicitations of proxies for election of directors in an election contest (even if an election contest is not involved), or is otherwise required, in each case pursuant to Regulation 14A (or any successor provision) under the Securities Exchange Act of 1934, as amended (the “Exchange Act”). Upon receiving the Record Date Request Notice, the Board of Directors may fix a Request Record Date. The Request Record Date shall not precede and shall not be more than ten days after the close of business on the date on which the resolution fixing the Request Record Date is adopted by the Board of Directors. If the Board of Directors, within ten days after the date on which a valid Record Date Request Notice is received, fails to adopt a resolution fixing the Request Record Date, the Request Record Date shall be the close of business on the tenth day after the first date on which the Record Date Request Notice is received by the secretary.</w:t>
      </w:r>
    </w:p>
    <w:p>
      <w:pPr>
        <w:spacing w:after="0" w:line="124" w:lineRule="exact"/>
        <w:rPr>
          <w:rFonts w:ascii="Arial" w:cs="Arial" w:eastAsia="Arial" w:hAnsi="Arial"/>
          <w:sz w:val="16"/>
          <w:szCs w:val="16"/>
          <w:color w:val="auto"/>
        </w:rPr>
      </w:pPr>
    </w:p>
    <w:p>
      <w:pPr>
        <w:ind w:right="40" w:firstLine="1492"/>
        <w:spacing w:after="0" w:line="318" w:lineRule="auto"/>
        <w:tabs>
          <w:tab w:leader="none" w:pos="1732" w:val="left"/>
        </w:tabs>
        <w:numPr>
          <w:ilvl w:val="2"/>
          <w:numId w:val="130"/>
        </w:numPr>
        <w:rPr>
          <w:rFonts w:ascii="Arial" w:cs="Arial" w:eastAsia="Arial" w:hAnsi="Arial"/>
          <w:sz w:val="15"/>
          <w:szCs w:val="15"/>
          <w:color w:val="auto"/>
        </w:rPr>
      </w:pPr>
      <w:r>
        <w:rPr>
          <w:rFonts w:ascii="Arial" w:cs="Arial" w:eastAsia="Arial" w:hAnsi="Arial"/>
          <w:sz w:val="15"/>
          <w:szCs w:val="15"/>
          <w:color w:val="auto"/>
        </w:rPr>
        <w:t>In order for any stockholder to request a special meeting, one or more written requests for a special meeting signed by stockholders of record (or their agents duly authorized in a writing accompanying the request) as of the Request Record Date entitled to cast not less than a majority (the “Special Meeting Percentage”) of all of the votes entitled to be cast at such meeting (the “Special Meeting Request”) shall be delivered to the secretary. In addition, the Special Meeting Request (a) shall set forth the purpose of the meeting and the matters proposed to be acted on at it (which shall be limited to those lawful matters set forth in the Record Date Request Notice received by the secretary), (b) shall bear the date of signature of each such stockholder (or such agent)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01" w:name="page202"/>
    <w:bookmarkEnd w:id="20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signing the Special Meeting Request, (c) shall set forth the name and address, as they appear in the Corporation’s books, of each stockholder signing such request (or on whose behalf the Special Meeting Request is signed) and the class, series and number of all shares of stock of the Corporation which are owned by each such stockholder, and the nominee holder for, and number of, shares owned by such stockholder beneficially but not of record, (d) shall be sent to the secretary by registered mail, return receipt requested, and (e) shall be received by the secretary within 60 days after the Request Record Date. Any requesting stockholder (or agent duly authorized in a writing accompanying the revocation or the Special Meeting Request) may revoke his, her or its request for a special meeting at any time by written revocation delivered to the secretary.</w:t>
      </w:r>
    </w:p>
    <w:p>
      <w:pPr>
        <w:spacing w:after="0" w:line="120" w:lineRule="exact"/>
        <w:rPr>
          <w:sz w:val="20"/>
          <w:szCs w:val="20"/>
          <w:color w:val="auto"/>
        </w:rPr>
      </w:pPr>
    </w:p>
    <w:p>
      <w:pPr>
        <w:ind w:firstLine="1492"/>
        <w:spacing w:after="0" w:line="256" w:lineRule="auto"/>
        <w:tabs>
          <w:tab w:leader="none" w:pos="173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secretary shall inform the requesting stockholders of the reasonably estimated cost of preparing and mailing the notice of meeting (including the Corporation’s proxy materials). The secretary shall not be required to call a special meeting upon stockholder request and such meeting shall not be held unless, in addition to the documents required by paragraph (2) of this Section 3(b), the secretary receives payment of such reasonably estimated cost prior to the mailing of any notice of the meeting.</w:t>
      </w:r>
    </w:p>
    <w:p>
      <w:pPr>
        <w:spacing w:after="0" w:line="143" w:lineRule="exact"/>
        <w:rPr>
          <w:rFonts w:ascii="Arial" w:cs="Arial" w:eastAsia="Arial" w:hAnsi="Arial"/>
          <w:sz w:val="18"/>
          <w:szCs w:val="18"/>
          <w:color w:val="auto"/>
        </w:rPr>
      </w:pPr>
    </w:p>
    <w:p>
      <w:pPr>
        <w:ind w:right="60" w:firstLine="1492"/>
        <w:spacing w:after="0" w:line="285" w:lineRule="auto"/>
        <w:tabs>
          <w:tab w:leader="none" w:pos="173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Except as provided in the next sentence, any special meeting shall be held at such place, date and time as may be designated by the Chairman of the Board, the president or the Board of Directors, whoever has called the meeting. In the case of any special meeting called by the secretary upon the request of stockholders (a “Stockholder Requested Meeting”), such meeting shall be held at such place, date and time as may be designated by the Board of Directors; provided, however, that the date of any Stockholder Requested Meeting shall be not more than 90 days after the record date for such meeting (the “Meeting Record Date”); and provided further that if the Board of Directors fails to designate, within ten days after the date that a valid Special Meeting Request is actually received by the secretary (the “Delivery Date”), a date and time for a Stockholder Requested Meeting, then such meeting shall be held at 2:00 p.m. local time on the 90th day after the Meeting Record Date or, if such 90th day is not a Business Day (as defined below), on the first preceding Business Day; and provided further that in the event that the Board of Directors fails to designate a place for a Stockholder Requested Meeting within ten days after the Delivery Date, then such meeting shall be held at the principal executive office of the Corporation. In fixing a date for any special meeting, the Chairman of the Board, the president or the Board of Directors may consider such factors as he, she or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 In the case of any Stockholder Requested Meeting, if the Board of Directors fails to fix a Meeting Record Date that is a date within 30 days after the Delivery Date, then the close of business on the 30th day after the Delivery Date shall be the Meeting Record Date. The Board of Directors may revoke the notice for any Stockholder Requested Meeting in the event that the requesting stockholders fail to comply with the provisions of paragraph (3) of this Section 3(b).</w:t>
      </w:r>
    </w:p>
    <w:p>
      <w:pPr>
        <w:spacing w:after="0" w:line="126" w:lineRule="exact"/>
        <w:rPr>
          <w:rFonts w:ascii="Arial" w:cs="Arial" w:eastAsia="Arial" w:hAnsi="Arial"/>
          <w:sz w:val="16"/>
          <w:szCs w:val="16"/>
          <w:color w:val="auto"/>
        </w:rPr>
      </w:pPr>
    </w:p>
    <w:p>
      <w:pPr>
        <w:ind w:right="20" w:firstLine="1492"/>
        <w:spacing w:after="0" w:line="289" w:lineRule="auto"/>
        <w:tabs>
          <w:tab w:leader="none" w:pos="173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If written revocations of requests for the special meeting have been delivered to the Secretary and the result is that stockholders of record (or their agents duly authorized in writing), as of the Request Record Date, entitled to cast less than the Special Meeting Percentage have delivered, and not revoked, requests for a special meeting to the Secretary, the Secretary shall: (i) if the notice of meeting has not already been mailed, refrain from mailing the notice of the meeting and send to all requesting stockholders who have not revoked such requests written notice of any revocation of a request for the special meeting, or (ii) if the notice of meeting has been mailed and if the Secretary first sends to all requesting stockholders who have not revoked requests for a special meeting written notice of any revocation of a request for the special meeting and written notice of the Secretary’s intention to revoke the notice of the meeting, revoke the notice of the meeting at any time before ten days before the commencement of the meeting. Any request for a special meeting received after a revocation by the Secretary of a notice of a meeting shall be considered a request for a new special meeting.</w:t>
      </w:r>
    </w:p>
    <w:p>
      <w:pPr>
        <w:spacing w:after="0" w:line="118" w:lineRule="exact"/>
        <w:rPr>
          <w:rFonts w:ascii="Arial" w:cs="Arial" w:eastAsia="Arial" w:hAnsi="Arial"/>
          <w:sz w:val="16"/>
          <w:szCs w:val="16"/>
          <w:color w:val="auto"/>
        </w:rPr>
      </w:pPr>
    </w:p>
    <w:p>
      <w:pPr>
        <w:ind w:firstLine="1492"/>
        <w:spacing w:after="0" w:line="290" w:lineRule="auto"/>
        <w:tabs>
          <w:tab w:leader="none" w:pos="173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Board of Directors, the Chairman of the Board or the president may appoint independent inspectors of elections to act as the agent of the Corporation for the purpose of promptly performing a ministerial review of the validity of any purported Special Meeting Request received by the secretary. For the purpose of permitting the inspectors to perform such review, no such purported request shall be deemed to have been delivered to the secretary until the earlier of (i) five Business Days after receipt by the secretary of such purported request and (ii) such date as the independent inspectors certify to the Corporation that the valid requests received by the secretary represent at least the Special Meeting Percentage. Nothing contained in this paragraph (6) shall in any way be construed to suggest or imply that the Corporation or any stockholder shall not be entitled to contest the validity of any request, whether during or after such five Business Day period, or to take any other action (including, without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02" w:name="page203"/>
    <w:bookmarkEnd w:id="20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 the commencement, prosecution or defense of any litigation with respect thereto, and the seeking of injunctive relief in such litigation).</w:t>
      </w:r>
    </w:p>
    <w:p>
      <w:pPr>
        <w:spacing w:after="0" w:line="194" w:lineRule="exact"/>
        <w:rPr>
          <w:sz w:val="20"/>
          <w:szCs w:val="20"/>
          <w:color w:val="auto"/>
        </w:rPr>
      </w:pPr>
    </w:p>
    <w:p>
      <w:pPr>
        <w:ind w:right="540" w:firstLine="1492"/>
        <w:spacing w:after="0" w:line="268" w:lineRule="auto"/>
        <w:tabs>
          <w:tab w:leader="none" w:pos="173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purposes of these Bylaws, “Business Day” shall mean any day other than a Saturday, a Sunday or other day on which banking institutions in the State of New York are authorized or obligated by law or executive order to close.</w:t>
      </w:r>
    </w:p>
    <w:p>
      <w:pPr>
        <w:spacing w:after="0" w:line="132"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NOTICE OF MEETINGS</w:t>
      </w:r>
      <w:r>
        <w:rPr>
          <w:rFonts w:ascii="Arial" w:cs="Arial" w:eastAsia="Arial" w:hAnsi="Arial"/>
          <w:sz w:val="16"/>
          <w:szCs w:val="16"/>
          <w:color w:val="auto"/>
        </w:rPr>
        <w:t>. Not less than ten nor more than 90 days before each meeting of stockholders, the secretary shall give to each stockholder entitled to vote at such meeting and to each stockholder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by presenting it to such stockholder personally, by leaving it at the stockholder’s residence or usual place of business or by any other means permitted by Maryland law. If mailed, such notice shall be deemed to be given when deposited in the United States mail addressed to the stockholder at the stockholder’s address as it appears on the records of the Corporation, with postage thereon prepaid.</w:t>
      </w:r>
    </w:p>
    <w:p>
      <w:pPr>
        <w:spacing w:after="0" w:line="120" w:lineRule="exact"/>
        <w:rPr>
          <w:sz w:val="20"/>
          <w:szCs w:val="20"/>
          <w:color w:val="auto"/>
        </w:rPr>
      </w:pPr>
    </w:p>
    <w:p>
      <w:pPr>
        <w:jc w:val="both"/>
        <w:ind w:right="360" w:firstLine="913"/>
        <w:spacing w:after="0" w:line="259" w:lineRule="auto"/>
        <w:rPr>
          <w:sz w:val="20"/>
          <w:szCs w:val="20"/>
          <w:color w:val="auto"/>
        </w:rPr>
      </w:pPr>
      <w:r>
        <w:rPr>
          <w:rFonts w:ascii="Arial" w:cs="Arial" w:eastAsia="Arial" w:hAnsi="Arial"/>
          <w:sz w:val="18"/>
          <w:szCs w:val="18"/>
          <w:color w:val="auto"/>
        </w:rPr>
        <w:t>Subject to Section 11(a) of this Article II,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w:t>
      </w:r>
    </w:p>
    <w:p>
      <w:pPr>
        <w:spacing w:after="0" w:line="140"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ORGANIZATION AND CONDUCT</w:t>
      </w:r>
      <w:r>
        <w:rPr>
          <w:rFonts w:ascii="Arial" w:cs="Arial" w:eastAsia="Arial" w:hAnsi="Arial"/>
          <w:sz w:val="16"/>
          <w:szCs w:val="16"/>
          <w:color w:val="auto"/>
        </w:rPr>
        <w:t>. Every meeting of stockholders shall be conducted by an individual appointed by the Board of Directors to be chairman of the meeting or, in the absence of such appointment, by the Chairman of the Board, if any, or, in the case of a vacancy in the office or absence of the Chairman of the Board, by one of the following officers present at the meeting: the Vice Chairman of the Board, if any, the president, any Vice president, the secretary, the Treasurer, the Chief Compliance Officer or, in the absence of such officers, a chairman chosen by the stockholders by the vote of a majority of the votes cast by stockholders present in person or by proxy. The secretary or, in the secretary’s absence, an assistant secretary or, in the absence of both the secretary and assistant secretaries, an individual appointed by the Board of Directors or, in the absence of such appointment, an individual appointed by the chairman of the meeting shall act as secretary. In the event that the secretary presides at a meeting of the stockholders, an assistant secretary, or, in the absence of assistant secretaries, an individual appointed by the Board of Directors or the chairman of the meeting, shall record the minutes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such chairman, are appropriate for the proper conduct of the meeting, including, without limitation, (a) restricting admission to the time set for the commencement of the meeting; (b) limiting attendance at the meeting to stockholders of record of the Corporation, their duly authorized proxies and other such individuals as the chairman of the meeting may determine; (c) limiting participation at the meeting on any matter to stockholders of record of the Corporation entitled to vote on such matter, their duly authorized proxies or other such individuals as the chairman of the meeting may determine; (d) limiting the time allotted to questions or comments by participants; (e) determining when the polls should be opened and closed; (f) maintaining order and security at the meeting; (g) removing any stockholder or any other individual who refuses to comply with meeting procedures, rules or guidelines as set forth by the chairman of the meeting; and (h) concluding a meeting or recessing or adjourning the meeting to a later date and time and at a place announced at the meeting. Unless otherwise determined by the chairman of the meeting, meetings of stockholders shall not be required to be held in accordance with the rules of parliamentary procedure.</w:t>
      </w:r>
    </w:p>
    <w:p>
      <w:pPr>
        <w:spacing w:after="0" w:line="133"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QUORUM</w:t>
      </w:r>
      <w:r>
        <w:rPr>
          <w:rFonts w:ascii="Arial" w:cs="Arial" w:eastAsia="Arial" w:hAnsi="Arial"/>
          <w:sz w:val="16"/>
          <w:szCs w:val="16"/>
          <w:color w:val="auto"/>
        </w:rPr>
        <w:t>. The presence in person or by proxy of the holders of shares of stock of the Corporation entitled to cast a majority of the votes entitled to be cast (without regard to class) shall constitute a quorum at any meeting of the stockholders, except with respect to any such matter that, under applicable statutes or regulatory requirements, requires approval by a separate vote of one or more classes of stock, in which case the presence in person or by proxy of the holders of shares entitled to cast a majority of the votes entitled to be cast by each such class on such a matter shall constitute a quorum. This section shall not affect any requirement under any statute or the charter of the Corporation for the vote necessary for the adoption of any measure.</w:t>
      </w:r>
    </w:p>
    <w:p>
      <w:pPr>
        <w:spacing w:after="0" w:line="116"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If, however, such quorum shall not be present at any meeting of the stockholders, the chairman of the meeting shall have the power to adjourn the meeting from time to time to a date not more than 120 days after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03" w:name="page204"/>
    <w:bookmarkEnd w:id="203"/>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original record date without notice other than announcement at the meeting. At such adjourned meeting at which a quorum shall be present, any business may be transacted which might have been transacted at the meeting as originally notified.</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The stockholders present either in person or by proxy, at a meeting which has been duly called and convened, may continue to transact business until adjournment, notwithstanding the withdrawal of enough stockholders to leave less than a quorum.</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VOTING</w:t>
      </w:r>
      <w:r>
        <w:rPr>
          <w:rFonts w:ascii="Arial" w:cs="Arial" w:eastAsia="Arial" w:hAnsi="Arial"/>
          <w:sz w:val="16"/>
          <w:szCs w:val="16"/>
          <w:color w:val="auto"/>
        </w:rPr>
        <w:t>. A nominee for director shall be elected as a director only if such nominee receives the affirmative vote of a majority of the total votes cast for and affirmatively withheld as to such nominee at a meeting of stockholders duly called and at which a quorum is present. However, directors shall be elected by a plurality of votes cast at a meeting of stockholders duly called and at which a quorum is present for which (i) the secretary of the Corporation receives notice that a stockholder has nominated an individual for election as a director in compliance with the requirements of advance notice of stockholder nominees for director set forth in Article II, Section 11 of these Bylaws, and (ii) such nomination has not been withdrawn by such stockholder on or before the close of business on the tenth day before the date of filing of the definitive proxy statement of the Corporation with the Securities and Exchange Commission (the “SEC”), and, as a result of which, the number of nominees is greater than the number of directors to be elected at the meeting. Each share may be voted for as many individuals as there are directors to be elected and for whose election the share is entitled to be voted. A majority of the votes cast at a meeting of stockholders duly called and at which a quorum is present shall be sufficient to approve any other matter which may properly come before the meeting, unless a different vote is required by statute or by the charter of the Corporation. Unless otherwise provided by statute or by the charter, each outstanding share, regardless of class, shall be entitled to one vote on each matter submitted to a vote at a meeting of stockholders.</w:t>
      </w:r>
    </w:p>
    <w:p>
      <w:pPr>
        <w:spacing w:after="0" w:line="127" w:lineRule="exact"/>
        <w:rPr>
          <w:sz w:val="20"/>
          <w:szCs w:val="20"/>
          <w:color w:val="auto"/>
        </w:rPr>
      </w:pPr>
    </w:p>
    <w:p>
      <w:pPr>
        <w:jc w:val="both"/>
        <w:ind w:right="20" w:firstLine="913"/>
        <w:spacing w:after="0" w:line="25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PROXIES</w:t>
      </w:r>
      <w:r>
        <w:rPr>
          <w:rFonts w:ascii="Arial" w:cs="Arial" w:eastAsia="Arial" w:hAnsi="Arial"/>
          <w:sz w:val="18"/>
          <w:szCs w:val="18"/>
          <w:color w:val="auto"/>
        </w:rPr>
        <w:t>. A stockholder may cast the votes entitled to be cast by the shares of stock owned of record by the stockholder in person or by proxy executed by the stockholder or by the stockholder’s duly authorized agent in any manner permitted by law. Such proxy or evidence of authorization of such proxy shall be filed with the secretary of the Corporation before or at the meeting. No proxy shall be valid more than eleven months after its date unless otherwise provided in the proxy.</w:t>
      </w:r>
    </w:p>
    <w:p>
      <w:pPr>
        <w:spacing w:after="0" w:line="143" w:lineRule="exact"/>
        <w:rPr>
          <w:sz w:val="20"/>
          <w:szCs w:val="20"/>
          <w:color w:val="auto"/>
        </w:rPr>
      </w:pPr>
    </w:p>
    <w:p>
      <w:pPr>
        <w:ind w:right="40" w:firstLine="913"/>
        <w:spacing w:after="0" w:line="318"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VOTING OF STOCK BY CERTAIN HOLDERS</w:t>
      </w:r>
      <w:r>
        <w:rPr>
          <w:rFonts w:ascii="Arial" w:cs="Arial" w:eastAsia="Arial" w:hAnsi="Arial"/>
          <w:sz w:val="15"/>
          <w:szCs w:val="15"/>
          <w:color w:val="auto"/>
        </w:rPr>
        <w:t>. Stock of the Corporation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stock pursuant to a bylaw or a resolution of the governing body of such corporation or other entity or agreement of the partners of a partnership presents a certified copy of such bylaw, resolution or agreement, in which case such person may vote such stock. Any director or other fiduciary may vote stock registered in his or her name as such fiduciary, either in person or by proxy.</w:t>
      </w:r>
    </w:p>
    <w:p>
      <w:pPr>
        <w:spacing w:after="0" w:line="100"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Shares of stock of the Corporation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40" w:lineRule="exact"/>
        <w:rPr>
          <w:sz w:val="20"/>
          <w:szCs w:val="20"/>
          <w:color w:val="auto"/>
        </w:rPr>
      </w:pPr>
    </w:p>
    <w:p>
      <w:pPr>
        <w:ind w:right="380" w:firstLine="913"/>
        <w:spacing w:after="0" w:line="332" w:lineRule="auto"/>
        <w:rPr>
          <w:sz w:val="20"/>
          <w:szCs w:val="20"/>
          <w:color w:val="auto"/>
        </w:rPr>
      </w:pPr>
      <w:r>
        <w:rPr>
          <w:rFonts w:ascii="Arial" w:cs="Arial" w:eastAsia="Arial" w:hAnsi="Arial"/>
          <w:sz w:val="16"/>
          <w:szCs w:val="16"/>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w:t>
      </w:r>
    </w:p>
    <w:p>
      <w:pPr>
        <w:spacing w:after="0" w:line="85"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stock in place of the stockholder who makes the certification.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04" w:name="page205"/>
    <w:bookmarkEnd w:id="204"/>
    <w:p>
      <w:pPr>
        <w:ind w:right="20"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 </w:t>
      </w:r>
      <w:r>
        <w:rPr>
          <w:rFonts w:ascii="Arial" w:cs="Arial" w:eastAsia="Arial" w:hAnsi="Arial"/>
          <w:sz w:val="16"/>
          <w:szCs w:val="16"/>
          <w:u w:val="single" w:color="auto"/>
          <w:color w:val="auto"/>
        </w:rPr>
        <w:t>INSPECTORS</w:t>
      </w:r>
      <w:r>
        <w:rPr>
          <w:rFonts w:ascii="Arial" w:cs="Arial" w:eastAsia="Arial" w:hAnsi="Arial"/>
          <w:sz w:val="16"/>
          <w:szCs w:val="16"/>
          <w:color w:val="auto"/>
        </w:rPr>
        <w:t>. The Board of Directors, in advance of any meeting, may, but need not, appoint one or more individual inspectors or one or more entities that designate individuals as inspectors to act at the meeting or any adjournment thereof. If an inspector or inspectors are not appointed, the person presiding at the meeting may, but need not, appoint one or more inspectors. In case any person who may be appointed as an inspector fails to appear or act, the vacancy may be filled by appointment made by the Board of Directors in advance of the meeting or at the meeting by the chairman of the meeting. The inspectors, if any, shall determine the number of shares outstanding and the voting power of each, the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and determine the result, and do such acts as are proper to conduct the election or vote with fairness to all stockholders. Each such report shall be in writing and signed by him or her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11. ADVANCE NOTICE OF STOCKHOLDER NOMINEES FOR DIRECTOR AND OTHER STOCKHOLDER PROPOSALS.</w:t>
      </w:r>
    </w:p>
    <w:p>
      <w:pPr>
        <w:spacing w:after="0" w:line="171" w:lineRule="exact"/>
        <w:rPr>
          <w:sz w:val="20"/>
          <w:szCs w:val="20"/>
          <w:color w:val="auto"/>
        </w:rPr>
      </w:pPr>
    </w:p>
    <w:p>
      <w:pPr>
        <w:ind w:right="60" w:firstLine="921"/>
        <w:spacing w:after="0" w:line="298" w:lineRule="auto"/>
        <w:tabs>
          <w:tab w:leader="none" w:pos="1152"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Annual Meetings of Stockholders</w:t>
      </w:r>
      <w:r>
        <w:rPr>
          <w:rFonts w:ascii="Arial" w:cs="Arial" w:eastAsia="Arial" w:hAnsi="Arial"/>
          <w:sz w:val="16"/>
          <w:szCs w:val="16"/>
          <w:color w:val="auto"/>
        </w:rPr>
        <w:t>. (1) Nominations of individuals for election to the Board of Directors and the proposal of other business to be considered by the stockholders may be made at an annual meeting of stockholders (i) pursuant to the Corporation’s notice of meeting, (ii) by or at the direction of the Board of Directors or (iii) by any stockholder of the Corporation who was a stockholder of record both at the time of giving of notice by the stockholder as provided for in this Section 11(a) and at the time of the annual meeting, who is entitled to vote at the meeting and who has complied with this Section 11(a).</w:t>
      </w:r>
    </w:p>
    <w:p>
      <w:pPr>
        <w:spacing w:after="0" w:line="112" w:lineRule="exact"/>
        <w:rPr>
          <w:rFonts w:ascii="Arial" w:cs="Arial" w:eastAsia="Arial" w:hAnsi="Arial"/>
          <w:sz w:val="16"/>
          <w:szCs w:val="16"/>
          <w:color w:val="auto"/>
        </w:rPr>
      </w:pPr>
    </w:p>
    <w:p>
      <w:pPr>
        <w:ind w:firstLine="1492"/>
        <w:spacing w:after="0" w:line="284" w:lineRule="auto"/>
        <w:tabs>
          <w:tab w:leader="none" w:pos="1732" w:val="left"/>
        </w:tabs>
        <w:numPr>
          <w:ilvl w:val="1"/>
          <w:numId w:val="133"/>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by a stockholder pursuant to clause (iii) of paragraph (a)(1) of this Section 11, the stockholder must have given timely notice thereof in writing to the secretary of the Corporation and such other business must otherwise be a proper matter for action by the stockholders. To be timely, a stockholder’s notice shall set forth all information required under this Section 11 and shall be delivered to the secretary at the principal executive office of the Corporation not earlier than the 150th day prior to the first anniversary of the date of mailing of the notice for the preceding year’s annual meeting nor later than 5:00 p.m., Eastern Time, on the 120th day prior to the first anniversary of the date of mailing of the notice for the preceding year’s annual meeting; provided, however, that in the event that the date of the annual meeting is advanced or delayed by more than 30 days from the first anniversary of the date of the preceding year’s annual meeting, notice by the stockholder to be timely must be so delivered not earlier than the 150th day prior to the date of such annual meeting and not later than 5:00 p.m., Eastern Time, on the later of the 120th day prior to the date of such annual meeting or the tenth day following the day on which public announcement of the date of such meeting is first made. The public announcement of a postponement or adjournment of an annual meeting shall not commence a new time period for the giving of a stockholder’s notice as described above. Such stockholder’s notice shall set forth (i) as to each individual whom the stockholder proposes to nominate for election or reelection as a director, (A) the name, age, business address and residence address of such individual, (B) the class, series and number of any shares of stock of the Corporation that are beneficially owned by such individual, (C) the date such shares were acquired and the investment intent of such acquisition, (D) whether such stockholder believes any such individual is, or is not, an “interested person” of the Corporation, as defined in the Investment Company Act of 1940, as amended, and the rules promulgated thereunder (the “Investment Company Act”) and information regarding such individual that is sufficient, in the discretion of the Board of Directors or any committee thereof or any authorized officer of the Corporation, to make such determination and (E) all other information relating to such individual that is required to be disclosed in solicitations of proxies for election of directors in an election contest (even if an election contest is not involved), or is otherwise required, in each case pursuant to Regulation 14A (or any successor provision) under the Exchange Act and the rules thereunder (including such individual’s written consent to being named in the proxy statement as a nominee and to serving as a director if elected); (ii) as to any other business that the stockholder proposes to bring before the meeting, a description of such business, the reasons for proposing such business at the meeting and any material interest in such business of such stockholder and any Stockholder Associated Person (as defined below), individually or in the aggregate, including any anticipated benefit to the stockholder and the Stockholder Associated Person therefrom; (iii) as to the stockholder giving the notice and any Stockholder Associated Person, the class, series and number of all shares of stock of the Corporation which are owned by such stockholder and by such Stockholder Associated Person, if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4" w:right="239"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nominee holder for, and number of, shares owned beneficially but not of record by such stockholder and by any such Stockholder Associated Person;</w:t>
      </w:r>
    </w:p>
    <w:p>
      <w:pPr>
        <w:spacing w:after="0" w:line="38" w:lineRule="exact"/>
        <w:rPr>
          <w:sz w:val="20"/>
          <w:szCs w:val="20"/>
          <w:color w:val="auto"/>
        </w:rPr>
      </w:pPr>
    </w:p>
    <w:p>
      <w:pPr>
        <w:ind w:right="220" w:firstLine="8"/>
        <w:spacing w:after="0" w:line="295" w:lineRule="auto"/>
        <w:tabs>
          <w:tab w:leader="none" w:pos="29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as to the stockholder giving the notice and any Stockholder Associated Person covered by clauses (ii) or (iii) of this paragraph (2) of this Section 11(a), the name and address of such stockholder, as they appear on the Corporation’s stock ledger and current name and address, if different, and of such Stockholder Associated Person; and (v) to the extent known by the stockholder giving the notice, the name and address of any other stockholder supporting the nominee for election or reelection as a director or the proposal of other business on the date of such stockholder’s notice.</w:t>
      </w:r>
    </w:p>
    <w:p>
      <w:pPr>
        <w:spacing w:after="0" w:line="115" w:lineRule="exact"/>
        <w:rPr>
          <w:rFonts w:ascii="Arial" w:cs="Arial" w:eastAsia="Arial" w:hAnsi="Arial"/>
          <w:sz w:val="16"/>
          <w:szCs w:val="16"/>
          <w:color w:val="auto"/>
        </w:rPr>
      </w:pPr>
    </w:p>
    <w:p>
      <w:pPr>
        <w:ind w:firstLine="1492"/>
        <w:spacing w:after="0" w:line="294" w:lineRule="auto"/>
        <w:tabs>
          <w:tab w:leader="none" w:pos="1732" w:val="left"/>
        </w:tabs>
        <w:numPr>
          <w:ilvl w:val="2"/>
          <w:numId w:val="134"/>
        </w:numPr>
        <w:rPr>
          <w:rFonts w:ascii="Arial" w:cs="Arial" w:eastAsia="Arial" w:hAnsi="Arial"/>
          <w:sz w:val="16"/>
          <w:szCs w:val="16"/>
          <w:color w:val="auto"/>
        </w:rPr>
      </w:pPr>
      <w:r>
        <w:rPr>
          <w:rFonts w:ascii="Arial" w:cs="Arial" w:eastAsia="Arial" w:hAnsi="Arial"/>
          <w:sz w:val="16"/>
          <w:szCs w:val="16"/>
          <w:color w:val="auto"/>
        </w:rPr>
        <w:t>Notwithstanding anything in this subsection (a) of this Section 11 to the contrary, in the event that the number of directors to be elected to the Board of Directors is increased and there is no public announcement of such action at least 130 days prior to the first anniversary of the date of mailing of the notice of the preceding year’s annual meeting, a stockholder’s notice required by this Section 11(a) shall also be considered timely, but only with respect to nominees for any new positions created by such increase, if it shall be delivered to the secretary at the principal executive office of the Corporation not later than 5:00 p.m., Eastern Time, on the tenth day following the day on which such public announcement is first made by the Corporation.</w:t>
      </w:r>
    </w:p>
    <w:p>
      <w:pPr>
        <w:spacing w:after="0" w:line="115" w:lineRule="exact"/>
        <w:rPr>
          <w:rFonts w:ascii="Arial" w:cs="Arial" w:eastAsia="Arial" w:hAnsi="Arial"/>
          <w:sz w:val="16"/>
          <w:szCs w:val="16"/>
          <w:color w:val="auto"/>
        </w:rPr>
      </w:pPr>
    </w:p>
    <w:p>
      <w:pPr>
        <w:ind w:right="280" w:firstLine="1492"/>
        <w:spacing w:after="0" w:line="306" w:lineRule="auto"/>
        <w:tabs>
          <w:tab w:leader="none" w:pos="1732" w:val="left"/>
        </w:tabs>
        <w:numPr>
          <w:ilvl w:val="2"/>
          <w:numId w:val="134"/>
        </w:numPr>
        <w:rPr>
          <w:rFonts w:ascii="Arial" w:cs="Arial" w:eastAsia="Arial" w:hAnsi="Arial"/>
          <w:sz w:val="16"/>
          <w:szCs w:val="16"/>
          <w:color w:val="auto"/>
        </w:rPr>
      </w:pPr>
      <w:r>
        <w:rPr>
          <w:rFonts w:ascii="Arial" w:cs="Arial" w:eastAsia="Arial" w:hAnsi="Arial"/>
          <w:sz w:val="16"/>
          <w:szCs w:val="16"/>
          <w:color w:val="auto"/>
        </w:rPr>
        <w:t>For purposes of this Section 11, “Stockholder Associated Person” of any stockholder shall mean (i) any person controlling, directly or indirectly, or acting in concert with, such stockholder, (ii) any beneficial owner of shares of stock of the Corporation owned of record or beneficially by such stockholder and (iii) any person controlling, controlled by or under common control with such Stockholder Associated Person.</w:t>
      </w:r>
    </w:p>
    <w:p>
      <w:pPr>
        <w:spacing w:after="0" w:line="106" w:lineRule="exact"/>
        <w:rPr>
          <w:rFonts w:ascii="Arial" w:cs="Arial" w:eastAsia="Arial" w:hAnsi="Arial"/>
          <w:sz w:val="16"/>
          <w:szCs w:val="16"/>
          <w:color w:val="auto"/>
        </w:rPr>
      </w:pPr>
    </w:p>
    <w:p>
      <w:pPr>
        <w:jc w:val="both"/>
        <w:ind w:right="140" w:firstLine="921"/>
        <w:spacing w:after="0" w:line="303" w:lineRule="auto"/>
        <w:tabs>
          <w:tab w:leader="none" w:pos="1161" w:val="left"/>
        </w:tabs>
        <w:numPr>
          <w:ilvl w:val="1"/>
          <w:numId w:val="134"/>
        </w:numPr>
        <w:rPr>
          <w:rFonts w:ascii="Arial" w:cs="Arial" w:eastAsia="Arial" w:hAnsi="Arial"/>
          <w:sz w:val="15"/>
          <w:szCs w:val="15"/>
          <w:color w:val="auto"/>
        </w:rPr>
      </w:pPr>
      <w:r>
        <w:rPr>
          <w:rFonts w:ascii="Arial" w:cs="Arial" w:eastAsia="Arial" w:hAnsi="Arial"/>
          <w:sz w:val="15"/>
          <w:szCs w:val="15"/>
          <w:u w:val="single" w:color="auto"/>
          <w:color w:val="auto"/>
        </w:rPr>
        <w:t>Special Meetings of Stockholders</w:t>
      </w:r>
      <w:r>
        <w:rPr>
          <w:rFonts w:ascii="Arial" w:cs="Arial" w:eastAsia="Arial" w:hAnsi="Arial"/>
          <w:sz w:val="15"/>
          <w:szCs w:val="15"/>
          <w:color w:val="auto"/>
        </w:rPr>
        <w:t>. Only such business shall be conducted at a special meeting of stockholders as shall have been brought before the meeting pursuant to the Corporation’s notice of meeting. Nominations of individuals for election to the Board of Directors may be made at a special meeting of stockholders at which directors are to be elected (i) pursuant to the Corporation’s notice of meeting, (ii) by or at the direction of the Board of Directors or</w:t>
      </w:r>
    </w:p>
    <w:p>
      <w:pPr>
        <w:spacing w:after="0" w:line="1" w:lineRule="exact"/>
        <w:rPr>
          <w:rFonts w:ascii="Arial" w:cs="Arial" w:eastAsia="Arial" w:hAnsi="Arial"/>
          <w:sz w:val="15"/>
          <w:szCs w:val="15"/>
          <w:color w:val="auto"/>
        </w:rPr>
      </w:pPr>
    </w:p>
    <w:p>
      <w:pPr>
        <w:ind w:right="160" w:firstLine="8"/>
        <w:spacing w:after="0" w:line="287" w:lineRule="auto"/>
        <w:tabs>
          <w:tab w:leader="none" w:pos="30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provided that the Board of Directors has determined that directors shall be elected at such special meeting, by any stockholder of the Corporation who is a stockholder of record both at the time of giving of notice provided for in this Section 11 and at the time of the special meeting, who is entitled to vote at the meeting and who complied with the notice procedures set forth in this Section 11. In the event the Corporation calls a special meeting of stockholders for the purpose of electing one or more individuals to the Board of Directors, any such stockholder may nominate an individual or individuals (as the case may be) for election as a director as specified in the Corporation’s notice of meeting, if the stockholder’s notice required by paragraph (2) of this Section 11(a) shall be delivered to the secretary at the principal executive office of the Corporation not earlier than the 150th day prior to such special meeting and not later than 5:00 p.m., Eastern Time, on the later of the 120th day prior to such special meeting or the tenth day following the day on which public announcement is first made of the date of the special meeting and of the nominees proposed by the Board of Directors to be elected at such meeting. The public announcement of a postponement or adjournment of a special meeting shall not commence a new time period for the giving of a stockholder’s notice as described above.</w:t>
      </w:r>
    </w:p>
    <w:p>
      <w:pPr>
        <w:spacing w:after="0" w:line="120" w:lineRule="exact"/>
        <w:rPr>
          <w:rFonts w:ascii="Arial" w:cs="Arial" w:eastAsia="Arial" w:hAnsi="Arial"/>
          <w:sz w:val="16"/>
          <w:szCs w:val="16"/>
          <w:color w:val="auto"/>
        </w:rPr>
      </w:pPr>
    </w:p>
    <w:p>
      <w:pPr>
        <w:ind w:right="80" w:firstLine="921"/>
        <w:spacing w:after="0" w:line="291" w:lineRule="auto"/>
        <w:tabs>
          <w:tab w:leader="none" w:pos="1152" w:val="left"/>
        </w:tabs>
        <w:numPr>
          <w:ilvl w:val="1"/>
          <w:numId w:val="13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(1) Upon written request by the secretary or the Board of Directors or any committee thereof, any stockholder proposing a nominee for election as a director or any proposal for other business at a meeting of stockholders shall provide, within five Business Days of delivery of such request (or such other period as may be specified in such request), written verification, satisfactory, in the discretion of the Board of Directors or any committee thereof or any authorized officer of the Corporation, to demonstrate the accuracy of any information submitted by the stockholder pursuant to this Section 11. If a stockholder fails to provide such written verification within such period, the information as to which written verification was requested may be deemed not to have been provided in accordance with this Section 11.</w:t>
      </w:r>
    </w:p>
    <w:p>
      <w:pPr>
        <w:spacing w:after="0" w:line="120" w:lineRule="exact"/>
        <w:rPr>
          <w:rFonts w:ascii="Arial" w:cs="Arial" w:eastAsia="Arial" w:hAnsi="Arial"/>
          <w:sz w:val="16"/>
          <w:szCs w:val="16"/>
          <w:color w:val="auto"/>
        </w:rPr>
      </w:pPr>
    </w:p>
    <w:p>
      <w:pPr>
        <w:ind w:right="220" w:firstLine="1492"/>
        <w:spacing w:after="0" w:line="256" w:lineRule="auto"/>
        <w:tabs>
          <w:tab w:leader="none" w:pos="1732" w:val="left"/>
        </w:tabs>
        <w:numPr>
          <w:ilvl w:val="2"/>
          <w:numId w:val="135"/>
        </w:numPr>
        <w:rPr>
          <w:rFonts w:ascii="Arial" w:cs="Arial" w:eastAsia="Arial" w:hAnsi="Arial"/>
          <w:sz w:val="18"/>
          <w:szCs w:val="18"/>
          <w:color w:val="auto"/>
        </w:rPr>
      </w:pPr>
      <w:r>
        <w:rPr>
          <w:rFonts w:ascii="Arial" w:cs="Arial" w:eastAsia="Arial" w:hAnsi="Arial"/>
          <w:sz w:val="18"/>
          <w:szCs w:val="18"/>
          <w:color w:val="auto"/>
        </w:rPr>
        <w:t>Only such individuals who are nominated in accordance with this Section 11 shall be eligible for election by stockholders as directors, and only such business shall be conducted at a meeting of stockholders as shall have been brought before the meeting in accordance with this Section 11. The chairman of the meeting shall have the power to determine whether a nomination or any other business proposed to be brought before the meeting was made or proposed, as the case may be, in accordance with this Section 11.</w:t>
      </w:r>
    </w:p>
    <w:p>
      <w:pPr>
        <w:spacing w:after="0" w:line="143" w:lineRule="exact"/>
        <w:rPr>
          <w:rFonts w:ascii="Arial" w:cs="Arial" w:eastAsia="Arial" w:hAnsi="Arial"/>
          <w:sz w:val="18"/>
          <w:szCs w:val="18"/>
          <w:color w:val="auto"/>
        </w:rPr>
      </w:pPr>
    </w:p>
    <w:p>
      <w:pPr>
        <w:ind w:right="140" w:firstLine="1492"/>
        <w:spacing w:after="0" w:line="259" w:lineRule="auto"/>
        <w:tabs>
          <w:tab w:leader="none" w:pos="1732" w:val="left"/>
        </w:tabs>
        <w:numPr>
          <w:ilvl w:val="2"/>
          <w:numId w:val="135"/>
        </w:numPr>
        <w:rPr>
          <w:rFonts w:ascii="Arial" w:cs="Arial" w:eastAsia="Arial" w:hAnsi="Arial"/>
          <w:sz w:val="18"/>
          <w:szCs w:val="18"/>
          <w:color w:val="auto"/>
        </w:rPr>
      </w:pPr>
      <w:r>
        <w:rPr>
          <w:rFonts w:ascii="Arial" w:cs="Arial" w:eastAsia="Arial" w:hAnsi="Arial"/>
          <w:sz w:val="18"/>
          <w:szCs w:val="18"/>
          <w:color w:val="auto"/>
        </w:rPr>
        <w:t>For purposes of this Section 11, (a) the “date of mailing of the notice” shall mean the date of the proxy statement for the solicitation of proxies for election of directors and (b) “public announcement” shall mean disclosure (i) in a press release reported by the Dow Jones News Service, Associated Press, Business Wire, PR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06" w:name="page207"/>
    <w:bookmarkEnd w:id="206"/>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Newswire or comparable news service or (ii) in a document publicly filed by the Corporation with the SEC pursuant to the Exchange Act or the Investment Company Act.</w:t>
      </w:r>
    </w:p>
    <w:p>
      <w:pPr>
        <w:spacing w:after="0" w:line="132" w:lineRule="exact"/>
        <w:rPr>
          <w:sz w:val="20"/>
          <w:szCs w:val="20"/>
          <w:color w:val="auto"/>
        </w:rPr>
      </w:pPr>
    </w:p>
    <w:p>
      <w:pPr>
        <w:ind w:right="20" w:firstLine="1492"/>
        <w:spacing w:after="0" w:line="298" w:lineRule="auto"/>
        <w:tabs>
          <w:tab w:leader="none" w:pos="173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11, a stockholder shall also comply with all applicable requirements of state law and of the Exchange Act and the rules and regulations thereunder with respect to the matters set forth in this Section 11. Nothing in this Section 11 shall be deemed to affect any right of a stockholder to request inclusion of a proposal in, nor the right of the Corporation to omit a proposal from, the Corporation’s proxy statement pursuant to Rule 14a-8 (or any successor provision) under the Exchange Act.</w:t>
      </w:r>
    </w:p>
    <w:p>
      <w:pPr>
        <w:spacing w:after="0" w:line="113"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VOTING BY BALLOT</w:t>
      </w:r>
      <w:r>
        <w:rPr>
          <w:rFonts w:ascii="Arial" w:cs="Arial" w:eastAsia="Arial" w:hAnsi="Arial"/>
          <w:sz w:val="18"/>
          <w:szCs w:val="18"/>
          <w:color w:val="auto"/>
        </w:rPr>
        <w:t>. Voting on any question or in any election may be viva voce unless the presiding officer shall order or any stockholder shall demand that voting be by ballot.</w:t>
      </w:r>
    </w:p>
    <w:p>
      <w:pPr>
        <w:spacing w:after="0" w:line="132"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CONTROL SHARE ACQUISITION ACT</w:t>
      </w:r>
      <w:r>
        <w:rPr>
          <w:rFonts w:ascii="Arial" w:cs="Arial" w:eastAsia="Arial" w:hAnsi="Arial"/>
          <w:sz w:val="16"/>
          <w:szCs w:val="16"/>
          <w:color w:val="auto"/>
        </w:rPr>
        <w:t>. Notwithstanding any other provision of the charter of the Corporation or these Bylaws, Title 3, Subtitle 7 of the Maryland General Corporation Law (the “MGCL”), or any successor statute, shall not apply to any acquisition by any person of shares of stock of the Corporation. Notwithstanding the forgoing, the Company must consult with the SEC prior to applying the MGCL provisions referenced in this section.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177"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under the direction of its Board of Directors.</w:t>
      </w:r>
    </w:p>
    <w:p>
      <w:pPr>
        <w:spacing w:after="0" w:line="194" w:lineRule="exact"/>
        <w:rPr>
          <w:sz w:val="20"/>
          <w:szCs w:val="20"/>
          <w:color w:val="auto"/>
        </w:rPr>
      </w:pPr>
    </w:p>
    <w:p>
      <w:pPr>
        <w:jc w:val="both"/>
        <w:ind w:right="120" w:firstLine="913"/>
        <w:spacing w:after="0" w:line="30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At any regular meeting or at any special meeting called for that purpose, a majority of the entire Board of Directors may establish, increase or decrease the number of directors, provided that the number thereof shall never be less than four nor more than eight, and further provided that the tenure of office of a director shall not be affected by any decrease in the number of directors.</w:t>
      </w:r>
    </w:p>
    <w:p>
      <w:pPr>
        <w:spacing w:after="0" w:line="10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ANNUAL AND REGULAR MEETINGS</w:t>
      </w:r>
      <w:r>
        <w:rPr>
          <w:rFonts w:ascii="Arial" w:cs="Arial" w:eastAsia="Arial" w:hAnsi="Arial"/>
          <w:sz w:val="18"/>
          <w:szCs w:val="18"/>
          <w:color w:val="auto"/>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 hereinafter provided for special meetings of the Board of Directors. Regular meetings of the Board of Directors shall be held from time to time at such places and times as provided by the Board of Directors by resolution, without notice other than such resolution.</w:t>
      </w:r>
    </w:p>
    <w:p>
      <w:pPr>
        <w:spacing w:after="0" w:line="14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called by or at the request of the chairman of the Board of Directors, the president or by a majority of the directors then in office. The person or persons authorized to call special meetings of the Board of Directors may fix any place as the place for holding any special meeting of the Board of Directors called by them. The Board of Directors may provide, by resolution, the time and place for the holding of special meetings of the Board of Directors without notice other than such resolution.</w:t>
      </w:r>
    </w:p>
    <w:p>
      <w:pPr>
        <w:spacing w:after="0" w:line="113"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NOTICE</w:t>
      </w:r>
      <w:r>
        <w:rPr>
          <w:rFonts w:ascii="Arial" w:cs="Arial" w:eastAsia="Arial" w:hAnsi="Arial"/>
          <w:sz w:val="16"/>
          <w:szCs w:val="16"/>
          <w:color w:val="auto"/>
        </w:rPr>
        <w:t>. Notice of any special meeting of the Board of Directors shall be delivered personally or by telephone, electronic mail, facsimile transmission, United States mail or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 the Corporation by the director. Facsimile transmission notice shall be deemed to be given upon completion of the transmission of the message to the number given to the Corporation by the director and receipt of a completed answer-back indicating receipt. Notice by United States mail shall be deemed to be given when deposited in the United States mail properly addressed, with postage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07" w:name="page208"/>
    <w:bookmarkEnd w:id="207"/>
    <w:p>
      <w:pPr>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or these Bylaws.</w:t>
      </w:r>
    </w:p>
    <w:p>
      <w:pPr>
        <w:spacing w:after="0" w:line="14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QUORUM</w:t>
      </w:r>
      <w:r>
        <w:rPr>
          <w:rFonts w:ascii="Arial" w:cs="Arial" w:eastAsia="Arial" w:hAnsi="Arial"/>
          <w:sz w:val="18"/>
          <w:szCs w:val="18"/>
          <w:color w:val="auto"/>
        </w:rPr>
        <w:t>. A majority of the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applicable law, the charter of the Corporation or these Bylaws, the vote of a majority of a particular group of directors is required for action, a quorum must also include a majority of such group.</w:t>
      </w:r>
    </w:p>
    <w:p>
      <w:pPr>
        <w:spacing w:after="0" w:line="143"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The directors present at a meeting which has been duly called and convened may continue to transact business until adjournment, notwithstanding the withdrawal of enough directors to leave less than a quorum.</w:t>
      </w:r>
    </w:p>
    <w:p>
      <w:pPr>
        <w:spacing w:after="0" w:line="13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The action of the majority of the directors present at a meeting at which a quorum is present shall be the action of the Board of Directors, unless the concurrence of a greater proportion is required for such action by applicable statute or the charter. If enough directors have withdrawn from a meeting to leave less than a quorum but the meeting is not adjourned, the action of the majority of that number of the directors necessary to constitute a quorum at such meeting shall be the action of the Board of Directors, unless the concurrence of a greater proportion is required for such action by applicable statute or the charter.</w:t>
      </w:r>
    </w:p>
    <w:p>
      <w:pPr>
        <w:spacing w:after="0" w:line="14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ORGANIZATION</w:t>
      </w:r>
      <w:r>
        <w:rPr>
          <w:rFonts w:ascii="Arial" w:cs="Arial" w:eastAsia="Arial" w:hAnsi="Arial"/>
          <w:sz w:val="18"/>
          <w:szCs w:val="18"/>
          <w:color w:val="auto"/>
        </w:rPr>
        <w:t>. At each meeting of the Board of Directors, the chairman of the board or, in the absence of the chairman, the vice chairman of the board, if any, shall act as Chairman. In the absence of both the chairman and vice chairman of the board, the chief executive officer or in the absence of the chief executive officer, the president or in the absence of the president, a director chosen by a majority of the directors present, shall act as Chairman. The secretary or, in his or her absence, an assistant secretary of the Corporation, or in the absence of the secretary and all assistant secretaries, a person appointed by the Chairman, shall act as secretary of the meeting.</w:t>
      </w:r>
    </w:p>
    <w:p>
      <w:pPr>
        <w:spacing w:after="0" w:line="143" w:lineRule="exact"/>
        <w:rPr>
          <w:sz w:val="20"/>
          <w:szCs w:val="20"/>
          <w:color w:val="auto"/>
        </w:rPr>
      </w:pPr>
    </w:p>
    <w:p>
      <w:pPr>
        <w:ind w:right="280" w:firstLine="913"/>
        <w:spacing w:after="0" w:line="256"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TELEPHONE MEETINGS</w:t>
      </w:r>
      <w:r>
        <w:rPr>
          <w:rFonts w:ascii="Arial" w:cs="Arial" w:eastAsia="Arial" w:hAnsi="Arial"/>
          <w:sz w:val="18"/>
          <w:szCs w:val="18"/>
          <w:color w:val="auto"/>
        </w:rPr>
        <w:t>. Directors may participate in a meeting by means of a conference telephone or similar communications equipment if all persons participating in the meeting can hear each other at the same time; provided however, this Section 9 does not apply to any action of the directors pursuant to the Investment Company Act, that requires the vote of the directors to be cast in person at a meeting. Participation in a meeting by these means shall constitute presence in person at the meeting.</w:t>
      </w:r>
    </w:p>
    <w:p>
      <w:pPr>
        <w:spacing w:after="0" w:line="143" w:lineRule="exact"/>
        <w:rPr>
          <w:sz w:val="20"/>
          <w:szCs w:val="20"/>
          <w:color w:val="auto"/>
        </w:rPr>
      </w:pPr>
    </w:p>
    <w:p>
      <w:pPr>
        <w:jc w:val="both"/>
        <w:ind w:right="60" w:firstLine="913"/>
        <w:spacing w:after="0" w:line="256"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WRITTEN CONSENT BY DIRECTORS</w:t>
      </w:r>
      <w:r>
        <w:rPr>
          <w:rFonts w:ascii="Arial" w:cs="Arial" w:eastAsia="Arial" w:hAnsi="Arial"/>
          <w:sz w:val="18"/>
          <w:szCs w:val="18"/>
          <w:color w:val="auto"/>
        </w:rPr>
        <w:t>. Any action required or permitted to be taken at any meeting of the Board of Directors may be taken without a meeting, if a consent in writing or by electronic transmission to such action is given by each director and is filed with the minutes of proceedings of the Board of Directors; provided however, this Section 10 does not apply to any action of the directors pursuant to the Investment Company Act, that requires the vote of the directors to be cast in person at a meeting.</w:t>
      </w:r>
    </w:p>
    <w:p>
      <w:pPr>
        <w:spacing w:after="0" w:line="143" w:lineRule="exact"/>
        <w:rPr>
          <w:sz w:val="20"/>
          <w:szCs w:val="20"/>
          <w:color w:val="auto"/>
        </w:rPr>
      </w:pPr>
    </w:p>
    <w:p>
      <w:pPr>
        <w:ind w:right="180" w:firstLine="913"/>
        <w:spacing w:after="0" w:line="303" w:lineRule="auto"/>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u w:val="single" w:color="auto"/>
          <w:color w:val="auto"/>
        </w:rPr>
        <w:t>VACANCIES</w:t>
      </w:r>
      <w:r>
        <w:rPr>
          <w:rFonts w:ascii="Arial" w:cs="Arial" w:eastAsia="Arial" w:hAnsi="Arial"/>
          <w:sz w:val="15"/>
          <w:szCs w:val="15"/>
          <w:color w:val="auto"/>
        </w:rPr>
        <w:t>. If for any reason any or all the directors cease to be directors, such event shall not terminate the Corporation or affect these Bylaws or the powers of the remaining directors hereunder, if any. Pursuant to the Corporation’s election in Article IV of the charter, subject to applicable requirements of the Investment Company Act, except as may be provided by the Board of Directors in setting the terms of any class or series of preferred stock,</w:t>
      </w:r>
    </w:p>
    <w:p>
      <w:pPr>
        <w:spacing w:after="0" w:line="1" w:lineRule="exact"/>
        <w:rPr>
          <w:sz w:val="20"/>
          <w:szCs w:val="20"/>
          <w:color w:val="auto"/>
        </w:rPr>
      </w:pPr>
    </w:p>
    <w:p>
      <w:pPr>
        <w:ind w:right="120" w:firstLine="8"/>
        <w:spacing w:after="0" w:line="255" w:lineRule="auto"/>
        <w:tabs>
          <w:tab w:leader="none" w:pos="23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vacancy on the Board of Directors may be filled only by a majority of the remaining directors, even if the remaining directors do not constitute a quorum and (b) any director elected to fill a vacancy shall serve for the remainder of the full term of the class in which the vacancy occurred and until a successor is elected and qualifies.</w:t>
      </w:r>
    </w:p>
    <w:p>
      <w:pPr>
        <w:spacing w:after="0" w:line="144"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COMPENSATION</w:t>
      </w:r>
      <w:r>
        <w:rPr>
          <w:rFonts w:ascii="Arial" w:cs="Arial" w:eastAsia="Arial" w:hAnsi="Arial"/>
          <w:sz w:val="18"/>
          <w:szCs w:val="18"/>
          <w:color w:val="auto"/>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 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performed or engaged in as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08" w:name="page209"/>
    <w:bookmarkEnd w:id="208"/>
    <w:p>
      <w:pPr>
        <w:ind w:right="10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but nothing herein contained shall be construed to preclude any directors from serving the Corporation in any other capacity and receiving compensation therefore.</w:t>
      </w:r>
    </w:p>
    <w:p>
      <w:pPr>
        <w:spacing w:after="0" w:line="132"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LOSS OF DEPOSITS</w:t>
      </w:r>
      <w:r>
        <w:rPr>
          <w:rFonts w:ascii="Arial" w:cs="Arial" w:eastAsia="Arial" w:hAnsi="Arial"/>
          <w:sz w:val="18"/>
          <w:szCs w:val="18"/>
          <w:color w:val="auto"/>
        </w:rPr>
        <w:t>. No director shall be liable for any loss which may occur by reason of the failure of the bank, trust company, savings and loan association, or other institution with whom moneys or stock have been deposited.</w:t>
      </w:r>
    </w:p>
    <w:p>
      <w:pPr>
        <w:spacing w:after="0" w:line="132" w:lineRule="exact"/>
        <w:rPr>
          <w:sz w:val="20"/>
          <w:szCs w:val="20"/>
          <w:color w:val="auto"/>
        </w:rPr>
      </w:pPr>
    </w:p>
    <w:p>
      <w:pPr>
        <w:ind w:right="920" w:firstLine="913"/>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SURETY BONDS</w:t>
      </w:r>
      <w:r>
        <w:rPr>
          <w:rFonts w:ascii="Arial" w:cs="Arial" w:eastAsia="Arial" w:hAnsi="Arial"/>
          <w:sz w:val="18"/>
          <w:szCs w:val="18"/>
          <w:color w:val="auto"/>
        </w:rPr>
        <w:t>. Unless required by law, no director shall be obligated to give any bond or surety or other security for the performance of any of his or her duties.</w:t>
      </w:r>
    </w:p>
    <w:p>
      <w:pPr>
        <w:spacing w:after="0" w:line="132" w:lineRule="exact"/>
        <w:rPr>
          <w:sz w:val="20"/>
          <w:szCs w:val="20"/>
          <w:color w:val="auto"/>
        </w:rPr>
      </w:pPr>
    </w:p>
    <w:p>
      <w:pPr>
        <w:jc w:val="both"/>
        <w:ind w:right="80" w:firstLine="913"/>
        <w:spacing w:after="0" w:line="323" w:lineRule="auto"/>
        <w:rPr>
          <w:sz w:val="20"/>
          <w:szCs w:val="20"/>
          <w:color w:val="auto"/>
        </w:rPr>
      </w:pPr>
      <w:r>
        <w:rPr>
          <w:rFonts w:ascii="Arial" w:cs="Arial" w:eastAsia="Arial" w:hAnsi="Arial"/>
          <w:sz w:val="15"/>
          <w:szCs w:val="15"/>
          <w:color w:val="auto"/>
        </w:rPr>
        <w:t xml:space="preserve">Section 15. </w:t>
      </w:r>
      <w:r>
        <w:rPr>
          <w:rFonts w:ascii="Arial" w:cs="Arial" w:eastAsia="Arial" w:hAnsi="Arial"/>
          <w:sz w:val="15"/>
          <w:szCs w:val="15"/>
          <w:u w:val="single" w:color="auto"/>
          <w:color w:val="auto"/>
        </w:rPr>
        <w:t>RELIANCE</w:t>
      </w:r>
      <w:r>
        <w:rPr>
          <w:rFonts w:ascii="Arial" w:cs="Arial" w:eastAsia="Arial" w:hAnsi="Arial"/>
          <w:sz w:val="15"/>
          <w:szCs w:val="15"/>
          <w:color w:val="auto"/>
        </w:rPr>
        <w:t>. Each director, officer, employee and agent of the Corporation shall, in the performance of his or her duties with respect to the 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w:t>
      </w:r>
    </w:p>
    <w:p>
      <w:pPr>
        <w:spacing w:after="0" w:line="177"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The Board of Directors may appoint from among its members an Executive Committee, an Audit Committee, a Nominating Committee and other committees, composed of one or more directors, to serve at the pleasure of the Board of Directors.</w:t>
      </w:r>
    </w:p>
    <w:p>
      <w:pPr>
        <w:spacing w:after="0" w:line="8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POWERS</w:t>
      </w:r>
      <w:r>
        <w:rPr>
          <w:rFonts w:ascii="Arial" w:cs="Arial" w:eastAsia="Arial" w:hAnsi="Arial"/>
          <w:sz w:val="18"/>
          <w:szCs w:val="18"/>
          <w:color w:val="auto"/>
        </w:rPr>
        <w:t>. The Board of Directors may delegate to committees appointed under Section 1 of this Article any of the powers of the Board of Directors, except as prohibited by law.</w:t>
      </w:r>
    </w:p>
    <w:p>
      <w:pPr>
        <w:spacing w:after="0" w:line="132" w:lineRule="exact"/>
        <w:rPr>
          <w:sz w:val="20"/>
          <w:szCs w:val="20"/>
          <w:color w:val="auto"/>
        </w:rPr>
      </w:pPr>
    </w:p>
    <w:p>
      <w:pPr>
        <w:ind w:right="40" w:firstLine="913"/>
        <w:spacing w:after="0" w:line="314"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MEETINGS</w:t>
      </w:r>
      <w:r>
        <w:rPr>
          <w:rFonts w:ascii="Arial" w:cs="Arial" w:eastAsia="Arial" w:hAnsi="Arial"/>
          <w:sz w:val="15"/>
          <w:szCs w:val="15"/>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 and such chairman or, in the absence of a chairman, any two members of any committee (if there are at least two members of the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105"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TELEPHONE MEETINGS</w:t>
      </w:r>
      <w:r>
        <w:rPr>
          <w:rFonts w:ascii="Arial" w:cs="Arial" w:eastAsia="Arial" w:hAnsi="Arial"/>
          <w:sz w:val="18"/>
          <w:szCs w:val="18"/>
          <w:color w:val="auto"/>
        </w:rPr>
        <w:t>.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40"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WRITTEN CONSENT BY COMMITTEES</w:t>
      </w:r>
      <w:r>
        <w:rPr>
          <w:rFonts w:ascii="Arial" w:cs="Arial" w:eastAsia="Arial" w:hAnsi="Arial"/>
          <w:sz w:val="18"/>
          <w:szCs w:val="18"/>
          <w:color w:val="auto"/>
        </w:rPr>
        <w:t>. Any action required or permitted to be taken at any meeting of a committee of the Board of Directors may be taken without a meeting, if a consent in writing or by electronic transmission to such action is given by each member of the committee and is filed with the minutes of proceedings of such committee.</w:t>
      </w:r>
    </w:p>
    <w:p>
      <w:pPr>
        <w:spacing w:after="0" w:line="140"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provisions hereof, the Board of Directors shall have the power at any time to change the membership of any committee, to fill all vacancies, to designate alternate members to replace any absent or disqualified member or to dissolve any such committee. Subject to the power of the Board of Directors, the members of the committee shall have the power to fill any vacancies on the committee.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09" w:name="page210"/>
    <w:bookmarkEnd w:id="209"/>
    <w:p>
      <w:pPr>
        <w:ind w:right="6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 </w:t>
      </w:r>
      <w:r>
        <w:rPr>
          <w:rFonts w:ascii="Arial" w:cs="Arial" w:eastAsia="Arial" w:hAnsi="Arial"/>
          <w:sz w:val="16"/>
          <w:szCs w:val="16"/>
          <w:u w:val="single" w:color="auto"/>
          <w:color w:val="auto"/>
        </w:rPr>
        <w:t>GENERAL PROVISIONS</w:t>
      </w:r>
      <w:r>
        <w:rPr>
          <w:rFonts w:ascii="Arial" w:cs="Arial" w:eastAsia="Arial" w:hAnsi="Arial"/>
          <w:sz w:val="16"/>
          <w:szCs w:val="16"/>
          <w:color w:val="auto"/>
        </w:rPr>
        <w:t>. The officers of the Corporation shall include a president, a secretary and a treasurer and may include a chief executive officer, one or more vice presidents, a chief operating officer, a chief financial officer, one or more assistant. secretaries and one or more assistant treasurers. In addition, the Board of Directors may from time to time elect such other officers with such powers and duties as it shall deem necessary or desirable. The Board of Directors may designate a Chairman of the Board and a Vice Chairman of the Board, who shall not be officers of the Corporation but shall have such powers and duties as determined by the Board of Directors from time to time. The officers of the Corporation shall be elected annually by the Board of Directors, except that the chief executive officer or president may from time to time appoint one or more vice presidents, assistant secretaries, assistant treasurers or other officers. Each officer shall hold office until his or her successor is elected and qualifies or until death, resignation or removal in the manner hereinafter provided. Any two or more offices except president and vice president may be held by the same person. Election of an officer or agent shall not of itself create contract rights between the Corporation and such officer or agent.</w:t>
      </w:r>
    </w:p>
    <w:p>
      <w:pPr>
        <w:spacing w:after="0" w:line="120"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REMOVAL AND RESIGNATION</w:t>
      </w:r>
      <w:r>
        <w:rPr>
          <w:rFonts w:ascii="Arial" w:cs="Arial" w:eastAsia="Arial" w:hAnsi="Arial"/>
          <w:sz w:val="16"/>
          <w:szCs w:val="16"/>
          <w:color w:val="auto"/>
        </w:rPr>
        <w:t>. Any officer or agent of the Corporation may be removed, with or without cause, by the Board of Directors if in its judgment the best interests of the Corporation would be served thereby, but such removal shall be without prejudice to the contract rights, if any, of the person so removed. Any officer of the Corporation may resign at any time by giving written notice of his or her resignation to the Board of Directors, the chairman of the board, the president or the secretary. Any resignation shall take effect immediately 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may be filled by the Board of Directors for the balance of the term.</w:t>
      </w:r>
    </w:p>
    <w:p>
      <w:pPr>
        <w:spacing w:after="0" w:line="171"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Board of Directors may designate a chief executive officer. In the absence of such designation, the president shall be the chief executive officer of the Corporation. The chief executive officer shall have general responsibility for implementation of the policies of the Corporation, as determined by the Board of Directors, and for the management of the business and affairs of the Corporation.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chief executive officer and such other duties as may be prescribed by the Board of Directors from time to time.</w:t>
      </w:r>
    </w:p>
    <w:p>
      <w:pPr>
        <w:spacing w:after="0" w:line="120"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CHIEF OPERATING OFFICER</w:t>
      </w:r>
      <w:r>
        <w:rPr>
          <w:rFonts w:ascii="Arial" w:cs="Arial" w:eastAsia="Arial" w:hAnsi="Arial"/>
          <w:sz w:val="18"/>
          <w:szCs w:val="18"/>
          <w:color w:val="auto"/>
        </w:rPr>
        <w:t>. The Board of Directors may designate a chief operating officer. The chief operating officer shall have the responsibilities and duties as set forth by the Board of Directors or the chief executive officer.</w:t>
      </w:r>
    </w:p>
    <w:p>
      <w:pPr>
        <w:spacing w:after="0" w:line="13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Board of Directors may designate a chief financial officer. The chief financial officer shall have the responsibilities and duties as set forth by the Board of Directors or the chief executive officer.</w:t>
      </w:r>
    </w:p>
    <w:p>
      <w:pPr>
        <w:spacing w:after="0" w:line="132"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PRESIDENT</w:t>
      </w:r>
      <w:r>
        <w:rPr>
          <w:rFonts w:ascii="Arial" w:cs="Arial" w:eastAsia="Arial" w:hAnsi="Arial"/>
          <w:sz w:val="16"/>
          <w:szCs w:val="16"/>
          <w:color w:val="auto"/>
        </w:rPr>
        <w:t>. In the absence of a designation of a chief executive officer by the Board of Directors, the president shall be the chief executive officer.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113"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VICE PRESIDENTS</w:t>
      </w:r>
      <w:r>
        <w:rPr>
          <w:rFonts w:ascii="Arial" w:cs="Arial" w:eastAsia="Arial" w:hAnsi="Arial"/>
          <w:sz w:val="16"/>
          <w:szCs w:val="16"/>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president or by the Board of Directors. The Board of Directors may designate one or more vice presidents as executive vice president or as vice president for particular areas of responsibility.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34" w:right="239" w:bottom="1440" w:gutter="0" w:footer="0" w:header="0"/>
        </w:sectPr>
      </w:pPr>
    </w:p>
    <w:bookmarkStart w:id="210" w:name="page211"/>
    <w:bookmarkEnd w:id="210"/>
    <w:p>
      <w:pPr>
        <w:ind w:right="4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by the chief executive officer, the president or by the Board of Directors.</w:t>
      </w:r>
    </w:p>
    <w:p>
      <w:pPr>
        <w:spacing w:after="0" w:line="116" w:lineRule="exact"/>
        <w:rPr>
          <w:sz w:val="20"/>
          <w:szCs w:val="20"/>
          <w:color w:val="auto"/>
        </w:rPr>
      </w:pPr>
    </w:p>
    <w:p>
      <w:pPr>
        <w:jc w:val="both"/>
        <w:ind w:right="40" w:firstLine="913"/>
        <w:spacing w:after="0" w:line="335" w:lineRule="auto"/>
        <w:rPr>
          <w:sz w:val="20"/>
          <w:szCs w:val="20"/>
          <w:color w:val="auto"/>
        </w:rPr>
      </w:pPr>
      <w:r>
        <w:rPr>
          <w:rFonts w:ascii="Arial" w:cs="Arial" w:eastAsia="Arial" w:hAnsi="Arial"/>
          <w:sz w:val="15"/>
          <w:szCs w:val="15"/>
          <w:color w:val="auto"/>
        </w:rPr>
        <w:t xml:space="preserve">Section 10. </w:t>
      </w:r>
      <w:r>
        <w:rPr>
          <w:rFonts w:ascii="Arial" w:cs="Arial" w:eastAsia="Arial" w:hAnsi="Arial"/>
          <w:sz w:val="15"/>
          <w:szCs w:val="15"/>
          <w:u w:val="single" w:color="auto"/>
          <w:color w:val="auto"/>
        </w:rPr>
        <w:t>TREASURER</w:t>
      </w:r>
      <w:r>
        <w:rPr>
          <w:rFonts w:ascii="Arial" w:cs="Arial" w:eastAsia="Arial" w:hAnsi="Arial"/>
          <w:sz w:val="15"/>
          <w:szCs w:val="15"/>
          <w:color w:val="auto"/>
        </w:rPr>
        <w:t>. The treasurer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In the absence of a designation of a chief financial officer by the Board of Directors, the treasurer shall be the chief financial officer of the Corporation.</w:t>
      </w:r>
    </w:p>
    <w:p>
      <w:pPr>
        <w:spacing w:after="0" w:line="88" w:lineRule="exact"/>
        <w:rPr>
          <w:sz w:val="20"/>
          <w:szCs w:val="20"/>
          <w:color w:val="auto"/>
        </w:rPr>
      </w:pPr>
    </w:p>
    <w:p>
      <w:pPr>
        <w:ind w:right="520" w:firstLine="913"/>
        <w:spacing w:after="0" w:line="306" w:lineRule="auto"/>
        <w:rPr>
          <w:sz w:val="20"/>
          <w:szCs w:val="20"/>
          <w:color w:val="auto"/>
        </w:rPr>
      </w:pPr>
      <w:r>
        <w:rPr>
          <w:rFonts w:ascii="Arial" w:cs="Arial" w:eastAsia="Arial" w:hAnsi="Arial"/>
          <w:sz w:val="16"/>
          <w:szCs w:val="16"/>
          <w:color w:val="auto"/>
        </w:rPr>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spacing w:after="0" w:line="10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moneys and other property of whatever kind in his or her possession or under his or her control belonging to the Corporation.</w:t>
      </w:r>
    </w:p>
    <w:p>
      <w:pPr>
        <w:spacing w:after="0" w:line="143"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CONTRACTS, LOANS, CHECKS AND DEPOSITS</w:t>
      </w:r>
    </w:p>
    <w:p>
      <w:pPr>
        <w:spacing w:after="0" w:line="177"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CONTRACTS</w:t>
      </w:r>
      <w:r>
        <w:rPr>
          <w:rFonts w:ascii="Arial" w:cs="Arial" w:eastAsia="Arial" w:hAnsi="Arial"/>
          <w:sz w:val="18"/>
          <w:szCs w:val="18"/>
          <w:color w:val="auto"/>
        </w:rPr>
        <w:t>. The Board of Directors, the Executive Committee or another committee of the Board of Directors within the scope of its delegated authority,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 binding upon the Corporation when authorized or ratified by action of the Board of Directors or the Executive Committee or such other committee and executed by an authorized person.</w:t>
      </w:r>
    </w:p>
    <w:p>
      <w:pPr>
        <w:spacing w:after="0" w:line="143"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CHECKS AND DRAFTS</w:t>
      </w:r>
      <w:r>
        <w:rPr>
          <w:rFonts w:ascii="Arial" w:cs="Arial" w:eastAsia="Arial" w:hAnsi="Arial"/>
          <w:sz w:val="18"/>
          <w:szCs w:val="18"/>
          <w:color w:val="auto"/>
        </w:rPr>
        <w:t>.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spacing w:after="0" w:line="14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DEPOSITS</w:t>
      </w:r>
      <w:r>
        <w:rPr>
          <w:rFonts w:ascii="Arial" w:cs="Arial" w:eastAsia="Arial" w:hAnsi="Arial"/>
          <w:sz w:val="18"/>
          <w:szCs w:val="18"/>
          <w:color w:val="auto"/>
        </w:rPr>
        <w:t>. All funds of the Corporation not otherwise employed shall be deposited from time to time to the credit of the Corporation in such banks, trust companies or other depositories as the Board of Directors may designate.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w:t>
      </w:r>
    </w:p>
    <w:p>
      <w:pPr>
        <w:spacing w:after="0" w:line="177"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CERTIFICATES; REQUIRED INFORMATION</w:t>
      </w:r>
      <w:r>
        <w:rPr>
          <w:rFonts w:ascii="Arial" w:cs="Arial" w:eastAsia="Arial" w:hAnsi="Arial"/>
          <w:sz w:val="18"/>
          <w:szCs w:val="18"/>
          <w:color w:val="auto"/>
        </w:rPr>
        <w:t>. Except as may be otherwise provided by the Board of Directors, stockholders of the Corporation are not entitled to certificates representing the shares of stock held by them. In the event that the Corporation issues shares of stock represented by certificates, such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34" w:right="239" w:bottom="1440" w:gutter="0" w:footer="0" w:header="0"/>
        </w:sectPr>
      </w:pPr>
    </w:p>
    <w:bookmarkStart w:id="211" w:name="page212"/>
    <w:bookmarkEnd w:id="211"/>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certificates shall be signed by the officers of the Corporation in the manner permitted by the MGCL and contain the statements and information required by the MGCL. In the event that the Corporation issues shares of stock without certificates, the Corporation shall provide to record holders of such shares a written statement of the information required (if any) by the MGCL to be included on stock certificates.</w:t>
      </w:r>
    </w:p>
    <w:p>
      <w:pPr>
        <w:spacing w:after="0" w:line="140"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TRANSFERS WHEN CERTIFICATES ISSUED</w:t>
      </w:r>
      <w:r>
        <w:rPr>
          <w:rFonts w:ascii="Arial" w:cs="Arial" w:eastAsia="Arial" w:hAnsi="Arial"/>
          <w:sz w:val="18"/>
          <w:szCs w:val="18"/>
          <w:color w:val="auto"/>
        </w:rPr>
        <w:t>. Subject to any determination of the Board of Directors pursuant to Section 1 of this Article, upon surrender to the Corporation or the transfer agent of the Corporation of a stock certificate duly endorsed or accompanied by proper evidence of succession, assignment or authority to transfer, the Corporation shall issue a new certificate to the person entitled thereto, cancel the old certificate and record the transaction upon its books.</w:t>
      </w:r>
    </w:p>
    <w:p>
      <w:pPr>
        <w:spacing w:after="0" w:line="14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Corporation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 thereof, except as otherwise provided by the laws of the State of Maryland.</w:t>
      </w:r>
    </w:p>
    <w:p>
      <w:pPr>
        <w:spacing w:after="0" w:line="14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Notwithstanding the foregoing, transfers of shares of any class of stock will be subject in all respects to the charter of the Corporation and all of the terms and conditions contained therein.</w:t>
      </w:r>
    </w:p>
    <w:p>
      <w:pPr>
        <w:spacing w:after="0" w:line="132"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REPLACEMENT CERTIFICATE</w:t>
      </w:r>
      <w:r>
        <w:rPr>
          <w:rFonts w:ascii="Arial" w:cs="Arial" w:eastAsia="Arial" w:hAnsi="Arial"/>
          <w:sz w:val="16"/>
          <w:szCs w:val="16"/>
          <w:color w:val="auto"/>
        </w:rPr>
        <w:t>. Subject to any determination of the Board of Directors pursuant to Section 1 of this Article, the president, the secretary, the treasurer or any officer designated by the Board of Directors may direct a new certificate to be issued in place of any certificate previously issued by the Corporation alleged to have been lost, stolen or destroyed upon the making of an affidavit of that fact by the person claiming the certificate to be lost, stolen or destroyed. When authorizing the issuance of a new certificate, an officer designated by the Board of Directors may, in his or her discretion and as a condition precedent to the issuance thereof, require the owner of such lost, stolen or destroyed certificate or the owner’s legal representative to advertise the same in such manner as he or she shall require and/or to give bond, with sufficient surety, to the Corporation to indemnify it against any loss or claim which may arise as a result of the issuance of a new certificate.</w:t>
      </w:r>
    </w:p>
    <w:p>
      <w:pPr>
        <w:spacing w:after="0" w:line="118" w:lineRule="exact"/>
        <w:rPr>
          <w:sz w:val="20"/>
          <w:szCs w:val="20"/>
          <w:color w:val="auto"/>
        </w:rPr>
      </w:pPr>
    </w:p>
    <w:p>
      <w:pPr>
        <w:jc w:val="both"/>
        <w:ind w:right="20" w:firstLine="913"/>
        <w:spacing w:after="0" w:line="294"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CLOSING OF TRANSFER BOOKS OR FIXING OF RECORD DATE</w:t>
      </w:r>
      <w:r>
        <w:rPr>
          <w:rFonts w:ascii="Arial" w:cs="Arial" w:eastAsia="Arial" w:hAnsi="Arial"/>
          <w:sz w:val="16"/>
          <w:szCs w:val="16"/>
          <w:color w:val="auto"/>
        </w:rPr>
        <w:t>.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determination of stockholders for any other proper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16"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In lieu of fixing a record date, the Board of Directors may provide that the stock transfer books shall be closed for a stated period but not longer than 20 days. If the stock transfer books are closed for the purpose of determining stockholders entitled to notice of or to vote at a meeting of stockholders, such books shall be closed for at least ten days before the date of such meeting.</w:t>
      </w:r>
    </w:p>
    <w:p>
      <w:pPr>
        <w:spacing w:after="0" w:line="14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If no record date is fixed and the stock transfer books are not closed for the determination of stockholders, (a) the record date for the determination of stockholders entitled to notice of or to vote at a meeting of stockholders shall be at the close of business on the day on which the notice of meeting is mailed or the 30th day before the meeting, whichever is the closer date to the meeting; and (b) the record date for the determination of stockholders entitled to receive payment of a dividend or an allotment of any other rights shall be the close of business on the day on which the resolution of the directors, declaring the dividend or allotment of rights, is adopted.</w:t>
      </w:r>
    </w:p>
    <w:p>
      <w:pPr>
        <w:spacing w:after="0" w:line="143"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When a determination of stockholders entitled to vote at any meeting of stockholders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143"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STOCK LEDGER</w:t>
      </w:r>
      <w:r>
        <w:rPr>
          <w:rFonts w:ascii="Arial" w:cs="Arial" w:eastAsia="Arial" w:hAnsi="Arial"/>
          <w:sz w:val="16"/>
          <w:szCs w:val="16"/>
          <w:color w:val="auto"/>
        </w:rPr>
        <w:t>. The Corporation shall maintain at its principal office or at the office of its counsel, accountants or transfer agent, an original or duplicate share ledger containing the name and address of each stockholder and the number of shares of each class held by such stockholder.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12" w:name="page213"/>
    <w:bookmarkEnd w:id="212"/>
    <w:p>
      <w:pPr>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 </w:t>
      </w:r>
      <w:r>
        <w:rPr>
          <w:rFonts w:ascii="Arial" w:cs="Arial" w:eastAsia="Arial" w:hAnsi="Arial"/>
          <w:sz w:val="18"/>
          <w:szCs w:val="18"/>
          <w:u w:val="single" w:color="auto"/>
          <w:color w:val="auto"/>
        </w:rPr>
        <w:t>FRACTIONAL STOCK; ISSUANCE OF UNITS</w:t>
      </w:r>
      <w:r>
        <w:rPr>
          <w:rFonts w:ascii="Arial" w:cs="Arial" w:eastAsia="Arial" w:hAnsi="Arial"/>
          <w:sz w:val="18"/>
          <w:szCs w:val="18"/>
          <w:color w:val="auto"/>
        </w:rPr>
        <w:t>. The Board of Directors may issue fractional stock or provide for the issuance of scrip, all on such terms and under such conditions as they may determine. Notwithstanding any other provision of the charter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334" w:right="359"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YEAR</w:t>
      </w:r>
    </w:p>
    <w:p>
      <w:pPr>
        <w:spacing w:after="0" w:line="17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The Board of Directors shall have the power, from time to time, to fix the fiscal year of the Corporation by a duly adopted resolution.</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AUTHORIZATION</w:t>
      </w:r>
      <w:r>
        <w:rPr>
          <w:rFonts w:ascii="Arial" w:cs="Arial" w:eastAsia="Arial" w:hAnsi="Arial"/>
          <w:sz w:val="18"/>
          <w:szCs w:val="18"/>
          <w:color w:val="auto"/>
        </w:rPr>
        <w:t>. Dividends and other distributions upon the stock of the Corporation may be authorized by the Board of Directors, subject to the provisions of law and the charter of the Corporation. Dividends and other distributions may be paid in cash, property or stock of the Corporation, subject to the provisions of law and the charter.</w:t>
      </w:r>
    </w:p>
    <w:p>
      <w:pPr>
        <w:spacing w:after="0" w:line="140" w:lineRule="exact"/>
        <w:rPr>
          <w:sz w:val="20"/>
          <w:szCs w:val="20"/>
          <w:color w:val="auto"/>
        </w:rPr>
      </w:pPr>
    </w:p>
    <w:p>
      <w:pPr>
        <w:ind w:firstLine="913"/>
        <w:spacing w:after="0" w:line="323" w:lineRule="auto"/>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u w:val="single" w:color="auto"/>
          <w:color w:val="auto"/>
        </w:rPr>
        <w:t>CONTINGENCIES</w:t>
      </w:r>
      <w:r>
        <w:rPr>
          <w:rFonts w:ascii="Arial" w:cs="Arial" w:eastAsia="Arial" w:hAnsi="Arial"/>
          <w:sz w:val="15"/>
          <w:szCs w:val="15"/>
          <w:color w:val="auto"/>
        </w:rPr>
        <w:t>. Before payment of any dividends or other distributions, there may be set aside out of any assets of the Corporation available for dividends or other distributions such sum or sums as the Board of Directors may from time to time, in its absolute discretion, think proper as a reserve fund for contingencies, for equalizing dividends or other distributions, for repairing or maintaining any property of the Corporation or for such other purpose as the Board of Directors shall determine to be in the best interest of the Corporation, and the Board of Directors may modify or abolish any such reserve.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SEAL</w:t>
      </w:r>
    </w:p>
    <w:p>
      <w:pPr>
        <w:spacing w:after="0" w:line="177"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140"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AFFIXING SEAL</w:t>
      </w:r>
      <w:r>
        <w:rPr>
          <w:rFonts w:ascii="Arial" w:cs="Arial" w:eastAsia="Arial" w:hAnsi="Arial"/>
          <w:sz w:val="18"/>
          <w:szCs w:val="18"/>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AND ADVANCE OF EXPENSES</w:t>
      </w:r>
    </w:p>
    <w:p>
      <w:pPr>
        <w:spacing w:after="0" w:line="17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To the maximum extent permitted by Maryland law and the Investment Company Act,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or threatened to be made a party to the proceeding by reason of his or her service in that capacity or (b) any individual who, while a director or officer of the Corporation and at the request of the Corporation, serves or has served as a director, officer, partner or trustee of such corporation, real estate investment trust, partnership, joint venture, trust, employee benefit plan or other enterprise and who is made or threatened to be made a party to the proceeding by reason of his or her service in that capacity. The Corporation may, with the approval of its Board of Directors or any duly authorized committee thereof, provide such indemnification and advance for expenses to a person who served a predecessor of the Corporation in any of the capacities described in (a) or (b) above and to any employee or agent of the Corporation or a predecessor of the Corporation. The indemnification and payment of expenses provided in these Bylaws shall not be deemed exclusive of or limit in any way other rights to which any person seeking indemnification or payment of expenses may be or may become entitled under any bylaw, regulation, insurance, agreement or otherwise.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90" w:right="259" w:bottom="1440" w:gutter="0" w:footer="0" w:header="0"/>
        </w:sectPr>
      </w:pPr>
    </w:p>
    <w:bookmarkStart w:id="214" w:name="page215"/>
    <w:bookmarkEnd w:id="214"/>
    <w:p>
      <w:pPr>
        <w:ind w:right="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amendment nor repeal of this Article, nor the adoption or amendment of any other provision of the Bylaws or charter of the Corporation inconsistent with this Article, shall apply to or affect in any respect the applicability of the preceding paragraph with respect to any act or failure to act which occurred prior to such amendment, repeal or adoption.</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WAIVER OF NOTICE</w:t>
      </w:r>
    </w:p>
    <w:p>
      <w:pPr>
        <w:spacing w:after="0" w:line="177"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Whenever any notice is required to be given pursuant to the charter of the Corporation or these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INSPECTION OF RECORDS</w:t>
      </w:r>
    </w:p>
    <w:p>
      <w:pPr>
        <w:spacing w:after="0" w:line="17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A stockholder that is otherwise eligible under applicable law to inspect the Corporation’s books of account, stock ledger, or other specified documents of the Corporation shall have no right to make such inspection if the Board of Directors determines that such stockholder has an improper purpose for requesting such inspection.</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XIV</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INVESTMENT COMPANY ACT</w:t>
      </w:r>
    </w:p>
    <w:p>
      <w:pPr>
        <w:spacing w:after="0" w:line="17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If and to the extent that any provision of the MGCL, including, without limitation, Subtitle 6 and, if then applicable, Subtitle 7, of Title 3 of the MGCL, or any provision of the charter or these Bylaws conflicts with any provision of the Investment Company Act, the applicable provision of the Investment Company Act shall control.</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XV</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OF BYLAWS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Board of Directors shall have the exclusive power to adopt, alter or repeal any provision of these Bylaws and to make new Bylaws.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334" w:right="29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Re: Shelf Registration Statement and Investment Company Act of 1940 File No. 814-00736.</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With respect to the subject registration statement, we acknowledge our awareness of the use therein of our report dated February 2, 2011 related to our review of interim financial information.</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643255"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43255" cy="13716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2011</w:t>
      </w:r>
    </w:p>
    <w:p>
      <w:pPr>
        <w:sectPr>
          <w:pgSz w:w="11900" w:h="16838" w:orient="portrait"/>
          <w:cols w:equalWidth="0" w:num="1">
            <w:col w:w="11420"/>
          </w:cols>
          <w:pgMar w:left="240" w:top="125"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(n)(2)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84"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consent to the use of our reports dated November 17, 2010 for the PennantPark Investment Corporation and subsidiaries included herein and to the references to our firm under the headings “Selected Financial Data”, “Senior Securities”, and “Independent Registered Public Accounting Firm” in the Registration Statement on Form 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643255"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43255" cy="13716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1)"/>
      <w:numFmt w:val="decimal"/>
      <w:start w:val="1"/>
    </w:lvl>
  </w:abstractNum>
  <w:abstractNum w:abstractNumId="3">
    <w:nsid w:val="98A3148"/>
    <w:multiLevelType w:val="hybridMultilevel"/>
    <w:lvl w:ilvl="0">
      <w:lvlJc w:val="left"/>
      <w:lvlText w:val="(%1)"/>
      <w:numFmt w:val="decimal"/>
      <w:start w:val="1"/>
    </w:lvl>
  </w:abstractNum>
  <w:abstractNum w:abstractNumId="4">
    <w:nsid w:val="799D0247"/>
    <w:multiLevelType w:val="hybridMultilevel"/>
    <w:lvl w:ilvl="0">
      <w:lvlJc w:val="left"/>
      <w:lvlText w:val="(%1)"/>
      <w:numFmt w:val="decimal"/>
      <w:start w:val="7"/>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1)"/>
      <w:numFmt w:val="decimal"/>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1)"/>
      <w:numFmt w:val="decimal"/>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1)"/>
      <w:numFmt w:val="decimal"/>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abstractNum>
  <w:abstractNum w:abstractNumId="23">
    <w:nsid w:val="4962813B"/>
    <w:multiLevelType w:val="hybridMultilevel"/>
    <w:lvl w:ilvl="0">
      <w:lvlJc w:val="left"/>
      <w:lvlText w:val="(%1)"/>
      <w:numFmt w:val="decimal"/>
      <w:start w:val="1"/>
    </w:lvl>
  </w:abstractNum>
  <w:abstractNum w:abstractNumId="24">
    <w:nsid w:val="60B6DF70"/>
    <w:multiLevelType w:val="hybridMultilevel"/>
    <w:lvl w:ilvl="0">
      <w:lvlJc w:val="left"/>
      <w:lvlText w:val="(%1)"/>
      <w:numFmt w:val="decimal"/>
      <w:start w:val="4"/>
    </w:lvl>
  </w:abstractNum>
  <w:abstractNum w:abstractNumId="25">
    <w:nsid w:val="6A5EE64"/>
    <w:multiLevelType w:val="hybridMultilevel"/>
    <w:lvl w:ilvl="0">
      <w:lvlJc w:val="left"/>
      <w:lvlText w:val="(%1)"/>
      <w:numFmt w:val="decimal"/>
      <w:start w:val="1"/>
    </w:lvl>
  </w:abstractNum>
  <w:abstractNum w:abstractNumId="26">
    <w:nsid w:val="14330624"/>
    <w:multiLevelType w:val="hybridMultilevel"/>
    <w:lvl w:ilvl="0">
      <w:lvlJc w:val="left"/>
      <w:lvlText w:val="(%1)"/>
      <w:numFmt w:val="upperLetter"/>
      <w:start w:val="2"/>
    </w:lvl>
  </w:abstractNum>
  <w:abstractNum w:abstractNumId="27">
    <w:nsid w:val="7FFFCA11"/>
    <w:multiLevelType w:val="hybridMultilevel"/>
    <w:lvl w:ilvl="0">
      <w:lvlJc w:val="left"/>
      <w:lvlText w:val="(%1)"/>
      <w:numFmt w:val="decimal"/>
      <w:start w:val="1"/>
    </w:lvl>
  </w:abstractNum>
  <w:abstractNum w:abstractNumId="28">
    <w:nsid w:val="1A27709E"/>
    <w:multiLevelType w:val="hybridMultilevel"/>
    <w:lvl w:ilvl="0">
      <w:lvlJc w:val="left"/>
      <w:lvlText w:val="(%1)"/>
      <w:numFmt w:val="decimal"/>
      <w:start w:val="4"/>
    </w:lvl>
  </w:abstractNum>
  <w:abstractNum w:abstractNumId="29">
    <w:nsid w:val="71EA1109"/>
    <w:multiLevelType w:val="hybridMultilevel"/>
    <w:lvl w:ilvl="0">
      <w:lvlJc w:val="left"/>
      <w:lvlText w:val="(%1)"/>
      <w:numFmt w:val="decimal"/>
      <w:start w:val="1"/>
    </w:lvl>
  </w:abstractNum>
  <w:abstractNum w:abstractNumId="30">
    <w:nsid w:val="100F59DC"/>
    <w:multiLevelType w:val="hybridMultilevel"/>
    <w:lvl w:ilvl="0">
      <w:lvlJc w:val="left"/>
      <w:lvlText w:val="(%1)"/>
      <w:numFmt w:val="decimal"/>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
      <w:numFmt w:val="bullet"/>
      <w:start w:val="1"/>
    </w:lvl>
  </w:abstractNum>
  <w:abstractNum w:abstractNumId="34">
    <w:nsid w:val="94211F2"/>
    <w:multiLevelType w:val="hybridMultilevel"/>
    <w:lvl w:ilvl="0">
      <w:lvlJc w:val="left"/>
      <w:lvlText w:val="(%1)"/>
      <w:numFmt w:val="decimal"/>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1)"/>
      <w:numFmt w:val="decimal"/>
      <w:start w:val="1"/>
    </w:lvl>
  </w:abstractNum>
  <w:abstractNum w:abstractNumId="37">
    <w:nsid w:val="4C04A8AF"/>
    <w:multiLevelType w:val="hybridMultilevel"/>
    <w:lvl w:ilvl="0">
      <w:lvlJc w:val="left"/>
      <w:lvlText w:val="(%1)"/>
      <w:numFmt w:val="decimal"/>
      <w:start w:val="3"/>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1)"/>
      <w:numFmt w:val="lowerLetter"/>
      <w:start w:val="2"/>
    </w:lvl>
    <w:lvl w:ilvl="1">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
      <w:numFmt w:val="bullet"/>
      <w:start w:val="1"/>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
      <w:numFmt w:val="bullet"/>
      <w:start w:val="1"/>
    </w:lvl>
  </w:abstractNum>
  <w:abstractNum w:abstractNumId="44">
    <w:nsid w:val="46B7D447"/>
    <w:multiLevelType w:val="hybridMultilevel"/>
    <w:lvl w:ilvl="0">
      <w:lvlJc w:val="left"/>
      <w:lvlText w:val="(%1)"/>
      <w:numFmt w:val="decimal"/>
      <w:start w:val="1"/>
    </w:lvl>
  </w:abstractNum>
  <w:abstractNum w:abstractNumId="45">
    <w:nsid w:val="4A2AC315"/>
    <w:multiLevelType w:val="hybridMultilevel"/>
    <w:lvl w:ilvl="0">
      <w:lvlJc w:val="left"/>
      <w:lvlText w:val="(%1)"/>
      <w:numFmt w:val="decimal"/>
      <w:start w:val="3"/>
    </w:lvl>
  </w:abstractNum>
  <w:abstractNum w:abstractNumId="46">
    <w:nsid w:val="39EE015C"/>
    <w:multiLevelType w:val="hybridMultilevel"/>
    <w:lvl w:ilvl="0">
      <w:lvlJc w:val="left"/>
      <w:lvlText w:val="(%1)"/>
      <w:numFmt w:val="decimal"/>
      <w:start w:val="1"/>
    </w:lvl>
  </w:abstractNum>
  <w:abstractNum w:abstractNumId="47">
    <w:nsid w:val="57FC4FBB"/>
    <w:multiLevelType w:val="hybridMultilevel"/>
    <w:lvl w:ilvl="0">
      <w:lvlJc w:val="left"/>
      <w:lvlText w:val="(%1)"/>
      <w:numFmt w:val="decimal"/>
      <w:start w:val="1"/>
    </w:lvl>
  </w:abstractNum>
  <w:abstractNum w:abstractNumId="48">
    <w:nsid w:val="CC1016F"/>
    <w:multiLevelType w:val="hybridMultilevel"/>
    <w:lvl w:ilvl="0">
      <w:lvlJc w:val="left"/>
      <w:lvlText w:val="*"/>
      <w:numFmt w:val="bullet"/>
      <w:start w:val="1"/>
    </w:lvl>
  </w:abstractNum>
  <w:abstractNum w:abstractNumId="49">
    <w:nsid w:val="43F18422"/>
    <w:multiLevelType w:val="hybridMultilevel"/>
    <w:lvl w:ilvl="0">
      <w:lvlJc w:val="left"/>
      <w:lvlText w:val="(%1)"/>
      <w:numFmt w:val="decimal"/>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abstractNum>
  <w:abstractNum w:abstractNumId="52">
    <w:nsid w:val="7F01579B"/>
    <w:multiLevelType w:val="hybridMultilevel"/>
    <w:lvl w:ilvl="0">
      <w:lvlJc w:val="left"/>
      <w:lvlText w:val="(*)"/>
      <w:numFmt w:val="bullet"/>
      <w:start w:val="1"/>
    </w:lvl>
    <w:lvl w:ilvl="1">
      <w:lvlJc w:val="left"/>
      <w:lvlText w:val="="/>
      <w:numFmt w:val="bullet"/>
      <w:start w:val="1"/>
    </w:lvl>
  </w:abstractNum>
  <w:abstractNum w:abstractNumId="53">
    <w:nsid w:val="49DA307D"/>
    <w:multiLevelType w:val="hybridMultilevel"/>
    <w:lvl w:ilvl="0">
      <w:lvlJc w:val="left"/>
      <w:lvlText w:val="(%1)"/>
      <w:numFmt w:val="decimal"/>
      <w:start w:val="1"/>
    </w:lvl>
  </w:abstractNum>
  <w:abstractNum w:abstractNumId="54">
    <w:nsid w:val="7055A5F5"/>
    <w:multiLevelType w:val="hybridMultilevel"/>
    <w:lvl w:ilvl="0">
      <w:lvlJc w:val="left"/>
      <w:lvlText w:val="(%1)"/>
      <w:numFmt w:val="decimal"/>
      <w:start w:val="1"/>
    </w:lvl>
  </w:abstractNum>
  <w:abstractNum w:abstractNumId="55">
    <w:nsid w:val="5FB8370B"/>
    <w:multiLevelType w:val="hybridMultilevel"/>
    <w:lvl w:ilvl="0">
      <w:lvlJc w:val="left"/>
      <w:lvlText w:val="(%1)"/>
      <w:numFmt w:val="decimal"/>
      <w:start w:val="5"/>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
      <w:numFmt w:val="bullet"/>
      <w:start w:val="1"/>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
      <w:numFmt w:val="bullet"/>
      <w:start w:val="1"/>
    </w:lvl>
  </w:abstractNum>
  <w:abstractNum w:abstractNumId="63">
    <w:nsid w:val="7D5E18F8"/>
    <w:multiLevelType w:val="hybridMultilevel"/>
    <w:lvl w:ilvl="0">
      <w:lvlJc w:val="left"/>
      <w:lvlText w:val="•"/>
      <w:numFmt w:val="bullet"/>
      <w:start w:val="1"/>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
      <w:numFmt w:val="bullet"/>
      <w:start w:val="1"/>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
      <w:numFmt w:val="bullet"/>
      <w:start w:val="1"/>
    </w:lvl>
  </w:abstractNum>
  <w:abstractNum w:abstractNumId="68">
    <w:nsid w:val="3FA62ACA"/>
    <w:multiLevelType w:val="hybridMultilevel"/>
    <w:lvl w:ilvl="0">
      <w:lvlJc w:val="left"/>
      <w:lvlText w:val="•"/>
      <w:numFmt w:val="bullet"/>
      <w:start w:val="1"/>
    </w:lvl>
  </w:abstractNum>
  <w:abstractNum w:abstractNumId="69">
    <w:nsid w:val="14FCE74E"/>
    <w:multiLevelType w:val="hybridMultilevel"/>
    <w:lvl w:ilvl="0">
      <w:lvlJc w:val="left"/>
      <w:lvlText w:val="•"/>
      <w:numFmt w:val="bullet"/>
      <w:start w:val="1"/>
    </w:lvl>
  </w:abstractNum>
  <w:abstractNum w:abstractNumId="70">
    <w:nsid w:val="6A3DD3E8"/>
    <w:multiLevelType w:val="hybridMultilevel"/>
    <w:lvl w:ilvl="0">
      <w:lvlJc w:val="left"/>
      <w:lvlText w:val="•"/>
      <w:numFmt w:val="bullet"/>
      <w:start w:val="1"/>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
      <w:numFmt w:val="bullet"/>
      <w:start w:val="1"/>
    </w:lvl>
  </w:abstractNum>
  <w:abstractNum w:abstractNumId="74">
    <w:nsid w:val="1FBFE8E0"/>
    <w:multiLevelType w:val="hybridMultilevel"/>
    <w:lvl w:ilvl="0">
      <w:lvlJc w:val="left"/>
      <w:lvlText w:val="•"/>
      <w:numFmt w:val="bullet"/>
      <w:start w:val="1"/>
    </w:lvl>
  </w:abstractNum>
  <w:abstractNum w:abstractNumId="75">
    <w:nsid w:val="5092CA79"/>
    <w:multiLevelType w:val="hybridMultilevel"/>
    <w:lvl w:ilvl="0">
      <w:lvlJc w:val="left"/>
      <w:lvlText w:val="•"/>
      <w:numFmt w:val="bullet"/>
      <w:start w:val="1"/>
    </w:lvl>
  </w:abstractNum>
  <w:abstractNum w:abstractNumId="76">
    <w:nsid w:val="1D545C4D"/>
    <w:multiLevelType w:val="hybridMultilevel"/>
    <w:lvl w:ilvl="0">
      <w:lvlJc w:val="left"/>
      <w:lvlText w:val="•"/>
      <w:numFmt w:val="bullet"/>
      <w:start w:val="1"/>
    </w:lvl>
  </w:abstractNum>
  <w:abstractNum w:abstractNumId="77">
    <w:nsid w:val="59ADEA3D"/>
    <w:multiLevelType w:val="hybridMultilevel"/>
    <w:lvl w:ilvl="0">
      <w:lvlJc w:val="left"/>
      <w:lvlText w:val="•"/>
      <w:numFmt w:val="bullet"/>
      <w:start w:val="1"/>
    </w:lvl>
  </w:abstractNum>
  <w:abstractNum w:abstractNumId="78">
    <w:nsid w:val="288F1A34"/>
    <w:multiLevelType w:val="hybridMultilevel"/>
    <w:lvl w:ilvl="0">
      <w:lvlJc w:val="left"/>
      <w:lvlText w:val="•"/>
      <w:numFmt w:val="bullet"/>
      <w:start w:val="1"/>
    </w:lvl>
  </w:abstractNum>
  <w:abstractNum w:abstractNumId="79">
    <w:nsid w:val="2A155DBC"/>
    <w:multiLevelType w:val="hybridMultilevel"/>
    <w:lvl w:ilvl="0">
      <w:lvlJc w:val="left"/>
      <w:lvlText w:val="•"/>
      <w:numFmt w:val="bullet"/>
      <w:start w:val="1"/>
    </w:lvl>
  </w:abstractNum>
  <w:abstractNum w:abstractNumId="80">
    <w:nsid w:val="1D9F6E5F"/>
    <w:multiLevelType w:val="hybridMultilevel"/>
    <w:lvl w:ilvl="0">
      <w:lvlJc w:val="left"/>
      <w:lvlText w:val="•"/>
      <w:numFmt w:val="bullet"/>
      <w:start w:val="1"/>
    </w:lvl>
  </w:abstractNum>
  <w:abstractNum w:abstractNumId="81">
    <w:nsid w:val="97E1B4E"/>
    <w:multiLevelType w:val="hybridMultilevel"/>
    <w:lvl w:ilvl="0">
      <w:lvlJc w:val="left"/>
      <w:lvlText w:val="(%1)"/>
      <w:numFmt w:val="decimal"/>
      <w:start w:val="1"/>
    </w:lvl>
    <w:lvl w:ilvl="1">
      <w:lvlJc w:val="left"/>
      <w:lvlText w:val="(%2)"/>
      <w:numFmt w:val="lowerLetter"/>
      <w:start w:val="1"/>
    </w:lvl>
  </w:abstractNum>
  <w:abstractNum w:abstractNumId="82">
    <w:nsid w:val="51088277"/>
    <w:multiLevelType w:val="hybridMultilevel"/>
    <w:lvl w:ilvl="0">
      <w:lvlJc w:val="left"/>
      <w:lvlText w:val="(%1)"/>
      <w:numFmt w:val="decimal"/>
      <w:start w:val="4"/>
    </w:lvl>
  </w:abstractNum>
  <w:abstractNum w:abstractNumId="83">
    <w:nsid w:val="1CA0C5FA"/>
    <w:multiLevelType w:val="hybridMultilevel"/>
    <w:lvl w:ilvl="0">
      <w:lvlJc w:val="left"/>
      <w:lvlText w:val="•"/>
      <w:numFmt w:val="bullet"/>
      <w:start w:val="1"/>
    </w:lvl>
  </w:abstractNum>
  <w:abstractNum w:abstractNumId="84">
    <w:nsid w:val="53584BCB"/>
    <w:multiLevelType w:val="hybridMultilevel"/>
    <w:lvl w:ilvl="0">
      <w:lvlJc w:val="left"/>
      <w:lvlText w:val="•"/>
      <w:numFmt w:val="bullet"/>
      <w:start w:val="1"/>
    </w:lvl>
  </w:abstractNum>
  <w:abstractNum w:abstractNumId="85">
    <w:nsid w:val="415E286C"/>
    <w:multiLevelType w:val="hybridMultilevel"/>
    <w:lvl w:ilvl="0">
      <w:lvlJc w:val="left"/>
      <w:lvlText w:val="•"/>
      <w:numFmt w:val="bullet"/>
      <w:start w:val="1"/>
    </w:lvl>
  </w:abstractNum>
  <w:abstractNum w:abstractNumId="86">
    <w:nsid w:val="7C58FD05"/>
    <w:multiLevelType w:val="hybridMultilevel"/>
    <w:lvl w:ilvl="0">
      <w:lvlJc w:val="left"/>
      <w:lvlText w:val="(%1)"/>
      <w:numFmt w:val="decimal"/>
      <w:start w:val="1"/>
    </w:lvl>
  </w:abstractNum>
  <w:abstractNum w:abstractNumId="87">
    <w:nsid w:val="23D86AAC"/>
    <w:multiLevelType w:val="hybridMultilevel"/>
    <w:lvl w:ilvl="0">
      <w:lvlJc w:val="left"/>
      <w:lvlText w:val="•"/>
      <w:numFmt w:val="bullet"/>
      <w:start w:val="1"/>
    </w:lvl>
    <w:lvl w:ilvl="1">
      <w:lvlJc w:val="left"/>
      <w:lvlText w:val="%2)"/>
      <w:numFmt w:val="decimal"/>
      <w:start w:val="1"/>
    </w:lvl>
  </w:abstractNum>
  <w:abstractNum w:abstractNumId="88">
    <w:nsid w:val="45E6D486"/>
    <w:multiLevelType w:val="hybridMultilevel"/>
    <w:lvl w:ilvl="0">
      <w:lvlJc w:val="left"/>
      <w:lvlText w:val="(%1)"/>
      <w:numFmt w:val="decimal"/>
      <w:start w:val="3"/>
    </w:lvl>
  </w:abstractNum>
  <w:abstractNum w:abstractNumId="89">
    <w:nsid w:val="5C10FE21"/>
    <w:multiLevelType w:val="hybridMultilevel"/>
    <w:lvl w:ilvl="0">
      <w:lvlJc w:val="left"/>
      <w:lvlText w:val="•"/>
      <w:numFmt w:val="bullet"/>
      <w:start w:val="1"/>
    </w:lvl>
  </w:abstractNum>
  <w:abstractNum w:abstractNumId="90">
    <w:nsid w:val="E7FFA2B"/>
    <w:multiLevelType w:val="hybridMultilevel"/>
    <w:lvl w:ilvl="0">
      <w:lvlJc w:val="left"/>
      <w:lvlText w:val="(%1)"/>
      <w:numFmt w:val="decimal"/>
      <w:start w:val="1"/>
    </w:lvl>
  </w:abstractNum>
  <w:abstractNum w:abstractNumId="91">
    <w:nsid w:val="3C5991AA"/>
    <w:multiLevelType w:val="hybridMultilevel"/>
    <w:lvl w:ilvl="0">
      <w:lvlJc w:val="left"/>
      <w:lvlText w:val="(%1)"/>
      <w:numFmt w:val="decimal"/>
      <w:start w:val="1"/>
    </w:lvl>
  </w:abstractNum>
  <w:abstractNum w:abstractNumId="92">
    <w:nsid w:val="4BD8591A"/>
    <w:multiLevelType w:val="hybridMultilevel"/>
    <w:lvl w:ilvl="0">
      <w:lvlJc w:val="left"/>
      <w:lvlText w:val="(%1)"/>
      <w:numFmt w:val="lowerLetter"/>
      <w:start w:val="1"/>
    </w:lvl>
  </w:abstractNum>
  <w:abstractNum w:abstractNumId="93">
    <w:nsid w:val="78DF6A55"/>
    <w:multiLevelType w:val="hybridMultilevel"/>
    <w:lvl w:ilvl="0">
      <w:lvlJc w:val="left"/>
      <w:lvlText w:val="(%1)"/>
      <w:numFmt w:val="decimal"/>
      <w:start w:val="1"/>
    </w:lvl>
  </w:abstractNum>
  <w:abstractNum w:abstractNumId="94">
    <w:nsid w:val="39B7AAA2"/>
    <w:multiLevelType w:val="hybridMultilevel"/>
    <w:lvl w:ilvl="0">
      <w:lvlJc w:val="left"/>
      <w:lvlText w:val="(%1)"/>
      <w:numFmt w:val="decimal"/>
      <w:start w:val="4"/>
    </w:lvl>
  </w:abstractNum>
  <w:abstractNum w:abstractNumId="95">
    <w:nsid w:val="2B0D8DBE"/>
    <w:multiLevelType w:val="hybridMultilevel"/>
    <w:lvl w:ilvl="0">
      <w:lvlJc w:val="left"/>
      <w:lvlText w:val="(%1)"/>
      <w:numFmt w:val="lowerLetter"/>
      <w:start w:val="2"/>
    </w:lvl>
  </w:abstractNum>
  <w:abstractNum w:abstractNumId="96">
    <w:nsid w:val="6C80EC70"/>
    <w:multiLevelType w:val="hybridMultilevel"/>
    <w:lvl w:ilvl="0">
      <w:lvlJc w:val="left"/>
      <w:lvlText w:val="(%1)"/>
      <w:numFmt w:val="lowerLetter"/>
      <w:start w:val="3"/>
    </w:lvl>
  </w:abstractNum>
  <w:abstractNum w:abstractNumId="97">
    <w:nsid w:val="379E21B5"/>
    <w:multiLevelType w:val="hybridMultilevel"/>
    <w:lvl w:ilvl="0">
      <w:lvlJc w:val="left"/>
      <w:lvlText w:val="(%1)"/>
      <w:numFmt w:val="lowerLetter"/>
      <w:start w:val="4"/>
    </w:lvl>
  </w:abstractNum>
  <w:abstractNum w:abstractNumId="98">
    <w:nsid w:val="69E373"/>
    <w:multiLevelType w:val="hybridMultilevel"/>
    <w:lvl w:ilvl="0">
      <w:lvlJc w:val="left"/>
      <w:lvlText w:val="(%1)"/>
      <w:numFmt w:val="lowerLetter"/>
      <w:start w:val="5"/>
    </w:lvl>
  </w:abstractNum>
  <w:abstractNum w:abstractNumId="99">
    <w:nsid w:val="2C27173B"/>
    <w:multiLevelType w:val="hybridMultilevel"/>
    <w:lvl w:ilvl="0">
      <w:lvlJc w:val="left"/>
      <w:lvlText w:val="(%1)"/>
      <w:numFmt w:val="lowerLetter"/>
      <w:start w:val="6"/>
    </w:lvl>
  </w:abstractNum>
  <w:abstractNum w:abstractNumId="100">
    <w:nsid w:val="4C9B0904"/>
    <w:multiLevelType w:val="hybridMultilevel"/>
    <w:lvl w:ilvl="0">
      <w:lvlJc w:val="left"/>
      <w:lvlText w:val="*"/>
      <w:numFmt w:val="bullet"/>
      <w:start w:val="1"/>
    </w:lvl>
  </w:abstractNum>
  <w:abstractNum w:abstractNumId="101">
    <w:nsid w:val="6AA7B75C"/>
    <w:multiLevelType w:val="hybridMultilevel"/>
    <w:lvl w:ilvl="0">
      <w:lvlJc w:val="left"/>
      <w:lvlText w:val="(%1)"/>
      <w:numFmt w:val="decimal"/>
      <w:start w:val="1"/>
    </w:lvl>
  </w:abstractNum>
  <w:abstractNum w:abstractNumId="102">
    <w:nsid w:val="1DF029D3"/>
    <w:multiLevelType w:val="hybridMultilevel"/>
    <w:lvl w:ilvl="0">
      <w:lvlJc w:val="left"/>
      <w:lvlText w:val="%1."/>
      <w:numFmt w:val="decimal"/>
      <w:start w:val="10"/>
    </w:lvl>
  </w:abstractNum>
  <w:abstractNum w:abstractNumId="103">
    <w:nsid w:val="5675FF36"/>
    <w:multiLevelType w:val="hybridMultilevel"/>
    <w:lvl w:ilvl="0">
      <w:lvlJc w:val="left"/>
      <w:lvlText w:val="(%1)"/>
      <w:numFmt w:val="decimal"/>
      <w:start w:val="1"/>
    </w:lvl>
  </w:abstractNum>
  <w:abstractNum w:abstractNumId="104">
    <w:nsid w:val="3DD15094"/>
    <w:multiLevelType w:val="hybridMultilevel"/>
    <w:lvl w:ilvl="0">
      <w:lvlJc w:val="left"/>
      <w:lvlText w:val="(%1)"/>
      <w:numFmt w:val="decimal"/>
      <w:start w:val="1"/>
    </w:lvl>
  </w:abstractNum>
  <w:abstractNum w:abstractNumId="105">
    <w:nsid w:val="3DB012B3"/>
    <w:multiLevelType w:val="hybridMultilevel"/>
    <w:lvl w:ilvl="0">
      <w:lvlJc w:val="left"/>
      <w:lvlText w:val="(%1)"/>
      <w:numFmt w:val="lowerLetter"/>
      <w:start w:val="1"/>
    </w:lvl>
  </w:abstractNum>
  <w:abstractNum w:abstractNumId="106">
    <w:nsid w:val="2708C9AF"/>
    <w:multiLevelType w:val="hybridMultilevel"/>
    <w:lvl w:ilvl="0">
      <w:lvlJc w:val="left"/>
      <w:lvlText w:val="(%1)"/>
      <w:numFmt w:val="decimal"/>
      <w:start w:val="1"/>
    </w:lvl>
  </w:abstractNum>
  <w:abstractNum w:abstractNumId="107">
    <w:nsid w:val="5B25ACE2"/>
    <w:multiLevelType w:val="hybridMultilevel"/>
    <w:lvl w:ilvl="0">
      <w:lvlJc w:val="left"/>
      <w:lvlText w:val="(%1)"/>
      <w:numFmt w:val="lowerLetter"/>
      <w:start w:val="2"/>
    </w:lvl>
  </w:abstractNum>
  <w:abstractNum w:abstractNumId="108">
    <w:nsid w:val="175DFCF0"/>
    <w:multiLevelType w:val="hybridMultilevel"/>
    <w:lvl w:ilvl="0">
      <w:lvlJc w:val="left"/>
      <w:lvlText w:val="(%1)"/>
      <w:numFmt w:val="lowerLetter"/>
      <w:start w:val="3"/>
    </w:lvl>
  </w:abstractNum>
  <w:abstractNum w:abstractNumId="109">
    <w:nsid w:val="4F97E3E4"/>
    <w:multiLevelType w:val="hybridMultilevel"/>
    <w:lvl w:ilvl="0">
      <w:lvlJc w:val="left"/>
      <w:lvlText w:val="(%1)"/>
      <w:numFmt w:val="lowerLetter"/>
      <w:start w:val="4"/>
    </w:lvl>
  </w:abstractNum>
  <w:abstractNum w:abstractNumId="110">
    <w:nsid w:val="53B0A9E"/>
    <w:multiLevelType w:val="hybridMultilevel"/>
    <w:lvl w:ilvl="0">
      <w:lvlJc w:val="left"/>
      <w:lvlText w:val="(%1)"/>
      <w:numFmt w:val="lowerLetter"/>
      <w:start w:val="5"/>
    </w:lvl>
  </w:abstractNum>
  <w:abstractNum w:abstractNumId="111">
    <w:nsid w:val="34FD6B4F"/>
    <w:multiLevelType w:val="hybridMultilevel"/>
    <w:lvl w:ilvl="0">
      <w:lvlJc w:val="left"/>
      <w:lvlText w:val="(%1)"/>
      <w:numFmt w:val="lowerLetter"/>
      <w:start w:val="6"/>
    </w:lvl>
  </w:abstractNum>
  <w:abstractNum w:abstractNumId="112">
    <w:nsid w:val="5915FF32"/>
    <w:multiLevelType w:val="hybridMultilevel"/>
    <w:lvl w:ilvl="0">
      <w:lvlJc w:val="left"/>
      <w:lvlText w:val="*"/>
      <w:numFmt w:val="bullet"/>
      <w:start w:val="1"/>
    </w:lvl>
  </w:abstractNum>
  <w:abstractNum w:abstractNumId="113">
    <w:nsid w:val="56438D15"/>
    <w:multiLevelType w:val="hybridMultilevel"/>
    <w:lvl w:ilvl="0">
      <w:lvlJc w:val="left"/>
      <w:lvlText w:val="(%1)"/>
      <w:numFmt w:val="decimal"/>
      <w:start w:val="1"/>
    </w:lvl>
  </w:abstractNum>
  <w:abstractNum w:abstractNumId="114">
    <w:nsid w:val="519E3149"/>
    <w:multiLevelType w:val="hybridMultilevel"/>
    <w:lvl w:ilvl="0">
      <w:lvlJc w:val="left"/>
      <w:lvlText w:val="(%1)"/>
      <w:numFmt w:val="decimal"/>
      <w:start w:val="1"/>
    </w:lvl>
  </w:abstractNum>
  <w:abstractNum w:abstractNumId="115">
    <w:nsid w:val="2C6E4AFD"/>
    <w:multiLevelType w:val="hybridMultilevel"/>
    <w:lvl w:ilvl="0">
      <w:lvlJc w:val="left"/>
      <w:lvlText w:val="(%1)"/>
      <w:numFmt w:val="decimal"/>
      <w:start w:val="3"/>
    </w:lvl>
  </w:abstractNum>
  <w:abstractNum w:abstractNumId="116">
    <w:nsid w:val="17A1B582"/>
    <w:multiLevelType w:val="hybridMultilevel"/>
    <w:lvl w:ilvl="0">
      <w:lvlJc w:val="left"/>
      <w:lvlText w:val="*"/>
      <w:numFmt w:val="bullet"/>
      <w:start w:val="1"/>
    </w:lvl>
  </w:abstractNum>
  <w:abstractNum w:abstractNumId="117">
    <w:nsid w:val="4DF72E4E"/>
    <w:multiLevelType w:val="hybridMultilevel"/>
    <w:lvl w:ilvl="0">
      <w:lvlJc w:val="left"/>
      <w:lvlText w:val="%1."/>
      <w:numFmt w:val="decimal"/>
      <w:start w:val="1"/>
    </w:lvl>
  </w:abstractNum>
  <w:abstractNum w:abstractNumId="118">
    <w:nsid w:val="5046B5A9"/>
    <w:multiLevelType w:val="hybridMultilevel"/>
    <w:lvl w:ilvl="0">
      <w:lvlJc w:val="left"/>
      <w:lvlText w:val="(%1)"/>
      <w:numFmt w:val="decimal"/>
      <w:start w:val="1"/>
    </w:lvl>
  </w:abstractNum>
  <w:abstractNum w:abstractNumId="119">
    <w:nsid w:val="5D888A08"/>
    <w:multiLevelType w:val="hybridMultilevel"/>
    <w:lvl w:ilvl="0">
      <w:lvlJc w:val="left"/>
      <w:lvlText w:val="(%1)"/>
      <w:numFmt w:val="decimal"/>
      <w:start w:val="1"/>
    </w:lvl>
  </w:abstractNum>
  <w:abstractNum w:abstractNumId="120">
    <w:nsid w:val="2A082C70"/>
    <w:multiLevelType w:val="hybridMultilevel"/>
    <w:lvl w:ilvl="0">
      <w:lvlJc w:val="left"/>
      <w:lvlText w:val="(%1)"/>
      <w:numFmt w:val="lowerRoman"/>
      <w:start w:val="1"/>
    </w:lvl>
  </w:abstractNum>
  <w:abstractNum w:abstractNumId="121">
    <w:nsid w:val="5EC6AFD4"/>
    <w:multiLevelType w:val="hybridMultilevel"/>
    <w:lvl w:ilvl="0">
      <w:lvlJc w:val="left"/>
      <w:lvlText w:val="%1"/>
      <w:numFmt w:val="lowerLetter"/>
      <w:start w:val="1"/>
    </w:lvl>
    <w:lvl w:ilvl="1">
      <w:lvlJc w:val="left"/>
      <w:lvlText w:val="(%2)"/>
      <w:numFmt w:val="lowerLetter"/>
      <w:start w:val="61"/>
    </w:lvl>
  </w:abstractNum>
  <w:abstractNum w:abstractNumId="122">
    <w:nsid w:val="19E21BB2"/>
    <w:multiLevelType w:val="hybridMultilevel"/>
    <w:lvl w:ilvl="0">
      <w:lvlJc w:val="left"/>
      <w:lvlText w:val="(%1)"/>
      <w:numFmt w:val="lowerLetter"/>
      <w:start w:val="2"/>
    </w:lvl>
    <w:lvl w:ilvl="1">
      <w:lvlJc w:val="left"/>
      <w:lvlText w:val="(%2)"/>
      <w:numFmt w:val="lowerLetter"/>
      <w:start w:val="9"/>
    </w:lvl>
  </w:abstractNum>
  <w:abstractNum w:abstractNumId="123">
    <w:nsid w:val="75E0858A"/>
    <w:multiLevelType w:val="hybridMultilevel"/>
    <w:lvl w:ilvl="0">
      <w:lvlJc w:val="left"/>
      <w:lvlText w:val="%1"/>
      <w:numFmt w:val="lowerLetter"/>
      <w:start w:val="1"/>
    </w:lvl>
    <w:lvl w:ilvl="1">
      <w:lvlJc w:val="left"/>
      <w:lvlText w:val="(%2)"/>
      <w:numFmt w:val="lowerRoman"/>
      <w:start w:val="2"/>
    </w:lvl>
  </w:abstractNum>
  <w:abstractNum w:abstractNumId="124">
    <w:nsid w:val="57A61A29"/>
    <w:multiLevelType w:val="hybridMultilevel"/>
    <w:lvl w:ilvl="0">
      <w:lvlJc w:val="left"/>
      <w:lvlText w:val="(%1)"/>
      <w:numFmt w:val="lowerLetter"/>
      <w:start w:val="6"/>
    </w:lvl>
    <w:lvl w:ilvl="1">
      <w:lvlJc w:val="left"/>
      <w:lvlText w:val="%2"/>
      <w:numFmt w:val="lowerRoman"/>
      <w:start w:val="1"/>
    </w:lvl>
  </w:abstractNum>
  <w:abstractNum w:abstractNumId="125">
    <w:nsid w:val="5399C654"/>
    <w:multiLevelType w:val="hybridMultilevel"/>
    <w:lvl w:ilvl="0">
      <w:lvlJc w:val="left"/>
      <w:lvlText w:val="%1"/>
      <w:numFmt w:val="decimal"/>
      <w:start w:val="1"/>
    </w:lvl>
    <w:lvl w:ilvl="1">
      <w:lvlJc w:val="left"/>
      <w:lvlText w:val="(%2)"/>
      <w:numFmt w:val="lowerLetter"/>
      <w:start w:val="2"/>
    </w:lvl>
  </w:abstractNum>
  <w:abstractNum w:abstractNumId="126">
    <w:nsid w:val="20EE1348"/>
    <w:multiLevelType w:val="hybridMultilevel"/>
    <w:lvl w:ilvl="0">
      <w:lvlJc w:val="left"/>
      <w:lvlText w:val="(%1)"/>
      <w:numFmt w:val="decimal"/>
      <w:start w:val="6"/>
    </w:lvl>
    <w:lvl w:ilvl="1">
      <w:lvlJc w:val="left"/>
      <w:lvlText w:val="%2"/>
      <w:numFmt w:val="lowerLetter"/>
      <w:start w:val="1"/>
    </w:lvl>
  </w:abstractNum>
  <w:abstractNum w:abstractNumId="127">
    <w:nsid w:val="4427069A"/>
    <w:multiLevelType w:val="hybridMultilevel"/>
    <w:lvl w:ilvl="0">
      <w:lvlJc w:val="left"/>
      <w:lvlText w:val="*"/>
      <w:numFmt w:val="bullet"/>
      <w:start w:val="1"/>
    </w:lvl>
  </w:abstractNum>
  <w:abstractNum w:abstractNumId="128">
    <w:nsid w:val="B37E80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29">
    <w:nsid w:val="2157F6BC"/>
    <w:multiLevelType w:val="hybridMultilevel"/>
    <w:lvl w:ilvl="0">
      <w:lvlJc w:val="left"/>
      <w:lvlText w:val="(%1)"/>
      <w:numFmt w:val="lowerLetter"/>
      <w:start w:val="2"/>
    </w:lvl>
    <w:lvl w:ilvl="1">
      <w:lvlJc w:val="left"/>
      <w:lvlText w:val="(%2)"/>
      <w:numFmt w:val="lowerLetter"/>
      <w:start w:val="2"/>
    </w:lvl>
    <w:lvl w:ilvl="2">
      <w:lvlJc w:val="left"/>
      <w:lvlText w:val="(%3)"/>
      <w:numFmt w:val="decimal"/>
      <w:start w:val="2"/>
    </w:lvl>
  </w:abstractNum>
  <w:abstractNum w:abstractNumId="130">
    <w:nsid w:val="704E1DD5"/>
    <w:multiLevelType w:val="hybridMultilevel"/>
    <w:lvl w:ilvl="0">
      <w:lvlJc w:val="left"/>
      <w:lvlText w:val="(%1)"/>
      <w:numFmt w:val="decimal"/>
      <w:start w:val="3"/>
    </w:lvl>
  </w:abstractNum>
  <w:abstractNum w:abstractNumId="131">
    <w:nsid w:val="57D2F10E"/>
    <w:multiLevelType w:val="hybridMultilevel"/>
    <w:lvl w:ilvl="0">
      <w:lvlJc w:val="left"/>
      <w:lvlText w:val="(%1)"/>
      <w:numFmt w:val="decimal"/>
      <w:start w:val="7"/>
    </w:lvl>
  </w:abstractNum>
  <w:abstractNum w:abstractNumId="132">
    <w:nsid w:val="BFFAE18"/>
    <w:multiLevelType w:val="hybridMultilevel"/>
    <w:lvl w:ilvl="0">
      <w:lvlJc w:val="left"/>
      <w:lvlText w:val="(%1)"/>
      <w:numFmt w:val="lowerLetter"/>
      <w:start w:val="1"/>
    </w:lvl>
    <w:lvl w:ilvl="1">
      <w:lvlJc w:val="left"/>
      <w:lvlText w:val="(%2)"/>
      <w:numFmt w:val="decimal"/>
      <w:start w:val="2"/>
    </w:lvl>
  </w:abstractNum>
  <w:abstractNum w:abstractNumId="133">
    <w:nsid w:val="E3E47A8"/>
    <w:multiLevelType w:val="hybridMultilevel"/>
    <w:lvl w:ilvl="0">
      <w:lvlJc w:val="left"/>
      <w:lvlText w:val="(%1)"/>
      <w:numFmt w:val="lowerRoman"/>
      <w:start w:val="4"/>
    </w:lvl>
    <w:lvl w:ilvl="1">
      <w:lvlJc w:val="left"/>
      <w:lvlText w:val="(%2)"/>
      <w:numFmt w:val="lowerLetter"/>
      <w:start w:val="1"/>
    </w:lvl>
    <w:lvl w:ilvl="2">
      <w:lvlJc w:val="left"/>
      <w:lvlText w:val="(%3)"/>
      <w:numFmt w:val="decimal"/>
      <w:start w:val="3"/>
    </w:lvl>
  </w:abstractNum>
  <w:abstractNum w:abstractNumId="134">
    <w:nsid w:val="2E48F044"/>
    <w:multiLevelType w:val="hybridMultilevel"/>
    <w:lvl w:ilvl="0">
      <w:lvlJc w:val="left"/>
      <w:lvlText w:val="(%1)"/>
      <w:numFmt w:val="lowerRoman"/>
      <w:start w:val="3"/>
    </w:lvl>
    <w:lvl w:ilvl="1">
      <w:lvlJc w:val="left"/>
      <w:lvlText w:val="(%2)"/>
      <w:numFmt w:val="lowerLetter"/>
      <w:start w:val="3"/>
    </w:lvl>
    <w:lvl w:ilvl="2">
      <w:lvlJc w:val="left"/>
      <w:lvlText w:val="(%3)"/>
      <w:numFmt w:val="decimal"/>
      <w:start w:val="2"/>
    </w:lvl>
  </w:abstractNum>
  <w:abstractNum w:abstractNumId="135">
    <w:nsid w:val="49D0FEAC"/>
    <w:multiLevelType w:val="hybridMultilevel"/>
    <w:lvl w:ilvl="0">
      <w:lvlJc w:val="left"/>
      <w:lvlText w:val="(%1)"/>
      <w:numFmt w:val="decimal"/>
      <w:start w:val="4"/>
    </w:lvl>
  </w:abstractNum>
  <w:abstractNum w:abstractNumId="136">
    <w:nsid w:val="4BEE5A5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2019-12-11T03:58:43Z</dcterms:created>
  <dcterms:modified xsi:type="dcterms:W3CDTF">2019-12-11T03:58:43Z</dcterms:modified>
</cp:coreProperties>
</file>