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497</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 No. 333-192782</w:t>
      </w:r>
    </w:p>
    <w:p>
      <w:pPr>
        <w:spacing w:after="0" w:line="139" w:lineRule="exact"/>
        <w:rPr>
          <w:sz w:val="24"/>
          <w:szCs w:val="24"/>
          <w:color w:val="auto"/>
        </w:rPr>
      </w:pPr>
    </w:p>
    <w:p>
      <w:pPr>
        <w:jc w:val="both"/>
        <w:ind w:right="20"/>
        <w:spacing w:after="0" w:line="314" w:lineRule="auto"/>
        <w:rPr>
          <w:sz w:val="20"/>
          <w:szCs w:val="20"/>
          <w:color w:val="auto"/>
        </w:rPr>
      </w:pPr>
      <w:r>
        <w:rPr>
          <w:rFonts w:ascii="Arial" w:cs="Arial" w:eastAsia="Arial" w:hAnsi="Arial"/>
          <w:sz w:val="16"/>
          <w:szCs w:val="16"/>
          <w:b w:val="1"/>
          <w:bCs w:val="1"/>
          <w:color w:val="DE1A1E"/>
        </w:rPr>
        <w:t>The information in this preliminary prospectus supplement is not complete and may be changed. A registration statement relating to these securities has been filed with and declared effective by the Securities and Exchange Commission. This preliminary prospectus supplement is not an offer to sell these securities and is not soliciting an offer to buy these securities in any jurisdiction where the offer or sale is not permitted.</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CC062A"/>
        </w:rPr>
        <w:t>Subject to Completion, September 4, 2014</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the Prospectus dated January 30,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100330</wp:posOffset>
            </wp:positionV>
            <wp:extent cx="176657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657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11,000,000 Shares</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111" w:lineRule="exact"/>
        <w:rPr>
          <w:sz w:val="24"/>
          <w:szCs w:val="24"/>
          <w:color w:val="auto"/>
        </w:rPr>
      </w:pPr>
    </w:p>
    <w:p>
      <w:pPr>
        <w:ind w:right="40" w:firstLine="456"/>
        <w:spacing w:after="0" w:line="311" w:lineRule="auto"/>
        <w:rPr>
          <w:sz w:val="20"/>
          <w:szCs w:val="20"/>
          <w:color w:val="auto"/>
        </w:rPr>
      </w:pPr>
      <w:r>
        <w:rPr>
          <w:rFonts w:ascii="Arial" w:cs="Arial" w:eastAsia="Arial" w:hAnsi="Arial"/>
          <w:sz w:val="16"/>
          <w:szCs w:val="16"/>
          <w:color w:val="auto"/>
        </w:rPr>
        <w:t>We are offering for sale 11,000,000 shares of our common stock. Our common stock is traded on the NASDAQ Global Select Market under the symbol “PNNT.” The last reported closing price for our common stock on September 3, 2014 was $11.80 per share. The net asset value of our common stock on June 30, 2014 (the last date prior to the date of this prospectus supplement on which we determined net asset value) was $11.33 per share.</w:t>
      </w:r>
    </w:p>
    <w:p>
      <w:pPr>
        <w:spacing w:after="0" w:line="1" w:lineRule="exact"/>
        <w:rPr>
          <w:sz w:val="24"/>
          <w:szCs w:val="24"/>
          <w:color w:val="auto"/>
        </w:rPr>
      </w:pPr>
    </w:p>
    <w:p>
      <w:pPr>
        <w:ind w:right="60" w:firstLine="456"/>
        <w:spacing w:after="0" w:line="276" w:lineRule="auto"/>
        <w:rPr>
          <w:sz w:val="20"/>
          <w:szCs w:val="20"/>
          <w:color w:val="auto"/>
        </w:rPr>
      </w:pPr>
      <w:r>
        <w:rPr>
          <w:rFonts w:ascii="Arial" w:cs="Arial" w:eastAsia="Arial" w:hAnsi="Arial"/>
          <w:sz w:val="17"/>
          <w:szCs w:val="17"/>
          <w:color w:val="auto"/>
        </w:rPr>
        <w:t>PennantPark Investment Corporation, a Maryland corporation, is a closed-end, externally managed, non-diversified investment company that has elected to be treated as a business development company, or BDC, under the Investment Company Act of 1940, as amended, or the 1940 Act. Our investment objectives are to generate both current income and capital appreciation through debt and equity investments primarily in U.S. middle-market private companies in the form of senior secured loans, mezzanine debt and equity investments. We are externally managed by PennantPark Investment Advisers, LLC. PennantPark Investment Administration, LLC provides the administrative services necessary for us to operate.</w:t>
      </w:r>
    </w:p>
    <w:p>
      <w:pPr>
        <w:spacing w:after="0" w:line="24" w:lineRule="exact"/>
        <w:rPr>
          <w:sz w:val="24"/>
          <w:szCs w:val="24"/>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This prospectus supplement and the accompanying prospectus contain important information you should know before investing in our securities. Please read them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The information on our website is not incorporated by reference into this prospectus supplement or the accompanying prospectus.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 also maintains a website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that contains such information free of charge.</w:t>
      </w:r>
    </w:p>
    <w:p>
      <w:pPr>
        <w:spacing w:after="0" w:line="26" w:lineRule="exact"/>
        <w:rPr>
          <w:sz w:val="24"/>
          <w:szCs w:val="24"/>
          <w:color w:val="auto"/>
        </w:rPr>
      </w:pPr>
    </w:p>
    <w:p>
      <w:pPr>
        <w:jc w:val="both"/>
        <w:ind w:right="320" w:firstLine="456"/>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including the risk of leverage. Before buying any shares of our common stock, you should read the discussion of the material risks of investing in us in “Risk Factors” beginning on page S-10 of this prospectus supplement and on page 8 of the accompanying prospectus.</w:t>
      </w:r>
    </w:p>
    <w:p>
      <w:pPr>
        <w:spacing w:after="0" w:line="41" w:lineRule="exact"/>
        <w:rPr>
          <w:sz w:val="24"/>
          <w:szCs w:val="24"/>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974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w w:val="91"/>
              </w:rPr>
              <w:t>Per Share</w:t>
            </w:r>
          </w:p>
        </w:tc>
        <w:tc>
          <w:tcPr>
            <w:tcW w:w="320" w:type="dxa"/>
            <w:vAlign w:val="bottom"/>
          </w:tcPr>
          <w:p>
            <w:pPr>
              <w:spacing w:after="0"/>
              <w:rPr>
                <w:sz w:val="14"/>
                <w:szCs w:val="14"/>
                <w:color w:val="auto"/>
              </w:rPr>
            </w:pP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9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Underwriting discounts and commissions (sales load)</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Proceeds to PennantPark Investment Corporation (before estimated expenses of $500,000)</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120015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2" w:lineRule="exact"/>
        <w:rPr>
          <w:sz w:val="24"/>
          <w:szCs w:val="24"/>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The underwriters may also purchase up to an additional 1,650,000 shares from us at the public offering price, less the underwriting discounts, within 30 days from the date of this prospectus supplement. If the underwriters exercise this option in full, the total public offering price will be</w:t>
      </w:r>
    </w:p>
    <w:p>
      <w:pPr>
        <w:spacing w:after="0" w:line="1" w:lineRule="exact"/>
        <w:rPr>
          <w:sz w:val="24"/>
          <w:szCs w:val="24"/>
          <w:color w:val="auto"/>
        </w:rPr>
      </w:pPr>
    </w:p>
    <w:p>
      <w:pPr>
        <w:ind w:right="40"/>
        <w:spacing w:after="0" w:line="261" w:lineRule="auto"/>
        <w:rPr>
          <w:sz w:val="20"/>
          <w:szCs w:val="20"/>
          <w:color w:val="auto"/>
        </w:rPr>
      </w:pPr>
      <w:r>
        <w:rPr>
          <w:rFonts w:ascii="Arial" w:cs="Arial" w:eastAsia="Arial" w:hAnsi="Arial"/>
          <w:sz w:val="18"/>
          <w:szCs w:val="18"/>
          <w:b w:val="1"/>
          <w:bCs w:val="1"/>
          <w:color w:val="auto"/>
        </w:rPr>
        <w:t>$ , the total underwriting discount and commissions (sales load) paid by us will be $ , and total proceeds, before estimated expenses, will be $ .</w:t>
      </w:r>
    </w:p>
    <w:p>
      <w:pPr>
        <w:sectPr>
          <w:pgSz w:w="11900" w:h="16838" w:orient="portrait"/>
          <w:cols w:equalWidth="0" w:num="1">
            <w:col w:w="11420"/>
          </w:cols>
          <w:pgMar w:left="240" w:top="230" w:right="239" w:bottom="1440" w:gutter="0" w:footer="0" w:header="0"/>
        </w:sectPr>
      </w:pPr>
    </w:p>
    <w:p>
      <w:pPr>
        <w:spacing w:after="0" w:line="72"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The underwriters expect to deliver the shares on or about September</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 2014.</w:t>
      </w:r>
    </w:p>
    <w:p>
      <w:pPr>
        <w:spacing w:after="0" w:line="165" w:lineRule="exact"/>
        <w:rPr>
          <w:sz w:val="24"/>
          <w:szCs w:val="24"/>
          <w:color w:val="auto"/>
        </w:rPr>
      </w:pPr>
    </w:p>
    <w:p>
      <w:pPr>
        <w:sectPr>
          <w:pgSz w:w="11900" w:h="16838" w:orient="portrait"/>
          <w:cols w:equalWidth="0" w:num="2">
            <w:col w:w="5740" w:space="240"/>
            <w:col w:w="5440"/>
          </w:cols>
          <w:pgMar w:left="240" w:top="230" w:right="239" w:bottom="1440" w:gutter="0" w:footer="0" w:header="0"/>
          <w:type w:val="continuous"/>
        </w:sectPr>
      </w:pP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Morgan Stanley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Goldman, Sachs &amp; Co.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J.P. Morgan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UBS Investment Bank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Keefe, Bruyette &amp; Woods</w:t>
      </w:r>
    </w:p>
    <w:p>
      <w:pPr>
        <w:spacing w:after="0" w:line="50" w:lineRule="exact"/>
        <w:rPr>
          <w:sz w:val="24"/>
          <w:szCs w:val="24"/>
          <w:color w:val="auto"/>
        </w:rPr>
      </w:pPr>
    </w:p>
    <w:p>
      <w:pPr>
        <w:sectPr>
          <w:pgSz w:w="11900" w:h="16838" w:orient="portrait"/>
          <w:cols w:equalWidth="0" w:num="5">
            <w:col w:w="1240" w:space="600"/>
            <w:col w:w="1920" w:space="720"/>
            <w:col w:w="940" w:space="660"/>
            <w:col w:w="2660" w:space="720"/>
            <w:col w:w="1960"/>
          </w:cols>
          <w:pgMar w:left="240" w:top="230" w:right="239" w:bottom="1440" w:gutter="0" w:footer="0" w:header="0"/>
          <w:type w:val="continuous"/>
        </w:sectPr>
      </w:pPr>
    </w:p>
    <w:p>
      <w:pPr>
        <w:ind w:left="10620"/>
        <w:spacing w:after="0"/>
        <w:rPr>
          <w:sz w:val="20"/>
          <w:szCs w:val="20"/>
          <w:color w:val="auto"/>
        </w:rPr>
      </w:pPr>
      <w:r>
        <w:rPr>
          <w:rFonts w:ascii="Arial" w:cs="Arial" w:eastAsia="Arial" w:hAnsi="Arial"/>
          <w:sz w:val="10"/>
          <w:szCs w:val="10"/>
          <w:i w:val="1"/>
          <w:iCs w:val="1"/>
          <w:color w:val="auto"/>
        </w:rPr>
        <w:t>A Stifel Company</w:t>
      </w:r>
    </w:p>
    <w:p>
      <w:pPr>
        <w:sectPr>
          <w:pgSz w:w="11900" w:h="16838" w:orient="portrait"/>
          <w:cols w:equalWidth="0" w:num="1">
            <w:col w:w="11420"/>
          </w:cols>
          <w:pgMar w:left="240" w:top="230" w:right="239" w:bottom="1440" w:gutter="0" w:footer="0" w:header="0"/>
          <w:type w:val="continuous"/>
        </w:sectPr>
      </w:pPr>
    </w:p>
    <w:p>
      <w:pPr>
        <w:spacing w:after="0" w:line="96" w:lineRule="exact"/>
        <w:rPr>
          <w:sz w:val="24"/>
          <w:szCs w:val="24"/>
          <w:color w:val="auto"/>
        </w:rPr>
      </w:pPr>
    </w:p>
    <w:p>
      <w:pPr>
        <w:ind w:left="3340"/>
        <w:spacing w:after="0"/>
        <w:rPr>
          <w:sz w:val="20"/>
          <w:szCs w:val="20"/>
          <w:color w:val="auto"/>
        </w:rPr>
      </w:pPr>
      <w:r>
        <w:rPr>
          <w:rFonts w:ascii="Arial" w:cs="Arial" w:eastAsia="Arial" w:hAnsi="Arial"/>
          <w:sz w:val="15"/>
          <w:szCs w:val="15"/>
          <w:b w:val="1"/>
          <w:bCs w:val="1"/>
          <w:color w:val="auto"/>
        </w:rPr>
        <w:t>The date of this prospectus supplement is September</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2014.</w:t>
      </w:r>
    </w:p>
    <w:p>
      <w:pPr>
        <w:sectPr>
          <w:pgSz w:w="11900" w:h="16838" w:orient="portrait"/>
          <w:cols w:equalWidth="0" w:num="2">
            <w:col w:w="7380" w:space="220"/>
            <w:col w:w="38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should rely only on the information contained in this prospectus supplement and the accompanying prospectus when considering whether to purchase any securities offered by this prospectus supplement.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this prospectus supplement and the accompanying prospectus is accurate only as of the date of this prospectus supplement and the accompanying prospectus. Our business, financial condition, results of operations and prospects may have changed since then. We will update these documents to reflect material changes only as required by law.</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80" w:type="dxa"/>
            <w:vAlign w:val="bottom"/>
            <w:gridSpan w:val="6"/>
          </w:tcPr>
          <w:p>
            <w:pPr>
              <w:ind w:left="52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80" w:type="dxa"/>
            <w:vAlign w:val="bottom"/>
            <w:gridSpan w:val="6"/>
          </w:tcPr>
          <w:p>
            <w:pPr>
              <w:ind w:left="240"/>
              <w:spacing w:after="0"/>
              <w:rPr>
                <w:sz w:val="20"/>
                <w:szCs w:val="20"/>
                <w:color w:val="auto"/>
              </w:rPr>
            </w:pPr>
            <w:r>
              <w:rPr>
                <w:rFonts w:ascii="Arial" w:cs="Arial" w:eastAsia="Arial" w:hAnsi="Arial"/>
                <w:sz w:val="18"/>
                <w:szCs w:val="18"/>
                <w:b w:val="1"/>
                <w:bCs w:val="1"/>
                <w:color w:val="auto"/>
              </w:rPr>
              <w:t>PROSPECTUS SUPPLEMENT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920" w:type="dxa"/>
            <w:vAlign w:val="bottom"/>
            <w:gridSpan w:val="2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SUPPLEMENTAL PROSPECTUS SUMMARY</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3700" w:type="dxa"/>
            <w:vAlign w:val="bottom"/>
            <w:tcBorders>
              <w:top w:val="single" w:sz="8" w:color="0000EE"/>
            </w:tcBorders>
            <w:gridSpan w:val="19"/>
          </w:tcPr>
          <w:p>
            <w:pPr>
              <w:spacing w:after="0" w:line="19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FEES AND EXPENSES</w:t>
              </w:r>
            </w:hyperlink>
          </w:p>
        </w:tc>
        <w:tc>
          <w:tcPr>
            <w:tcW w:w="7220" w:type="dxa"/>
            <w:vAlign w:val="bottom"/>
            <w:gridSpan w:val="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97"/>
              </w:rPr>
            </w:pPr>
            <w:hyperlink w:anchor="page13">
              <w:r>
                <w:rPr>
                  <w:rFonts w:ascii="Arial" w:cs="Arial" w:eastAsia="Arial" w:hAnsi="Arial"/>
                  <w:sz w:val="18"/>
                  <w:szCs w:val="18"/>
                  <w:b w:val="1"/>
                  <w:bCs w:val="1"/>
                  <w:color w:val="0000EE"/>
                  <w:w w:val="97"/>
                </w:rPr>
                <w:t>RISK FACTORS</w:t>
              </w:r>
            </w:hyperlink>
          </w:p>
        </w:tc>
        <w:tc>
          <w:tcPr>
            <w:tcW w:w="520" w:type="dxa"/>
            <w:vAlign w:val="bottom"/>
            <w:tcBorders>
              <w:top w:val="single" w:sz="8" w:color="0000EE"/>
            </w:tcBorders>
            <w:gridSpan w:val="7"/>
          </w:tcPr>
          <w:p>
            <w:pPr>
              <w:spacing w:after="0"/>
              <w:rPr>
                <w:sz w:val="17"/>
                <w:szCs w:val="17"/>
                <w:color w:val="auto"/>
              </w:rPr>
            </w:pPr>
          </w:p>
        </w:tc>
        <w:tc>
          <w:tcPr>
            <w:tcW w:w="9060" w:type="dxa"/>
            <w:vAlign w:val="bottom"/>
            <w:gridSpan w:val="1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196"/>
        </w:trPr>
        <w:tc>
          <w:tcPr>
            <w:tcW w:w="10920" w:type="dxa"/>
            <w:vAlign w:val="bottom"/>
            <w:gridSpan w:val="28"/>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FORWARD-LOOKING STATEMENTS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S-12</w:t>
            </w:r>
          </w:p>
        </w:tc>
        <w:tc>
          <w:tcPr>
            <w:tcW w:w="0" w:type="dxa"/>
            <w:vAlign w:val="bottom"/>
          </w:tcPr>
          <w:p>
            <w:pPr>
              <w:spacing w:after="0"/>
              <w:rPr>
                <w:sz w:val="1"/>
                <w:szCs w:val="1"/>
                <w:color w:val="auto"/>
              </w:rPr>
            </w:pPr>
          </w:p>
        </w:tc>
      </w:tr>
      <w:tr>
        <w:trPr>
          <w:trHeight w:val="196"/>
        </w:trPr>
        <w:tc>
          <w:tcPr>
            <w:tcW w:w="16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w w:val="95"/>
              </w:rPr>
            </w:pPr>
            <w:hyperlink w:anchor="page17">
              <w:r>
                <w:rPr>
                  <w:rFonts w:ascii="Arial" w:cs="Arial" w:eastAsia="Arial" w:hAnsi="Arial"/>
                  <w:sz w:val="18"/>
                  <w:szCs w:val="18"/>
                  <w:b w:val="1"/>
                  <w:bCs w:val="1"/>
                  <w:color w:val="0000EE"/>
                  <w:w w:val="95"/>
                </w:rPr>
                <w:t>USE OF PROCEEDS</w:t>
              </w:r>
            </w:hyperlink>
          </w:p>
        </w:tc>
        <w:tc>
          <w:tcPr>
            <w:tcW w:w="1440" w:type="dxa"/>
            <w:vAlign w:val="bottom"/>
            <w:tcBorders>
              <w:top w:val="single" w:sz="8" w:color="0000EE"/>
            </w:tcBorders>
            <w:gridSpan w:val="7"/>
          </w:tcPr>
          <w:p>
            <w:pPr>
              <w:spacing w:after="0"/>
              <w:rPr>
                <w:sz w:val="17"/>
                <w:szCs w:val="17"/>
                <w:color w:val="auto"/>
              </w:rPr>
            </w:pPr>
          </w:p>
        </w:tc>
        <w:tc>
          <w:tcPr>
            <w:tcW w:w="7800" w:type="dxa"/>
            <w:vAlign w:val="bottom"/>
            <w:gridSpan w:val="1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S-14</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CAPITALIZATION</w:t>
              </w:r>
            </w:hyperlink>
          </w:p>
        </w:tc>
        <w:tc>
          <w:tcPr>
            <w:tcW w:w="9340" w:type="dxa"/>
            <w:vAlign w:val="bottom"/>
            <w:gridSpan w:val="2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S-15</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PRICE RANGE OF COMMON STOCK</w:t>
              </w:r>
            </w:hyperlink>
          </w:p>
        </w:tc>
        <w:tc>
          <w:tcPr>
            <w:tcW w:w="7760" w:type="dxa"/>
            <w:vAlign w:val="bottom"/>
            <w:gridSpan w:val="1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196"/>
        </w:trPr>
        <w:tc>
          <w:tcPr>
            <w:tcW w:w="10920" w:type="dxa"/>
            <w:vAlign w:val="bottom"/>
            <w:gridSpan w:val="28"/>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SELECTED FINANCIAL DATA</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S-17</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20" w:type="dxa"/>
            <w:vAlign w:val="bottom"/>
            <w:tcBorders>
              <w:bottom w:val="single" w:sz="8" w:color="0000EE"/>
            </w:tcBorders>
            <w:gridSpan w:val="27"/>
          </w:tcPr>
          <w:p>
            <w:pPr>
              <w:spacing w:after="0" w:line="196" w:lineRule="exact"/>
              <w:rPr>
                <w:rFonts w:ascii="Arial" w:cs="Arial" w:eastAsia="Arial" w:hAnsi="Arial"/>
                <w:sz w:val="18"/>
                <w:szCs w:val="18"/>
                <w:b w:val="1"/>
                <w:bCs w:val="1"/>
                <w:color w:val="0000EE"/>
                <w:w w:val="99"/>
              </w:rPr>
            </w:pPr>
            <w:hyperlink w:anchor="page22">
              <w:r>
                <w:rPr>
                  <w:rFonts w:ascii="Arial" w:cs="Arial" w:eastAsia="Arial" w:hAnsi="Arial"/>
                  <w:sz w:val="18"/>
                  <w:szCs w:val="18"/>
                  <w:b w:val="1"/>
                  <w:bCs w:val="1"/>
                  <w:color w:val="0000EE"/>
                  <w:w w:val="99"/>
                </w:rPr>
                <w:t>MANAGEMENT’S DISCUSSION AND ANALYSIS OF FINANCIAL CONDITION AND RESULTS OF OPERATIONS</w:t>
              </w:r>
            </w:hyperlink>
          </w:p>
        </w:tc>
        <w:tc>
          <w:tcPr>
            <w:tcW w:w="16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S-19</w:t>
            </w:r>
          </w:p>
        </w:tc>
        <w:tc>
          <w:tcPr>
            <w:tcW w:w="0" w:type="dxa"/>
            <w:vAlign w:val="bottom"/>
          </w:tcPr>
          <w:p>
            <w:pPr>
              <w:spacing w:after="0"/>
              <w:rPr>
                <w:sz w:val="1"/>
                <w:szCs w:val="1"/>
                <w:color w:val="auto"/>
              </w:rPr>
            </w:pPr>
          </w:p>
        </w:tc>
      </w:tr>
      <w:tr>
        <w:trPr>
          <w:trHeight w:val="196"/>
        </w:trPr>
        <w:tc>
          <w:tcPr>
            <w:tcW w:w="10920" w:type="dxa"/>
            <w:vAlign w:val="bottom"/>
            <w:gridSpan w:val="28"/>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UNDERWRITING</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S-33</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LEGAL MATTERS</w:t>
              </w:r>
            </w:hyperlink>
          </w:p>
        </w:tc>
        <w:tc>
          <w:tcPr>
            <w:tcW w:w="9360" w:type="dxa"/>
            <w:vAlign w:val="bottom"/>
            <w:gridSpan w:val="2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S-37</w:t>
            </w:r>
          </w:p>
        </w:tc>
        <w:tc>
          <w:tcPr>
            <w:tcW w:w="0" w:type="dxa"/>
            <w:vAlign w:val="bottom"/>
          </w:tcPr>
          <w:p>
            <w:pPr>
              <w:spacing w:after="0"/>
              <w:rPr>
                <w:sz w:val="1"/>
                <w:szCs w:val="1"/>
                <w:color w:val="auto"/>
              </w:rPr>
            </w:pPr>
          </w:p>
        </w:tc>
      </w:tr>
      <w:tr>
        <w:trPr>
          <w:trHeight w:val="196"/>
        </w:trPr>
        <w:tc>
          <w:tcPr>
            <w:tcW w:w="10920" w:type="dxa"/>
            <w:vAlign w:val="bottom"/>
            <w:gridSpan w:val="28"/>
          </w:tcPr>
          <w:p>
            <w:pPr>
              <w:spacing w:after="0" w:line="19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INDEX TO FINANCIAL STATEMENTS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S-38</w:t>
            </w:r>
          </w:p>
        </w:tc>
        <w:tc>
          <w:tcPr>
            <w:tcW w:w="0" w:type="dxa"/>
            <w:vAlign w:val="bottom"/>
          </w:tcPr>
          <w:p>
            <w:pPr>
              <w:spacing w:after="0"/>
              <w:rPr>
                <w:sz w:val="1"/>
                <w:szCs w:val="1"/>
                <w:color w:val="auto"/>
              </w:rPr>
            </w:pPr>
          </w:p>
        </w:tc>
      </w:tr>
      <w:tr>
        <w:trPr>
          <w:trHeight w:val="520"/>
        </w:trPr>
        <w:tc>
          <w:tcPr>
            <w:tcW w:w="8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95"/>
              </w:rPr>
              <w:t>PROSPECTUS</w:t>
            </w:r>
          </w:p>
        </w:tc>
        <w:tc>
          <w:tcPr>
            <w:tcW w:w="4960" w:type="dxa"/>
            <w:vAlign w:val="bottom"/>
            <w:gridSpan w:val="2"/>
          </w:tcPr>
          <w:p>
            <w:pPr>
              <w:spacing w:after="0"/>
              <w:rPr>
                <w:sz w:val="24"/>
                <w:szCs w:val="24"/>
                <w:color w:val="auto"/>
              </w:rPr>
            </w:pPr>
          </w:p>
        </w:tc>
        <w:tc>
          <w:tcPr>
            <w:tcW w:w="4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2200" w:type="dxa"/>
            <w:vAlign w:val="bottom"/>
            <w:gridSpan w:val="10"/>
            <w:vMerge w:val="restart"/>
          </w:tcPr>
          <w:p>
            <w:pPr>
              <w:spacing w:after="0"/>
              <w:rPr>
                <w:rFonts w:ascii="Arial" w:cs="Arial" w:eastAsia="Arial" w:hAnsi="Arial"/>
                <w:sz w:val="18"/>
                <w:szCs w:val="18"/>
                <w:b w:val="1"/>
                <w:bCs w:val="1"/>
                <w:color w:val="0000EE"/>
                <w:w w:val="98"/>
              </w:rPr>
            </w:pPr>
            <w:hyperlink w:anchor="page77">
              <w:r>
                <w:rPr>
                  <w:rFonts w:ascii="Arial" w:cs="Arial" w:eastAsia="Arial" w:hAnsi="Arial"/>
                  <w:sz w:val="18"/>
                  <w:szCs w:val="18"/>
                  <w:b w:val="1"/>
                  <w:bCs w:val="1"/>
                  <w:color w:val="0000EE"/>
                  <w:w w:val="98"/>
                </w:rPr>
                <w:t>PROSPECTUS SUMMARY</w:t>
              </w:r>
            </w:hyperlink>
          </w:p>
        </w:tc>
        <w:tc>
          <w:tcPr>
            <w:tcW w:w="8720" w:type="dxa"/>
            <w:vAlign w:val="bottom"/>
            <w:gridSpan w:val="18"/>
            <w:vMerge w:val="restart"/>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00" w:type="dxa"/>
            <w:vAlign w:val="bottom"/>
            <w:tcBorders>
              <w:bottom w:val="single" w:sz="8" w:color="0000EE"/>
            </w:tcBorders>
            <w:gridSpan w:val="10"/>
            <w:vMerge w:val="continue"/>
          </w:tcPr>
          <w:p>
            <w:pPr>
              <w:spacing w:after="0"/>
              <w:rPr>
                <w:sz w:val="13"/>
                <w:szCs w:val="13"/>
                <w:color w:val="auto"/>
              </w:rPr>
            </w:pPr>
          </w:p>
        </w:tc>
        <w:tc>
          <w:tcPr>
            <w:tcW w:w="8720" w:type="dxa"/>
            <w:vAlign w:val="bottom"/>
            <w:gridSpan w:val="18"/>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920" w:type="dxa"/>
            <w:vAlign w:val="bottom"/>
            <w:gridSpan w:val="28"/>
          </w:tcPr>
          <w:p>
            <w:pPr>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FEES AND EXPENSES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97"/>
              </w:rPr>
            </w:pPr>
            <w:hyperlink w:anchor="page84">
              <w:r>
                <w:rPr>
                  <w:rFonts w:ascii="Arial" w:cs="Arial" w:eastAsia="Arial" w:hAnsi="Arial"/>
                  <w:sz w:val="18"/>
                  <w:szCs w:val="18"/>
                  <w:b w:val="1"/>
                  <w:bCs w:val="1"/>
                  <w:color w:val="0000EE"/>
                  <w:w w:val="97"/>
                </w:rPr>
                <w:t>RISK FACTORS</w:t>
              </w:r>
            </w:hyperlink>
          </w:p>
        </w:tc>
        <w:tc>
          <w:tcPr>
            <w:tcW w:w="520" w:type="dxa"/>
            <w:vAlign w:val="bottom"/>
            <w:tcBorders>
              <w:top w:val="single" w:sz="8" w:color="0000EE"/>
            </w:tcBorders>
            <w:gridSpan w:val="7"/>
          </w:tcPr>
          <w:p>
            <w:pPr>
              <w:spacing w:after="0"/>
              <w:rPr>
                <w:sz w:val="17"/>
                <w:szCs w:val="17"/>
                <w:color w:val="auto"/>
              </w:rPr>
            </w:pPr>
          </w:p>
        </w:tc>
        <w:tc>
          <w:tcPr>
            <w:tcW w:w="9060" w:type="dxa"/>
            <w:vAlign w:val="bottom"/>
            <w:gridSpan w:val="1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0920" w:type="dxa"/>
            <w:vAlign w:val="bottom"/>
            <w:gridSpan w:val="28"/>
          </w:tcPr>
          <w:p>
            <w:pPr>
              <w:spacing w:after="0" w:line="196" w:lineRule="exact"/>
              <w:rPr>
                <w:rFonts w:ascii="Arial" w:cs="Arial" w:eastAsia="Arial" w:hAnsi="Arial"/>
                <w:sz w:val="18"/>
                <w:szCs w:val="18"/>
                <w:b w:val="1"/>
                <w:bCs w:val="1"/>
                <w:color w:val="0000EE"/>
              </w:rPr>
            </w:pPr>
            <w:hyperlink w:anchor="page112">
              <w:r>
                <w:rPr>
                  <w:rFonts w:ascii="Arial" w:cs="Arial" w:eastAsia="Arial" w:hAnsi="Arial"/>
                  <w:sz w:val="18"/>
                  <w:szCs w:val="18"/>
                  <w:b w:val="1"/>
                  <w:bCs w:val="1"/>
                  <w:color w:val="0000EE"/>
                </w:rPr>
                <w:t>FORWARD-LOOKING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w w:val="95"/>
              </w:rPr>
            </w:pPr>
            <w:hyperlink w:anchor="page113">
              <w:r>
                <w:rPr>
                  <w:rFonts w:ascii="Arial" w:cs="Arial" w:eastAsia="Arial" w:hAnsi="Arial"/>
                  <w:sz w:val="18"/>
                  <w:szCs w:val="18"/>
                  <w:b w:val="1"/>
                  <w:bCs w:val="1"/>
                  <w:color w:val="0000EE"/>
                  <w:w w:val="95"/>
                </w:rPr>
                <w:t>USE OF PROCEEDS</w:t>
              </w:r>
            </w:hyperlink>
          </w:p>
        </w:tc>
        <w:tc>
          <w:tcPr>
            <w:tcW w:w="1440" w:type="dxa"/>
            <w:vAlign w:val="bottom"/>
            <w:tcBorders>
              <w:top w:val="single" w:sz="8" w:color="0000EE"/>
            </w:tcBorders>
            <w:gridSpan w:val="7"/>
          </w:tcPr>
          <w:p>
            <w:pPr>
              <w:spacing w:after="0"/>
              <w:rPr>
                <w:sz w:val="17"/>
                <w:szCs w:val="17"/>
                <w:color w:val="auto"/>
              </w:rPr>
            </w:pPr>
          </w:p>
        </w:tc>
        <w:tc>
          <w:tcPr>
            <w:tcW w:w="7800" w:type="dxa"/>
            <w:vAlign w:val="bottom"/>
            <w:gridSpan w:val="1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20" w:type="dxa"/>
            <w:vAlign w:val="bottom"/>
            <w:gridSpan w:val="28"/>
          </w:tcPr>
          <w:p>
            <w:pPr>
              <w:spacing w:after="0" w:line="196" w:lineRule="exact"/>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SELECTED FINANCIAL DATA</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20" w:type="dxa"/>
            <w:vAlign w:val="bottom"/>
            <w:tcBorders>
              <w:bottom w:val="single" w:sz="8" w:color="0000EE"/>
            </w:tcBorders>
            <w:gridSpan w:val="27"/>
          </w:tcPr>
          <w:p>
            <w:pPr>
              <w:spacing w:after="0" w:line="196" w:lineRule="exact"/>
              <w:rPr>
                <w:rFonts w:ascii="Arial" w:cs="Arial" w:eastAsia="Arial" w:hAnsi="Arial"/>
                <w:sz w:val="18"/>
                <w:szCs w:val="18"/>
                <w:b w:val="1"/>
                <w:bCs w:val="1"/>
                <w:color w:val="0000EE"/>
                <w:w w:val="99"/>
              </w:rPr>
            </w:pPr>
            <w:hyperlink w:anchor="page116">
              <w:r>
                <w:rPr>
                  <w:rFonts w:ascii="Arial" w:cs="Arial" w:eastAsia="Arial" w:hAnsi="Arial"/>
                  <w:sz w:val="18"/>
                  <w:szCs w:val="18"/>
                  <w:b w:val="1"/>
                  <w:bCs w:val="1"/>
                  <w:color w:val="0000EE"/>
                  <w:w w:val="99"/>
                </w:rPr>
                <w:t>MANAGEMENT’S DISCUSSION AND ANALYSIS OF FINANCIAL CONDITION AND RESULTS OF OPERATIONS</w:t>
              </w:r>
            </w:hyperlink>
          </w:p>
        </w:tc>
        <w:tc>
          <w:tcPr>
            <w:tcW w:w="16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4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9"/>
              </w:rPr>
            </w:pPr>
            <w:hyperlink w:anchor="page130">
              <w:r>
                <w:rPr>
                  <w:rFonts w:ascii="Arial" w:cs="Arial" w:eastAsia="Arial" w:hAnsi="Arial"/>
                  <w:sz w:val="18"/>
                  <w:szCs w:val="18"/>
                  <w:b w:val="1"/>
                  <w:bCs w:val="1"/>
                  <w:color w:val="0000EE"/>
                  <w:w w:val="99"/>
                </w:rPr>
                <w:t>SENIOR SECURITIES</w:t>
              </w:r>
            </w:hyperlink>
          </w:p>
        </w:tc>
        <w:tc>
          <w:tcPr>
            <w:tcW w:w="9080" w:type="dxa"/>
            <w:vAlign w:val="bottom"/>
            <w:gridSpan w:val="2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rPr>
            </w:pPr>
            <w:hyperlink w:anchor="page131">
              <w:r>
                <w:rPr>
                  <w:rFonts w:ascii="Arial" w:cs="Arial" w:eastAsia="Arial" w:hAnsi="Arial"/>
                  <w:sz w:val="18"/>
                  <w:szCs w:val="18"/>
                  <w:b w:val="1"/>
                  <w:bCs w:val="1"/>
                  <w:color w:val="0000EE"/>
                </w:rPr>
                <w:t>RATIO OF EARNINGS TO FIXED CHARGES</w:t>
              </w:r>
            </w:hyperlink>
          </w:p>
        </w:tc>
        <w:tc>
          <w:tcPr>
            <w:tcW w:w="720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rPr>
            </w:pPr>
            <w:hyperlink w:anchor="page132">
              <w:r>
                <w:rPr>
                  <w:rFonts w:ascii="Arial" w:cs="Arial" w:eastAsia="Arial" w:hAnsi="Arial"/>
                  <w:sz w:val="18"/>
                  <w:szCs w:val="18"/>
                  <w:b w:val="1"/>
                  <w:bCs w:val="1"/>
                  <w:color w:val="0000EE"/>
                </w:rPr>
                <w:t>PRICE RANGE OF COMMON STOCK</w:t>
              </w:r>
            </w:hyperlink>
          </w:p>
        </w:tc>
        <w:tc>
          <w:tcPr>
            <w:tcW w:w="776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25"/>
          </w:tcPr>
          <w:p>
            <w:pPr>
              <w:spacing w:after="0" w:line="196" w:lineRule="exact"/>
              <w:rPr>
                <w:rFonts w:ascii="Arial" w:cs="Arial" w:eastAsia="Arial" w:hAnsi="Arial"/>
                <w:sz w:val="18"/>
                <w:szCs w:val="18"/>
                <w:b w:val="1"/>
                <w:bCs w:val="1"/>
                <w:color w:val="0000EE"/>
                <w:w w:val="98"/>
              </w:rPr>
            </w:pPr>
            <w:hyperlink w:anchor="page133">
              <w:r>
                <w:rPr>
                  <w:rFonts w:ascii="Arial" w:cs="Arial" w:eastAsia="Arial" w:hAnsi="Arial"/>
                  <w:sz w:val="18"/>
                  <w:szCs w:val="18"/>
                  <w:b w:val="1"/>
                  <w:bCs w:val="1"/>
                  <w:color w:val="0000EE"/>
                  <w:w w:val="98"/>
                </w:rPr>
                <w:t>SALES OF COMMON STOCK BELOW NET ASSET VALUE</w:t>
              </w:r>
            </w:hyperlink>
          </w:p>
        </w:tc>
        <w:tc>
          <w:tcPr>
            <w:tcW w:w="604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rPr>
            </w:pPr>
            <w:hyperlink w:anchor="page139">
              <w:r>
                <w:rPr>
                  <w:rFonts w:ascii="Arial" w:cs="Arial" w:eastAsia="Arial" w:hAnsi="Arial"/>
                  <w:sz w:val="18"/>
                  <w:szCs w:val="18"/>
                  <w:b w:val="1"/>
                  <w:bCs w:val="1"/>
                  <w:color w:val="0000EE"/>
                </w:rPr>
                <w:t>DISTRIBUTIONS</w:t>
              </w:r>
            </w:hyperlink>
          </w:p>
        </w:tc>
        <w:tc>
          <w:tcPr>
            <w:tcW w:w="9440" w:type="dxa"/>
            <w:vAlign w:val="bottom"/>
            <w:gridSpan w:val="2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Borders>
              <w:bottom w:val="single" w:sz="8" w:color="0000EE"/>
            </w:tcBorders>
          </w:tcPr>
          <w:p>
            <w:pPr>
              <w:spacing w:after="0" w:line="196" w:lineRule="exact"/>
              <w:rPr>
                <w:rFonts w:ascii="Arial" w:cs="Arial" w:eastAsia="Arial" w:hAnsi="Arial"/>
                <w:sz w:val="18"/>
                <w:szCs w:val="18"/>
                <w:b w:val="1"/>
                <w:bCs w:val="1"/>
                <w:color w:val="0000EE"/>
                <w:w w:val="93"/>
              </w:rPr>
            </w:pPr>
            <w:hyperlink w:anchor="page141">
              <w:r>
                <w:rPr>
                  <w:rFonts w:ascii="Arial" w:cs="Arial" w:eastAsia="Arial" w:hAnsi="Arial"/>
                  <w:sz w:val="18"/>
                  <w:szCs w:val="18"/>
                  <w:b w:val="1"/>
                  <w:bCs w:val="1"/>
                  <w:color w:val="0000EE"/>
                  <w:w w:val="93"/>
                </w:rPr>
                <w:t>BUSINESS</w:t>
              </w:r>
            </w:hyperlink>
          </w:p>
        </w:tc>
        <w:tc>
          <w:tcPr>
            <w:tcW w:w="10040" w:type="dxa"/>
            <w:vAlign w:val="bottom"/>
            <w:gridSpan w:val="2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20" w:type="dxa"/>
            <w:vAlign w:val="bottom"/>
            <w:gridSpan w:val="28"/>
          </w:tcPr>
          <w:p>
            <w:pPr>
              <w:spacing w:after="0" w:line="196" w:lineRule="exact"/>
              <w:rPr>
                <w:rFonts w:ascii="Arial" w:cs="Arial" w:eastAsia="Arial" w:hAnsi="Arial"/>
                <w:sz w:val="18"/>
                <w:szCs w:val="18"/>
                <w:b w:val="1"/>
                <w:bCs w:val="1"/>
                <w:color w:val="0000EE"/>
              </w:rPr>
            </w:pPr>
            <w:hyperlink w:anchor="page146">
              <w:r>
                <w:rPr>
                  <w:rFonts w:ascii="Arial" w:cs="Arial" w:eastAsia="Arial" w:hAnsi="Arial"/>
                  <w:sz w:val="18"/>
                  <w:szCs w:val="18"/>
                  <w:b w:val="1"/>
                  <w:bCs w:val="1"/>
                  <w:color w:val="0000EE"/>
                </w:rPr>
                <w:t>INVESTMENT OBJECTIVES AND POLICIES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b w:val="1"/>
                <w:bCs w:val="1"/>
                <w:color w:val="0000EE"/>
              </w:rPr>
            </w:pPr>
            <w:hyperlink w:anchor="page152">
              <w:r>
                <w:rPr>
                  <w:rFonts w:ascii="Arial" w:cs="Arial" w:eastAsia="Arial" w:hAnsi="Arial"/>
                  <w:sz w:val="18"/>
                  <w:szCs w:val="18"/>
                  <w:b w:val="1"/>
                  <w:bCs w:val="1"/>
                  <w:color w:val="0000EE"/>
                </w:rPr>
                <w:t>PORTFOLIO COMPANIES</w:t>
              </w:r>
            </w:hyperlink>
          </w:p>
        </w:tc>
        <w:tc>
          <w:tcPr>
            <w:tcW w:w="1520" w:type="dxa"/>
            <w:vAlign w:val="bottom"/>
            <w:tcBorders>
              <w:top w:val="single" w:sz="8" w:color="0000EE"/>
            </w:tcBorders>
            <w:gridSpan w:val="10"/>
          </w:tcPr>
          <w:p>
            <w:pPr>
              <w:spacing w:after="0"/>
              <w:rPr>
                <w:sz w:val="17"/>
                <w:szCs w:val="17"/>
                <w:color w:val="auto"/>
              </w:rPr>
            </w:pPr>
          </w:p>
        </w:tc>
        <w:tc>
          <w:tcPr>
            <w:tcW w:w="718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20" w:type="dxa"/>
            <w:vAlign w:val="bottom"/>
            <w:gridSpan w:val="28"/>
          </w:tcPr>
          <w:p>
            <w:pPr>
              <w:spacing w:after="0" w:line="196" w:lineRule="exact"/>
              <w:rPr>
                <w:rFonts w:ascii="Arial" w:cs="Arial" w:eastAsia="Arial" w:hAnsi="Arial"/>
                <w:sz w:val="18"/>
                <w:szCs w:val="18"/>
                <w:b w:val="1"/>
                <w:bCs w:val="1"/>
                <w:color w:val="0000EE"/>
              </w:rPr>
            </w:pPr>
            <w:hyperlink w:anchor="page157">
              <w:r>
                <w:rPr>
                  <w:rFonts w:ascii="Arial" w:cs="Arial" w:eastAsia="Arial" w:hAnsi="Arial"/>
                  <w:sz w:val="18"/>
                  <w:szCs w:val="18"/>
                  <w:b w:val="1"/>
                  <w:bCs w:val="1"/>
                  <w:color w:val="0000EE"/>
                </w:rPr>
                <w:t>MANAGEMENT</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3"/>
            <w:shd w:val="clear" w:color="auto" w:fill="0000EE"/>
          </w:tcPr>
          <w:p>
            <w:pPr>
              <w:spacing w:after="0" w:line="20" w:lineRule="exact"/>
              <w:rPr>
                <w:sz w:val="1"/>
                <w:szCs w:val="1"/>
                <w:color w:val="auto"/>
              </w:rPr>
            </w:pPr>
          </w:p>
        </w:tc>
        <w:tc>
          <w:tcPr>
            <w:tcW w:w="1600" w:type="dxa"/>
            <w:vAlign w:val="bottom"/>
            <w:gridSpan w:val="10"/>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99"/>
              </w:rPr>
            </w:pPr>
            <w:hyperlink w:anchor="page164">
              <w:r>
                <w:rPr>
                  <w:rFonts w:ascii="Arial" w:cs="Arial" w:eastAsia="Arial" w:hAnsi="Arial"/>
                  <w:sz w:val="18"/>
                  <w:szCs w:val="18"/>
                  <w:b w:val="1"/>
                  <w:bCs w:val="1"/>
                  <w:color w:val="0000EE"/>
                  <w:w w:val="99"/>
                </w:rPr>
                <w:t>CONTROL PERSONS AND PRINCIPAL STOCKHOLDERS</w:t>
              </w:r>
            </w:hyperlink>
          </w:p>
        </w:tc>
        <w:tc>
          <w:tcPr>
            <w:tcW w:w="610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20" w:type="dxa"/>
            <w:vAlign w:val="bottom"/>
            <w:gridSpan w:val="28"/>
          </w:tcPr>
          <w:p>
            <w:pPr>
              <w:spacing w:after="0" w:line="196" w:lineRule="exact"/>
              <w:rPr>
                <w:rFonts w:ascii="Arial" w:cs="Arial" w:eastAsia="Arial" w:hAnsi="Arial"/>
                <w:sz w:val="18"/>
                <w:szCs w:val="18"/>
                <w:b w:val="1"/>
                <w:bCs w:val="1"/>
                <w:color w:val="0000EE"/>
              </w:rPr>
            </w:pPr>
            <w:hyperlink w:anchor="page166">
              <w:r>
                <w:rPr>
                  <w:rFonts w:ascii="Arial" w:cs="Arial" w:eastAsia="Arial" w:hAnsi="Arial"/>
                  <w:sz w:val="18"/>
                  <w:szCs w:val="18"/>
                  <w:b w:val="1"/>
                  <w:bCs w:val="1"/>
                  <w:color w:val="0000EE"/>
                </w:rPr>
                <w:t>CERTAIN RELATIONSHIPS AND TRANSACTIONS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b w:val="1"/>
                <w:bCs w:val="1"/>
                <w:color w:val="0000EE"/>
              </w:rPr>
            </w:pPr>
            <w:hyperlink w:anchor="page172">
              <w:r>
                <w:rPr>
                  <w:rFonts w:ascii="Arial" w:cs="Arial" w:eastAsia="Arial" w:hAnsi="Arial"/>
                  <w:sz w:val="18"/>
                  <w:szCs w:val="18"/>
                  <w:b w:val="1"/>
                  <w:bCs w:val="1"/>
                  <w:color w:val="0000EE"/>
                </w:rPr>
                <w:t>DETERMINATION OF NET ASSET VALUE</w:t>
              </w:r>
            </w:hyperlink>
          </w:p>
        </w:tc>
        <w:tc>
          <w:tcPr>
            <w:tcW w:w="680" w:type="dxa"/>
            <w:vAlign w:val="bottom"/>
            <w:tcBorders>
              <w:top w:val="single" w:sz="8" w:color="0000EE"/>
            </w:tcBorders>
            <w:gridSpan w:val="4"/>
          </w:tcPr>
          <w:p>
            <w:pPr>
              <w:spacing w:after="0"/>
              <w:rPr>
                <w:sz w:val="17"/>
                <w:szCs w:val="17"/>
                <w:color w:val="auto"/>
              </w:rPr>
            </w:pPr>
          </w:p>
        </w:tc>
        <w:tc>
          <w:tcPr>
            <w:tcW w:w="668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6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rPr>
            </w:pPr>
            <w:hyperlink w:anchor="page175">
              <w:r>
                <w:rPr>
                  <w:rFonts w:ascii="Arial" w:cs="Arial" w:eastAsia="Arial" w:hAnsi="Arial"/>
                  <w:sz w:val="18"/>
                  <w:szCs w:val="18"/>
                  <w:b w:val="1"/>
                  <w:bCs w:val="1"/>
                  <w:color w:val="0000EE"/>
                </w:rPr>
                <w:t>DIVIDEND REINVESTMENT PLAN</w:t>
              </w:r>
            </w:hyperlink>
          </w:p>
        </w:tc>
        <w:tc>
          <w:tcPr>
            <w:tcW w:w="796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rPr>
            </w:pPr>
            <w:hyperlink w:anchor="page177">
              <w:r>
                <w:rPr>
                  <w:rFonts w:ascii="Arial" w:cs="Arial" w:eastAsia="Arial" w:hAnsi="Arial"/>
                  <w:sz w:val="18"/>
                  <w:szCs w:val="18"/>
                  <w:b w:val="1"/>
                  <w:bCs w:val="1"/>
                  <w:color w:val="0000EE"/>
                </w:rPr>
                <w:t>DESCRIPTION OF OUR CAPITAL STOCK</w:t>
              </w:r>
            </w:hyperlink>
          </w:p>
        </w:tc>
        <w:tc>
          <w:tcPr>
            <w:tcW w:w="7400" w:type="dxa"/>
            <w:vAlign w:val="bottom"/>
            <w:gridSpan w:val="1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gridSpan w:val="8"/>
            <w:vMerge w:val="restart"/>
          </w:tcPr>
          <w:p>
            <w:pPr>
              <w:spacing w:after="0"/>
              <w:rPr>
                <w:rFonts w:ascii="Arial" w:cs="Arial" w:eastAsia="Arial" w:hAnsi="Arial"/>
                <w:sz w:val="18"/>
                <w:szCs w:val="18"/>
                <w:b w:val="1"/>
                <w:bCs w:val="1"/>
                <w:color w:val="0000EE"/>
                <w:w w:val="99"/>
              </w:rPr>
            </w:pPr>
            <w:hyperlink w:anchor="page183">
              <w:r>
                <w:rPr>
                  <w:rFonts w:ascii="Arial" w:cs="Arial" w:eastAsia="Arial" w:hAnsi="Arial"/>
                  <w:sz w:val="18"/>
                  <w:szCs w:val="18"/>
                  <w:b w:val="1"/>
                  <w:bCs w:val="1"/>
                  <w:color w:val="0000EE"/>
                  <w:w w:val="99"/>
                </w:rPr>
                <w:t>DESCRIPTION OF OUR PREFERRED STOCK</w:t>
              </w:r>
            </w:hyperlink>
          </w:p>
        </w:tc>
        <w:tc>
          <w:tcPr>
            <w:tcW w:w="7180" w:type="dxa"/>
            <w:vAlign w:val="bottom"/>
            <w:gridSpan w:val="6"/>
            <w:vMerge w:val="restart"/>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3820" w:type="dxa"/>
            <w:vAlign w:val="bottom"/>
            <w:tcBorders>
              <w:bottom w:val="single" w:sz="8" w:color="0000EE"/>
            </w:tcBorders>
            <w:gridSpan w:val="8"/>
            <w:vMerge w:val="continue"/>
          </w:tcPr>
          <w:p>
            <w:pPr>
              <w:spacing w:after="0"/>
              <w:rPr>
                <w:sz w:val="13"/>
                <w:szCs w:val="13"/>
                <w:color w:val="auto"/>
              </w:rPr>
            </w:pPr>
          </w:p>
        </w:tc>
        <w:tc>
          <w:tcPr>
            <w:tcW w:w="7180" w:type="dxa"/>
            <w:vAlign w:val="bottom"/>
            <w:gridSpan w:val="6"/>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080" w:type="dxa"/>
            <w:vAlign w:val="bottom"/>
            <w:tcBorders>
              <w:bottom w:val="single" w:sz="8" w:color="0000EE"/>
            </w:tcBorders>
            <w:gridSpan w:val="5"/>
          </w:tcPr>
          <w:p>
            <w:pPr>
              <w:spacing w:after="0"/>
              <w:rPr>
                <w:rFonts w:ascii="Arial" w:cs="Arial" w:eastAsia="Arial" w:hAnsi="Arial"/>
                <w:sz w:val="18"/>
                <w:szCs w:val="18"/>
                <w:b w:val="1"/>
                <w:bCs w:val="1"/>
                <w:color w:val="0000EE"/>
                <w:w w:val="99"/>
              </w:rPr>
            </w:pPr>
            <w:hyperlink w:anchor="page184">
              <w:r>
                <w:rPr>
                  <w:rFonts w:ascii="Arial" w:cs="Arial" w:eastAsia="Arial" w:hAnsi="Arial"/>
                  <w:sz w:val="18"/>
                  <w:szCs w:val="18"/>
                  <w:b w:val="1"/>
                  <w:bCs w:val="1"/>
                  <w:color w:val="0000EE"/>
                  <w:w w:val="99"/>
                </w:rPr>
                <w:t>DESCRIPTION OF OUR WARRANTS</w:t>
              </w:r>
            </w:hyperlink>
          </w:p>
        </w:tc>
        <w:tc>
          <w:tcPr>
            <w:tcW w:w="7920" w:type="dxa"/>
            <w:vAlign w:val="bottom"/>
            <w:gridSpan w:val="9"/>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108</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99"/>
              </w:rPr>
            </w:pPr>
            <w:hyperlink w:anchor="page186">
              <w:r>
                <w:rPr>
                  <w:rFonts w:ascii="Arial" w:cs="Arial" w:eastAsia="Arial" w:hAnsi="Arial"/>
                  <w:sz w:val="18"/>
                  <w:szCs w:val="18"/>
                  <w:b w:val="1"/>
                  <w:bCs w:val="1"/>
                  <w:color w:val="0000EE"/>
                  <w:w w:val="99"/>
                </w:rPr>
                <w:t>DESCRIPTION OF OUR SUBSCRIPTION RIGHTS</w:t>
              </w:r>
            </w:hyperlink>
          </w:p>
        </w:tc>
        <w:tc>
          <w:tcPr>
            <w:tcW w:w="686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196"/>
        </w:trPr>
        <w:tc>
          <w:tcPr>
            <w:tcW w:w="11000" w:type="dxa"/>
            <w:vAlign w:val="bottom"/>
            <w:gridSpan w:val="14"/>
          </w:tcPr>
          <w:p>
            <w:pPr>
              <w:spacing w:after="0" w:line="196" w:lineRule="exact"/>
              <w:rPr>
                <w:rFonts w:ascii="Arial" w:cs="Arial" w:eastAsia="Arial" w:hAnsi="Arial"/>
                <w:sz w:val="18"/>
                <w:szCs w:val="18"/>
                <w:b w:val="1"/>
                <w:bCs w:val="1"/>
                <w:color w:val="0000EE"/>
              </w:rPr>
            </w:pPr>
            <w:hyperlink w:anchor="page188">
              <w:r>
                <w:rPr>
                  <w:rFonts w:ascii="Arial" w:cs="Arial" w:eastAsia="Arial" w:hAnsi="Arial"/>
                  <w:sz w:val="18"/>
                  <w:szCs w:val="18"/>
                  <w:b w:val="1"/>
                  <w:bCs w:val="1"/>
                  <w:color w:val="0000EE"/>
                </w:rPr>
                <w:t>DESCRIPTION OF OUR DEBT SECURITIES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112</w:t>
            </w:r>
          </w:p>
        </w:tc>
        <w:tc>
          <w:tcPr>
            <w:tcW w:w="0" w:type="dxa"/>
            <w:vAlign w:val="bottom"/>
          </w:tcPr>
          <w:p>
            <w:pPr>
              <w:spacing w:after="0"/>
              <w:rPr>
                <w:sz w:val="1"/>
                <w:szCs w:val="1"/>
                <w:color w:val="auto"/>
              </w:rPr>
            </w:pPr>
          </w:p>
        </w:tc>
      </w:tr>
      <w:tr>
        <w:trPr>
          <w:trHeight w:val="196"/>
        </w:trPr>
        <w:tc>
          <w:tcPr>
            <w:tcW w:w="2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rPr>
            </w:pPr>
            <w:hyperlink w:anchor="page201">
              <w:r>
                <w:rPr>
                  <w:rFonts w:ascii="Arial" w:cs="Arial" w:eastAsia="Arial" w:hAnsi="Arial"/>
                  <w:sz w:val="18"/>
                  <w:szCs w:val="18"/>
                  <w:b w:val="1"/>
                  <w:bCs w:val="1"/>
                  <w:color w:val="0000EE"/>
                </w:rPr>
                <w:t>DESCRIPTION OF OUR UNITS</w:t>
              </w:r>
            </w:hyperlink>
          </w:p>
        </w:tc>
        <w:tc>
          <w:tcPr>
            <w:tcW w:w="1060" w:type="dxa"/>
            <w:vAlign w:val="bottom"/>
            <w:tcBorders>
              <w:top w:val="single" w:sz="8" w:color="0000EE"/>
            </w:tcBorders>
            <w:gridSpan w:val="3"/>
          </w:tcPr>
          <w:p>
            <w:pPr>
              <w:spacing w:after="0"/>
              <w:rPr>
                <w:sz w:val="17"/>
                <w:szCs w:val="17"/>
                <w:color w:val="auto"/>
              </w:rPr>
            </w:pPr>
          </w:p>
        </w:tc>
        <w:tc>
          <w:tcPr>
            <w:tcW w:w="734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11000" w:type="dxa"/>
            <w:vAlign w:val="bottom"/>
            <w:gridSpan w:val="14"/>
          </w:tcPr>
          <w:p>
            <w:pPr>
              <w:spacing w:after="0" w:line="196" w:lineRule="exact"/>
              <w:rPr>
                <w:rFonts w:ascii="Arial" w:cs="Arial" w:eastAsia="Arial" w:hAnsi="Arial"/>
                <w:sz w:val="18"/>
                <w:szCs w:val="18"/>
                <w:b w:val="1"/>
                <w:bCs w:val="1"/>
                <w:color w:val="0000EE"/>
              </w:rPr>
            </w:pPr>
            <w:hyperlink w:anchor="page202">
              <w:r>
                <w:rPr>
                  <w:rFonts w:ascii="Arial" w:cs="Arial" w:eastAsia="Arial" w:hAnsi="Arial"/>
                  <w:sz w:val="18"/>
                  <w:szCs w:val="18"/>
                  <w:b w:val="1"/>
                  <w:bCs w:val="1"/>
                  <w:color w:val="0000EE"/>
                </w:rPr>
                <w:t>REGULATION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rPr>
            </w:pPr>
            <w:hyperlink w:anchor="page208">
              <w:r>
                <w:rPr>
                  <w:rFonts w:ascii="Arial" w:cs="Arial" w:eastAsia="Arial" w:hAnsi="Arial"/>
                  <w:sz w:val="18"/>
                  <w:szCs w:val="18"/>
                  <w:b w:val="1"/>
                  <w:bCs w:val="1"/>
                  <w:color w:val="0000EE"/>
                </w:rPr>
                <w:t>BROKERAGE ALLOCATIONS AND OTHER PRACTICES</w:t>
              </w:r>
            </w:hyperlink>
          </w:p>
        </w:tc>
        <w:tc>
          <w:tcPr>
            <w:tcW w:w="624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196"/>
        </w:trPr>
        <w:tc>
          <w:tcPr>
            <w:tcW w:w="11000" w:type="dxa"/>
            <w:vAlign w:val="bottom"/>
            <w:gridSpan w:val="14"/>
          </w:tcPr>
          <w:p>
            <w:pPr>
              <w:spacing w:after="0" w:line="196" w:lineRule="exact"/>
              <w:rPr>
                <w:rFonts w:ascii="Arial" w:cs="Arial" w:eastAsia="Arial" w:hAnsi="Arial"/>
                <w:sz w:val="18"/>
                <w:szCs w:val="18"/>
                <w:b w:val="1"/>
                <w:bCs w:val="1"/>
                <w:color w:val="0000EE"/>
              </w:rPr>
            </w:pPr>
            <w:hyperlink w:anchor="page209">
              <w:r>
                <w:rPr>
                  <w:rFonts w:ascii="Arial" w:cs="Arial" w:eastAsia="Arial" w:hAnsi="Arial"/>
                  <w:sz w:val="18"/>
                  <w:szCs w:val="18"/>
                  <w:b w:val="1"/>
                  <w:bCs w:val="1"/>
                  <w:color w:val="0000EE"/>
                </w:rPr>
                <w:t>MATERIAL U.S. FEDERAL INCOME TAX CONSIDERATIONS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5140" w:type="dxa"/>
            <w:vAlign w:val="bottom"/>
            <w:tcBorders>
              <w:top w:val="single" w:sz="8" w:color="0000EE"/>
            </w:tcBorders>
            <w:gridSpan w:val="12"/>
          </w:tcPr>
          <w:p>
            <w:pPr>
              <w:spacing w:after="0" w:line="196" w:lineRule="exact"/>
              <w:rPr>
                <w:rFonts w:ascii="Arial" w:cs="Arial" w:eastAsia="Arial" w:hAnsi="Arial"/>
                <w:sz w:val="18"/>
                <w:szCs w:val="18"/>
                <w:b w:val="1"/>
                <w:bCs w:val="1"/>
                <w:color w:val="0000EE"/>
              </w:rPr>
            </w:pPr>
            <w:hyperlink w:anchor="page215">
              <w:r>
                <w:rPr>
                  <w:rFonts w:ascii="Arial" w:cs="Arial" w:eastAsia="Arial" w:hAnsi="Arial"/>
                  <w:sz w:val="18"/>
                  <w:szCs w:val="18"/>
                  <w:b w:val="1"/>
                  <w:bCs w:val="1"/>
                  <w:color w:val="0000EE"/>
                </w:rPr>
                <w:t>PLAN OF DISTRIBUTION</w:t>
              </w:r>
            </w:hyperlink>
          </w:p>
        </w:tc>
        <w:tc>
          <w:tcPr>
            <w:tcW w:w="586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20"/>
        </w:trPr>
        <w:tc>
          <w:tcPr>
            <w:tcW w:w="15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14"/>
          </w:tcPr>
          <w:p>
            <w:pPr>
              <w:spacing w:after="0" w:line="196" w:lineRule="exact"/>
              <w:rPr>
                <w:rFonts w:ascii="Arial" w:cs="Arial" w:eastAsia="Arial" w:hAnsi="Arial"/>
                <w:sz w:val="18"/>
                <w:szCs w:val="18"/>
                <w:b w:val="1"/>
                <w:bCs w:val="1"/>
                <w:color w:val="0000EE"/>
              </w:rPr>
            </w:pPr>
            <w:hyperlink w:anchor="page216">
              <w:r>
                <w:rPr>
                  <w:rFonts w:ascii="Arial" w:cs="Arial" w:eastAsia="Arial" w:hAnsi="Arial"/>
                  <w:sz w:val="18"/>
                  <w:szCs w:val="18"/>
                  <w:b w:val="1"/>
                  <w:bCs w:val="1"/>
                  <w:color w:val="0000EE"/>
                </w:rPr>
                <w:t>SUB-ADMINISTRATOR, CUSTODIAN, TRANSFER AGENT AND TRUSTEE</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196"/>
        </w:trPr>
        <w:tc>
          <w:tcPr>
            <w:tcW w:w="15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rPr>
            </w:pPr>
            <w:hyperlink w:anchor="page216">
              <w:r>
                <w:rPr>
                  <w:rFonts w:ascii="Arial" w:cs="Arial" w:eastAsia="Arial" w:hAnsi="Arial"/>
                  <w:sz w:val="18"/>
                  <w:szCs w:val="18"/>
                  <w:b w:val="1"/>
                  <w:bCs w:val="1"/>
                  <w:color w:val="0000EE"/>
                </w:rPr>
                <w:t>LEGAL MATTERS</w:t>
              </w:r>
            </w:hyperlink>
          </w:p>
        </w:tc>
        <w:tc>
          <w:tcPr>
            <w:tcW w:w="4640" w:type="dxa"/>
            <w:vAlign w:val="bottom"/>
            <w:tcBorders>
              <w:top w:val="single" w:sz="8" w:color="0000EE"/>
            </w:tcBorders>
            <w:gridSpan w:val="11"/>
          </w:tcPr>
          <w:p>
            <w:pPr>
              <w:spacing w:after="0"/>
              <w:rPr>
                <w:sz w:val="17"/>
                <w:szCs w:val="17"/>
                <w:color w:val="auto"/>
              </w:rPr>
            </w:pPr>
          </w:p>
        </w:tc>
        <w:tc>
          <w:tcPr>
            <w:tcW w:w="480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196"/>
        </w:trPr>
        <w:tc>
          <w:tcPr>
            <w:tcW w:w="11000" w:type="dxa"/>
            <w:vAlign w:val="bottom"/>
            <w:gridSpan w:val="14"/>
          </w:tcPr>
          <w:p>
            <w:pPr>
              <w:spacing w:after="0" w:line="196" w:lineRule="exact"/>
              <w:rPr>
                <w:rFonts w:ascii="Arial" w:cs="Arial" w:eastAsia="Arial" w:hAnsi="Arial"/>
                <w:sz w:val="18"/>
                <w:szCs w:val="18"/>
                <w:b w:val="1"/>
                <w:bCs w:val="1"/>
                <w:color w:val="0000EE"/>
              </w:rPr>
            </w:pPr>
            <w:hyperlink w:anchor="page216">
              <w:r>
                <w:rPr>
                  <w:rFonts w:ascii="Arial" w:cs="Arial" w:eastAsia="Arial" w:hAnsi="Arial"/>
                  <w:sz w:val="18"/>
                  <w:szCs w:val="18"/>
                  <w:b w:val="1"/>
                  <w:bCs w:val="1"/>
                  <w:color w:val="0000EE"/>
                </w:rPr>
                <w:t>INDEPENDENT REGISTERED PUBLIC ACCOUNTING FIRM</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196"/>
        </w:trPr>
        <w:tc>
          <w:tcPr>
            <w:tcW w:w="5080" w:type="dxa"/>
            <w:vAlign w:val="bottom"/>
            <w:tcBorders>
              <w:top w:val="single" w:sz="8" w:color="0000EE"/>
            </w:tcBorders>
            <w:gridSpan w:val="11"/>
          </w:tcPr>
          <w:p>
            <w:pPr>
              <w:spacing w:after="0" w:line="196" w:lineRule="exact"/>
              <w:rPr>
                <w:rFonts w:ascii="Arial" w:cs="Arial" w:eastAsia="Arial" w:hAnsi="Arial"/>
                <w:sz w:val="18"/>
                <w:szCs w:val="18"/>
                <w:b w:val="1"/>
                <w:bCs w:val="1"/>
                <w:color w:val="0000EE"/>
              </w:rPr>
            </w:pPr>
            <w:hyperlink w:anchor="page217">
              <w:r>
                <w:rPr>
                  <w:rFonts w:ascii="Arial" w:cs="Arial" w:eastAsia="Arial" w:hAnsi="Arial"/>
                  <w:sz w:val="18"/>
                  <w:szCs w:val="18"/>
                  <w:b w:val="1"/>
                  <w:bCs w:val="1"/>
                  <w:color w:val="0000EE"/>
                </w:rPr>
                <w:t>INDEX TO FINANCIAL STATEMENTS</w:t>
              </w:r>
            </w:hyperlink>
          </w:p>
        </w:tc>
        <w:tc>
          <w:tcPr>
            <w:tcW w:w="592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12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53124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SUPPLEMENTAL PROSPECTUS SUMMARY</w:t>
      </w:r>
    </w:p>
    <w:p>
      <w:pPr>
        <w:spacing w:after="0" w:line="229" w:lineRule="exact"/>
        <w:rPr>
          <w:sz w:val="20"/>
          <w:szCs w:val="20"/>
          <w:color w:val="auto"/>
        </w:rPr>
      </w:pPr>
    </w:p>
    <w:p>
      <w:pPr>
        <w:ind w:left="200" w:firstLine="443"/>
        <w:spacing w:after="0" w:line="285" w:lineRule="auto"/>
        <w:rPr>
          <w:sz w:val="20"/>
          <w:szCs w:val="20"/>
          <w:color w:val="auto"/>
        </w:rPr>
      </w:pPr>
      <w:r>
        <w:rPr>
          <w:rFonts w:ascii="Arial" w:cs="Arial" w:eastAsia="Arial" w:hAnsi="Arial"/>
          <w:sz w:val="16"/>
          <w:szCs w:val="16"/>
          <w:i w:val="1"/>
          <w:iCs w:val="1"/>
          <w:color w:val="auto"/>
        </w:rPr>
        <w:t>This summary highlights some of the information in this prospectus supplement and the accompanying prospectus. It is not complete and may not contain all of the information that you may want to consider in making an investment decision. Some of the statements in this prospectus supplement and accompanying prospectus constitute forward-looking statements, which apply to both us and our consolidated Small Business Investment Company, or SBIC, subsidiaries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accompanying prospectus. You should read carefully the more detailed information set forth under “Risk Factors” and the other information included in this prospectus supplement and accompanying prospectus. In this prospectus supplement and the accompanying prospectus except where the context suggests otherwise: the terms “we,” “us,” “our” and “Company”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“PennantPark Investment Advisers” or “Investment Adviser” refers to PennantPark Investment Advisers, LLC; and “PennantPark Investment Administration” or “Administrator” refers to PennantPark Investment Administration, LLC; “SBA” refers to the Small Business Administration; “Credit Facility” refers to our multi-currency, senior secured revolving credit facility; “2025 Notes” refers to our 6.25% senior notes due 2025; “1940 Act” refers to the Investment Company Act of 1940, as amended; “Code” refers to the Internal Revenue Code of 1986, as amended; “RIC” refers to a regulated investment company under the Code; and “BDC” refers to a business development company under the 1940 Act.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21" w:lineRule="exact"/>
        <w:rPr>
          <w:sz w:val="20"/>
          <w:szCs w:val="20"/>
          <w:color w:val="auto"/>
        </w:rPr>
      </w:pPr>
    </w:p>
    <w:p>
      <w:pPr>
        <w:ind w:left="200" w:right="340" w:firstLine="443"/>
        <w:spacing w:after="0" w:line="34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124" w:lineRule="exact"/>
        <w:rPr>
          <w:sz w:val="20"/>
          <w:szCs w:val="20"/>
          <w:color w:val="auto"/>
        </w:rPr>
      </w:pPr>
    </w:p>
    <w:p>
      <w:pPr>
        <w:ind w:left="200" w:right="60" w:firstLine="443"/>
        <w:spacing w:after="0" w:line="271" w:lineRule="auto"/>
        <w:rPr>
          <w:sz w:val="20"/>
          <w:szCs w:val="20"/>
          <w:color w:val="auto"/>
        </w:rPr>
      </w:pPr>
      <w:r>
        <w:rPr>
          <w:rFonts w:ascii="Arial" w:cs="Arial" w:eastAsia="Arial" w:hAnsi="Arial"/>
          <w:sz w:val="17"/>
          <w:szCs w:val="17"/>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 regions.</w:t>
      </w:r>
    </w:p>
    <w:p>
      <w:pPr>
        <w:spacing w:after="0" w:line="179" w:lineRule="exact"/>
        <w:rPr>
          <w:sz w:val="20"/>
          <w:szCs w:val="20"/>
          <w:color w:val="auto"/>
        </w:rPr>
      </w:pPr>
    </w:p>
    <w:p>
      <w:pPr>
        <w:ind w:left="200" w:right="20" w:firstLine="443"/>
        <w:spacing w:after="0" w:line="279" w:lineRule="auto"/>
        <w:rPr>
          <w:sz w:val="20"/>
          <w:szCs w:val="20"/>
          <w:color w:val="auto"/>
        </w:rPr>
      </w:pPr>
      <w:r>
        <w:rPr>
          <w:rFonts w:ascii="Arial" w:cs="Arial" w:eastAsia="Arial" w:hAnsi="Arial"/>
          <w:sz w:val="17"/>
          <w:szCs w:val="17"/>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or any future credit facility, SBA debentures, proceeds from the rotation of our portfolio and proceeds from public and private offerings of securities to finance our investment objectives.</w:t>
      </w: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32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57327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color w:val="auto"/>
        </w:rPr>
        <w:t>PennantPark Investment Corporation was organized under the Maryland General Corporation Law in January 2007. We are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200" w:right="100" w:firstLine="443"/>
        <w:spacing w:after="0" w:line="257"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200" w:right="20" w:firstLine="443"/>
        <w:spacing w:after="0" w:line="270" w:lineRule="auto"/>
        <w:rPr>
          <w:sz w:val="20"/>
          <w:szCs w:val="20"/>
          <w:color w:val="auto"/>
        </w:rPr>
      </w:pPr>
      <w:r>
        <w:rPr>
          <w:rFonts w:ascii="Arial" w:cs="Arial" w:eastAsia="Arial" w:hAnsi="Arial"/>
          <w:sz w:val="17"/>
          <w:szCs w:val="17"/>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$1.9 billion in debt and equity capital and has invested approximately $3.8 billion in over 300 companies with 140 different financial sponsors through its managed funds.</w:t>
      </w:r>
    </w:p>
    <w:p>
      <w:pPr>
        <w:spacing w:after="0" w:line="182"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in the accompanying prospectus for more information.</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280" w:firstLine="443"/>
        <w:spacing w:after="0" w:line="277"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w:t>
      </w:r>
    </w:p>
    <w:p>
      <w:pPr>
        <w:spacing w:after="0" w:line="72" w:lineRule="exact"/>
        <w:rPr>
          <w:sz w:val="20"/>
          <w:szCs w:val="20"/>
          <w:color w:val="auto"/>
        </w:rPr>
      </w:pPr>
    </w:p>
    <w:p>
      <w:pPr>
        <w:ind w:left="1060" w:right="40" w:hanging="431"/>
        <w:spacing w:after="0" w:line="261"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may be more difficult from time to time to the extent institutional investors seek to invest in larger, more liquid offerings. We believe this has periodically made it harder for middle-market companies to raise funds by issuing high-yield debt securities.</w:t>
      </w: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85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58185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60" w:right="140" w:hanging="431"/>
        <w:spacing w:after="0" w:line="266"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From time to time, banks,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hedge funds and collateralized loan obligation, or CLO, funds have, and may again, withdrawn capital from the middle-market, resulting in opportunities for alternative funding sources.</w:t>
      </w:r>
    </w:p>
    <w:p>
      <w:pPr>
        <w:spacing w:after="0" w:line="81" w:lineRule="exact"/>
        <w:rPr>
          <w:rFonts w:ascii="Arial" w:cs="Arial" w:eastAsia="Arial" w:hAnsi="Arial"/>
          <w:sz w:val="18"/>
          <w:szCs w:val="18"/>
          <w:color w:val="auto"/>
        </w:rPr>
      </w:pPr>
    </w:p>
    <w:p>
      <w:pPr>
        <w:ind w:left="1060" w:hanging="431"/>
        <w:spacing w:after="0" w:line="289"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that credit market dislocation for middle-market companies improves the risk-adjusted returns on our investments. </w:t>
      </w:r>
      <w:r>
        <w:rPr>
          <w:rFonts w:ascii="Arial" w:cs="Arial" w:eastAsia="Arial" w:hAnsi="Arial"/>
          <w:sz w:val="17"/>
          <w:szCs w:val="17"/>
          <w:color w:val="auto"/>
        </w:rPr>
        <w:t>From</w:t>
      </w:r>
      <w:r>
        <w:rPr>
          <w:rFonts w:ascii="Arial" w:cs="Arial" w:eastAsia="Arial" w:hAnsi="Arial"/>
          <w:sz w:val="17"/>
          <w:szCs w:val="17"/>
          <w:b w:val="1"/>
          <w:bCs w:val="1"/>
          <w:color w:val="auto"/>
        </w:rPr>
        <w:t xml:space="preserve"> </w:t>
      </w:r>
      <w:r>
        <w:rPr>
          <w:rFonts w:ascii="Arial" w:cs="Arial" w:eastAsia="Arial" w:hAnsi="Arial"/>
          <w:sz w:val="17"/>
          <w:szCs w:val="17"/>
          <w:color w:val="auto"/>
        </w:rPr>
        <w:t>time to time, market participants have reduced lending to middle-market and non-investment grade borrowers. As a result, there is less competition in our market, more conservative capital structures, higher yields and stronger covenants.</w:t>
      </w:r>
    </w:p>
    <w:p>
      <w:pPr>
        <w:spacing w:after="0" w:line="63" w:lineRule="exact"/>
        <w:rPr>
          <w:rFonts w:ascii="Arial" w:cs="Arial" w:eastAsia="Arial" w:hAnsi="Arial"/>
          <w:sz w:val="17"/>
          <w:szCs w:val="17"/>
          <w:color w:val="auto"/>
        </w:rPr>
      </w:pPr>
    </w:p>
    <w:p>
      <w:pPr>
        <w:ind w:left="1060" w:hanging="431"/>
        <w:spacing w:after="0" w:line="298"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These 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59" w:lineRule="exact"/>
        <w:rPr>
          <w:rFonts w:ascii="Arial" w:cs="Arial" w:eastAsia="Arial" w:hAnsi="Arial"/>
          <w:sz w:val="16"/>
          <w:szCs w:val="16"/>
          <w:color w:val="auto"/>
        </w:rPr>
      </w:pPr>
    </w:p>
    <w:p>
      <w:pPr>
        <w:ind w:left="1060" w:right="60" w:hanging="431"/>
        <w:spacing w:after="0" w:line="256"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maturing loans that seek refinancing. </w:t>
      </w:r>
      <w:r>
        <w:rPr>
          <w:rFonts w:ascii="Arial" w:cs="Arial" w:eastAsia="Arial" w:hAnsi="Arial"/>
          <w:sz w:val="18"/>
          <w:szCs w:val="18"/>
          <w:color w:val="auto"/>
        </w:rPr>
        <w:t>A high volume of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the reduced supply of credit described above should increase lending opportunities for us. We believe this supply of opportunities coupled with lack of demand offers attractive risk-adjusted returns to investors.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117"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The senior professionals of our Investment Adviser have worked together for many years and average over 25 years of experience in mezzanine lending, leveraged finance, distressed debt and private equity businesses. These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187" w:lineRule="exact"/>
        <w:rPr>
          <w:sz w:val="20"/>
          <w:szCs w:val="20"/>
          <w:color w:val="auto"/>
        </w:rPr>
      </w:pPr>
    </w:p>
    <w:p>
      <w:pPr>
        <w:ind w:left="200" w:right="100" w:firstLine="443"/>
        <w:spacing w:after="0" w:line="259" w:lineRule="auto"/>
        <w:rPr>
          <w:sz w:val="20"/>
          <w:szCs w:val="20"/>
          <w:color w:val="auto"/>
        </w:rPr>
      </w:pPr>
      <w:r>
        <w:rPr>
          <w:rFonts w:ascii="Arial" w:cs="Arial" w:eastAsia="Arial" w:hAnsi="Arial"/>
          <w:sz w:val="18"/>
          <w:szCs w:val="18"/>
          <w:color w:val="auto"/>
        </w:rPr>
        <w:t>Lending to middle-market companies requires deep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and underwriting capabilities, and more extensive ongoing monitoring are required by the lender.</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117" w:lineRule="exact"/>
        <w:rPr>
          <w:sz w:val="20"/>
          <w:szCs w:val="20"/>
          <w:color w:val="auto"/>
        </w:rPr>
      </w:pPr>
    </w:p>
    <w:p>
      <w:pPr>
        <w:jc w:val="both"/>
        <w:ind w:left="200" w:right="60" w:firstLine="443"/>
        <w:spacing w:after="0" w:line="264" w:lineRule="auto"/>
        <w:rPr>
          <w:sz w:val="20"/>
          <w:szCs w:val="20"/>
          <w:color w:val="auto"/>
        </w:rPr>
      </w:pPr>
      <w:r>
        <w:rPr>
          <w:rFonts w:ascii="Arial" w:cs="Arial" w:eastAsia="Arial" w:hAnsi="Arial"/>
          <w:sz w:val="18"/>
          <w:szCs w:val="18"/>
          <w:color w:val="auto"/>
        </w:rPr>
        <w:t>We employ a disciplined approach in selecting investments that meet the long-standing, consistent value-oriented investment criteria employed by our Investment Adviser. Our value-oriented investment philosophy focuses on preserving capital and ensuring that our investments have an appropriate return profile in relation to</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72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9728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color w:val="auto"/>
        </w:rPr>
        <w:t>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47" w:lineRule="exact"/>
        <w:rPr>
          <w:sz w:val="20"/>
          <w:szCs w:val="20"/>
          <w:color w:val="auto"/>
        </w:rPr>
      </w:pPr>
    </w:p>
    <w:p>
      <w:pPr>
        <w:ind w:left="200" w:firstLine="443"/>
        <w:spacing w:after="0" w:line="279" w:lineRule="auto"/>
        <w:rPr>
          <w:sz w:val="20"/>
          <w:szCs w:val="20"/>
          <w:color w:val="auto"/>
        </w:rPr>
      </w:pPr>
      <w:r>
        <w:rPr>
          <w:rFonts w:ascii="Arial" w:cs="Arial" w:eastAsia="Arial" w:hAnsi="Arial"/>
          <w:sz w:val="17"/>
          <w:szCs w:val="17"/>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in the accompanying prospectus for more information.</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131" w:lineRule="exact"/>
        <w:rPr>
          <w:sz w:val="20"/>
          <w:szCs w:val="20"/>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333"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7"/>
          <w:szCs w:val="17"/>
          <w:b w:val="1"/>
          <w:bCs w:val="1"/>
          <w:i w:val="1"/>
          <w:iCs w:val="1"/>
          <w:color w:val="auto"/>
        </w:rPr>
        <w:t>c. Ability to Source and Evaluate Transactions through our Investment Adviser’s Research Capability and Established Network</w:t>
      </w:r>
    </w:p>
    <w:p>
      <w:pPr>
        <w:spacing w:after="0" w:line="12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6"/>
          <w:szCs w:val="16"/>
          <w:color w:val="auto"/>
        </w:rPr>
        <w:t>The management team of the Investment Adviser has long-term relationships with financial sponsors, management consultants and management</w:t>
      </w:r>
    </w:p>
    <w:p>
      <w:pPr>
        <w:spacing w:after="0" w:line="46" w:lineRule="exact"/>
        <w:rPr>
          <w:sz w:val="20"/>
          <w:szCs w:val="20"/>
          <w:color w:val="auto"/>
        </w:rPr>
      </w:pPr>
    </w:p>
    <w:p>
      <w:pPr>
        <w:ind w:left="200" w:right="40"/>
        <w:spacing w:after="0" w:line="254" w:lineRule="auto"/>
        <w:rPr>
          <w:sz w:val="20"/>
          <w:szCs w:val="20"/>
          <w:color w:val="auto"/>
        </w:rPr>
      </w:pPr>
      <w:r>
        <w:rPr>
          <w:rFonts w:ascii="Arial" w:cs="Arial" w:eastAsia="Arial" w:hAnsi="Arial"/>
          <w:sz w:val="18"/>
          <w:szCs w:val="18"/>
          <w:color w:val="auto"/>
        </w:rPr>
        <w:t>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29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117"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81" w:lineRule="exact"/>
        <w:rPr>
          <w:sz w:val="20"/>
          <w:szCs w:val="20"/>
          <w:color w:val="auto"/>
        </w:rPr>
      </w:pPr>
    </w:p>
    <w:p>
      <w:pPr>
        <w:ind w:left="200" w:right="520" w:firstLine="443"/>
        <w:spacing w:after="0" w:line="277"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70" w:lineRule="exact"/>
        <w:rPr>
          <w:sz w:val="20"/>
          <w:szCs w:val="20"/>
          <w:color w:val="auto"/>
        </w:rPr>
      </w:pPr>
    </w:p>
    <w:p>
      <w:pPr>
        <w:ind w:left="200" w:right="20" w:firstLine="443"/>
        <w:spacing w:after="0" w:line="277"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140" w:firstLine="443"/>
        <w:spacing w:after="0" w:line="277" w:lineRule="auto"/>
        <w:rPr>
          <w:sz w:val="20"/>
          <w:szCs w:val="20"/>
          <w:color w:val="auto"/>
        </w:rPr>
      </w:pPr>
      <w:r>
        <w:rPr>
          <w:rFonts w:ascii="Arial" w:cs="Arial" w:eastAsia="Arial" w:hAnsi="Arial"/>
          <w:sz w:val="18"/>
          <w:szCs w:val="18"/>
          <w:color w:val="auto"/>
        </w:rPr>
        <w:t>Our primary competitors provide financing to middle-market companies and include other BDCs, commercial and investment banks, commercial finance companies, CLO funds and, to the extent they provide an</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We believe this has resulted in a less competitive environment for making new investments.</w:t>
      </w:r>
    </w:p>
    <w:p>
      <w:pPr>
        <w:spacing w:after="0" w:line="187"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in the accompanying prospectus for more information.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121" w:lineRule="exact"/>
        <w:rPr>
          <w:sz w:val="20"/>
          <w:szCs w:val="20"/>
          <w:color w:val="auto"/>
        </w:rPr>
      </w:pPr>
    </w:p>
    <w:p>
      <w:pPr>
        <w:ind w:left="200" w:right="140" w:firstLine="443"/>
        <w:spacing w:after="0" w:line="271" w:lineRule="auto"/>
        <w:rPr>
          <w:sz w:val="20"/>
          <w:szCs w:val="20"/>
          <w:color w:val="auto"/>
        </w:rPr>
      </w:pPr>
      <w:r>
        <w:rPr>
          <w:rFonts w:ascii="Arial" w:cs="Arial" w:eastAsia="Arial" w:hAnsi="Arial"/>
          <w:sz w:val="17"/>
          <w:szCs w:val="17"/>
          <w:color w:val="auto"/>
        </w:rPr>
        <w:t>We maintain a multi-currency $545.0 million Credit Facility which matures in June 2019 and is secured by substantially all of our investment portfolio assets (excluding the assets of our SBIC Funds), under which we had $255.9 million and $145.5 million (including a $28.0 million temporary draw) in outstanding borrowings with a weighted average interest rate of 2.52% and 3.33% as of June 30, 2014 and September 30, 2013, respectively. Pricing of borrowings under our Credit Facility was set at 225 basis points over the London Interbank Offered Rate, or LIBOR, as of June 30, 2014 and at 275 basis points over LIBOR as of September 30, 2013. As of June 30, 2014 and September 30, 2013, we had $289.1 million and $284.5 million, respectively, available to us under our Credit Facility. We believe that our capital resources will provide us with the flexibility to take advantage of market opportunities when they arise. Our use of leverage, as calculated under the asset coverage requirements of the 1940 Act, may generally range between 60% to 80% of our net assets.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June 30, 2014 and September 30, 2013, our SBIC Funds had $225.0 million and $150.0 million in debt commitments, respectively,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$150.0 million was drawn for each period, with a weighted average interest rate of 3.70%. As of June 30, 2014 and September 30, 2013, we had $75.0</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million and no remaining borrowing capacity, respectively, under our SBIC debt commitments. SBA debentures offer competitive terms such as being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non-recourse to us, semi-annual interest payments, not requiring principal payments prior to maturity and may be prepaid at any time without penalty.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SBA debentures are secured by all the investment portfolio assets of SBIC LP and have a priority claim over such assets. See “Regulation” in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accompanying prospectus for more information.</w:t>
      </w:r>
    </w:p>
    <w:p>
      <w:pPr>
        <w:spacing w:after="0" w:line="211" w:lineRule="exact"/>
        <w:rPr>
          <w:sz w:val="20"/>
          <w:szCs w:val="20"/>
          <w:color w:val="auto"/>
        </w:rPr>
      </w:pPr>
    </w:p>
    <w:p>
      <w:pPr>
        <w:ind w:left="200" w:right="340" w:firstLine="443"/>
        <w:spacing w:after="0" w:line="276" w:lineRule="auto"/>
        <w:rPr>
          <w:sz w:val="20"/>
          <w:szCs w:val="20"/>
          <w:color w:val="auto"/>
        </w:rPr>
      </w:pPr>
      <w:r>
        <w:rPr>
          <w:rFonts w:ascii="Arial" w:cs="Arial" w:eastAsia="Arial" w:hAnsi="Arial"/>
          <w:sz w:val="17"/>
          <w:szCs w:val="17"/>
          <w:color w:val="auto"/>
        </w:rPr>
        <w:t>As of June 30, 2014 and September 30, 2013, we had $71.3 million in aggregate principal amount of 2025 Notes. Interest on the 2025 Notes is paid quarterly on 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173" w:lineRule="exact"/>
        <w:rPr>
          <w:sz w:val="20"/>
          <w:szCs w:val="20"/>
          <w:color w:val="auto"/>
        </w:rPr>
      </w:pPr>
    </w:p>
    <w:p>
      <w:pPr>
        <w:ind w:left="200" w:right="700" w:firstLine="443"/>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Operations—Liquidity and Capital Resources” in this prospectus supplement and in the accompanying prospectus for more information.</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0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200" w:right="20" w:firstLine="443"/>
        <w:spacing w:after="0" w:line="302" w:lineRule="auto"/>
        <w:rPr>
          <w:sz w:val="20"/>
          <w:szCs w:val="20"/>
          <w:color w:val="auto"/>
        </w:rPr>
      </w:pPr>
      <w:r>
        <w:rPr>
          <w:rFonts w:ascii="Arial" w:cs="Arial" w:eastAsia="Arial" w:hAnsi="Arial"/>
          <w:sz w:val="16"/>
          <w:szCs w:val="16"/>
          <w:color w:val="auto"/>
        </w:rPr>
        <w:t>Our investment activities are managed by PennantPark Investment Advisers and are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in the accompanying prospectus for more information.</w:t>
      </w:r>
    </w:p>
    <w:p>
      <w:pPr>
        <w:spacing w:after="0" w:line="154" w:lineRule="exact"/>
        <w:rPr>
          <w:sz w:val="20"/>
          <w:szCs w:val="20"/>
          <w:color w:val="auto"/>
        </w:rPr>
      </w:pPr>
    </w:p>
    <w:p>
      <w:pPr>
        <w:ind w:left="200" w:right="300" w:firstLine="443"/>
        <w:spacing w:after="0" w:line="257"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 Administration Agreement” in the accompanying prospectus for more information.</w:t>
      </w:r>
    </w:p>
    <w:p>
      <w:pPr>
        <w:spacing w:after="0" w:line="188"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As a BDC, we are required to comply with certain regulatory requirements. Also, while we are permitted to finance investments using debt, our ability to use debt is limited in certain significant respects. See “Regulation” in the accompanying prospectus for more information. We have elected, and intend to qualify annually, to be treated for federal income tax purposes under the Code as a RIC. See “Material U.S. Federal Income Tax Considerations” in the accompanying prospectus for more information.</w:t>
      </w:r>
    </w:p>
    <w:p>
      <w:pPr>
        <w:spacing w:after="0" w:line="187" w:lineRule="exact"/>
        <w:rPr>
          <w:sz w:val="20"/>
          <w:szCs w:val="20"/>
          <w:color w:val="auto"/>
        </w:rPr>
      </w:pPr>
    </w:p>
    <w:p>
      <w:pPr>
        <w:ind w:left="200" w:right="140" w:firstLine="443"/>
        <w:spacing w:after="0" w:line="286" w:lineRule="auto"/>
        <w:rPr>
          <w:sz w:val="20"/>
          <w:szCs w:val="20"/>
          <w:color w:val="auto"/>
        </w:rPr>
      </w:pPr>
      <w:r>
        <w:rPr>
          <w:rFonts w:ascii="Arial" w:cs="Arial" w:eastAsia="Arial" w:hAnsi="Arial"/>
          <w:sz w:val="17"/>
          <w:szCs w:val="17"/>
          <w:color w:val="auto"/>
        </w:rPr>
        <w:t>Our wholly-owned SBIC Funds received licenses from the SBA to operate as SBICs under Section 301(c) of the 1958 Act and is regulated by the SBA. The SBA regulates, among other matters, investing activities and periodically examines our SBIC Funds operations. We serve as the investment adviser and administrator to our SBIC Funds. See “Regulation” in the accompanying prospectus for more information.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200" w:right="140" w:firstLine="443"/>
        <w:spacing w:after="0" w:line="279" w:lineRule="auto"/>
        <w:rPr>
          <w:sz w:val="20"/>
          <w:szCs w:val="20"/>
          <w:color w:val="auto"/>
        </w:rPr>
      </w:pPr>
      <w:r>
        <w:rPr>
          <w:rFonts w:ascii="Arial" w:cs="Arial" w:eastAsia="Arial" w:hAnsi="Arial"/>
          <w:sz w:val="17"/>
          <w:szCs w:val="17"/>
          <w:color w:val="auto"/>
        </w:rPr>
        <w:t>We may use the net proceeds from selling securities pursuant to this prospectus supplement to reduce outstanding obligations under our Credit Facility, to invest in new or existing portfolio companies, or for other general corporate or strategic purposes. See “Use of Proceeds” in this prospectus supplement for information regarding our outstanding borrowings as of June 30, 2014, the corresponding interest rate charged on such borrowings as of that date and the length of time that it may take us to invest any proceeds in new or existing portfolio companies.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Since June 30, 2014 through August 31, 2014, we invested $217.6 million in three new and eight existing portfolio companies with a weighted average yield on debt investments of 13.2%. Sales and repayments of investments for the same period totaled $35.9 million. As of August 31, 2014, there was $452.2 million in outstanding borrowings under our Credit Facility.</w:t>
      </w:r>
    </w:p>
    <w:p>
      <w:pPr>
        <w:spacing w:after="0" w:line="181" w:lineRule="exact"/>
        <w:rPr>
          <w:sz w:val="20"/>
          <w:szCs w:val="20"/>
          <w:color w:val="auto"/>
        </w:rPr>
      </w:pPr>
    </w:p>
    <w:p>
      <w:pPr>
        <w:ind w:left="200" w:right="40" w:firstLine="443"/>
        <w:spacing w:after="0" w:line="312" w:lineRule="auto"/>
        <w:rPr>
          <w:sz w:val="20"/>
          <w:szCs w:val="20"/>
          <w:color w:val="auto"/>
        </w:rPr>
      </w:pPr>
      <w:r>
        <w:rPr>
          <w:rFonts w:ascii="Arial" w:cs="Arial" w:eastAsia="Arial" w:hAnsi="Arial"/>
          <w:sz w:val="16"/>
          <w:szCs w:val="16"/>
          <w:color w:val="auto"/>
        </w:rPr>
        <w:t>On September 3, 2014, we announced that we have asked J.P. Morgan, Morgan Stanley, Goldman, Sachs &amp; Co. and SunTrust Robinson Humphrey to organize a series of fixed income investor meetings from September 8, 2014 through September 10, 2014. A debt capital markets transaction may follow, subject to market conditions. We cannot assure you of the timing of such a debt capital markets transaction, or that such a transaction will occur.</w:t>
      </w: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420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44208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of Common Stock Below NAV</w:t>
      </w:r>
    </w:p>
    <w:p>
      <w:pPr>
        <w:spacing w:after="0" w:line="121" w:lineRule="exact"/>
        <w:rPr>
          <w:sz w:val="20"/>
          <w:szCs w:val="20"/>
          <w:color w:val="auto"/>
        </w:rPr>
      </w:pPr>
    </w:p>
    <w:p>
      <w:pPr>
        <w:ind w:left="200" w:firstLine="443"/>
        <w:spacing w:after="0" w:line="276" w:lineRule="auto"/>
        <w:rPr>
          <w:sz w:val="20"/>
          <w:szCs w:val="20"/>
          <w:color w:val="auto"/>
        </w:rPr>
      </w:pPr>
      <w:r>
        <w:rPr>
          <w:rFonts w:ascii="Arial" w:cs="Arial" w:eastAsia="Arial" w:hAnsi="Arial"/>
          <w:sz w:val="17"/>
          <w:szCs w:val="17"/>
          <w:color w:val="auto"/>
        </w:rPr>
        <w:t>We may offer and have in the past offered shares of our common stock at a discount from our most recently determined NAV per share pursuant to authority granted by our stockholders on February 4, 2014. Our board of directors has in the past determined that it would be in our and our stockholders’ best interests to issue shares of our common stock below NAV. See “Risk Factors” on page 8 of the accompanying prospectus, “Management’s Discussion and Analysis—Update to Determination of NAV—Determinations In Connection With Offerings” in this prospectus supplement and “Sales of Common Stock Below Net Asset Value” on page 57 of the accompanying prospectus.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200" w:right="80" w:firstLine="443"/>
        <w:spacing w:after="0" w:line="277" w:lineRule="auto"/>
        <w:rPr>
          <w:sz w:val="20"/>
          <w:szCs w:val="20"/>
          <w:color w:val="auto"/>
        </w:rPr>
      </w:pPr>
      <w:r>
        <w:rPr>
          <w:rFonts w:ascii="Arial" w:cs="Arial" w:eastAsia="Arial" w:hAnsi="Arial"/>
          <w:sz w:val="18"/>
          <w:szCs w:val="18"/>
          <w:color w:val="auto"/>
        </w:rPr>
        <w:t>We intend to continue making quarterly distributions to our common stockholders. Our quarterly distributions, if any, are determined by our board of directors. See “Distributions” in the accompanying prospectus for more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121" w:lineRule="exact"/>
        <w:rPr>
          <w:sz w:val="20"/>
          <w:szCs w:val="20"/>
          <w:color w:val="auto"/>
        </w:rPr>
      </w:pPr>
    </w:p>
    <w:p>
      <w:pPr>
        <w:ind w:left="200" w:right="40" w:firstLine="443"/>
        <w:spacing w:after="0" w:line="276" w:lineRule="auto"/>
        <w:rPr>
          <w:sz w:val="20"/>
          <w:szCs w:val="20"/>
          <w:color w:val="auto"/>
        </w:rPr>
      </w:pPr>
      <w:r>
        <w:rPr>
          <w:rFonts w:ascii="Arial" w:cs="Arial" w:eastAsia="Arial" w:hAnsi="Arial"/>
          <w:sz w:val="17"/>
          <w:szCs w:val="17"/>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Registered stockholders must notify our transfer agent in writing if they wish to ‘opt-out’ of the dividend reinvestment plan. See “Dividend Reinvestment Plan” in the accompanying prospectus for more information.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200" w:right="80" w:firstLine="443"/>
        <w:spacing w:after="0" w:line="290" w:lineRule="auto"/>
        <w:rPr>
          <w:sz w:val="20"/>
          <w:szCs w:val="20"/>
          <w:color w:val="auto"/>
        </w:rPr>
      </w:pPr>
      <w:r>
        <w:rPr>
          <w:rFonts w:ascii="Arial" w:cs="Arial" w:eastAsia="Arial" w:hAnsi="Arial"/>
          <w:sz w:val="16"/>
          <w:szCs w:val="16"/>
          <w:color w:val="auto"/>
        </w:rPr>
        <w:t xml:space="preserve">Our administrative and principal executive offices are located at 590 Madison Avenue, 15th Floor, New York, NY 10022. Our common stock is quoted on the NASDAQ Global Select Market under the symbol “PNNT.”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Information contained on our website is not incorporated by reference into this prospectus supplement or the accompanying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prospectus, and you should not consider information contained on our website to be part of this prospectus supplement or accompanying prospectus.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material that we file with the SEC on the EDGAR Database.</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Arial" w:cs="Arial" w:eastAsia="Arial" w:hAnsi="Arial"/>
                <w:sz w:val="18"/>
                <w:szCs w:val="18"/>
                <w:color w:val="auto"/>
              </w:rPr>
              <w:t>Sales load</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w w:val="97"/>
              </w:rPr>
              <w:t>3.00%</w:t>
            </w:r>
            <w:r>
              <w:rPr>
                <w:rFonts w:ascii="Arial" w:cs="Arial" w:eastAsia="Arial" w:hAnsi="Arial"/>
                <w:sz w:val="15"/>
                <w:szCs w:val="15"/>
                <w:color w:val="auto"/>
                <w:w w:val="97"/>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0.39%</w:t>
            </w:r>
            <w:r>
              <w:rPr>
                <w:rFonts w:ascii="Arial" w:cs="Arial" w:eastAsia="Arial" w:hAnsi="Arial"/>
                <w:sz w:val="15"/>
                <w:szCs w:val="15"/>
                <w:color w:val="auto"/>
                <w:w w:val="97"/>
              </w:rPr>
              <w:t>(2)</w:t>
            </w:r>
          </w:p>
        </w:tc>
        <w:tc>
          <w:tcPr>
            <w:tcW w:w="0" w:type="dxa"/>
            <w:vAlign w:val="bottom"/>
          </w:tcPr>
          <w:p>
            <w:pPr>
              <w:spacing w:after="0"/>
              <w:rPr>
                <w:sz w:val="1"/>
                <w:szCs w:val="1"/>
                <w:color w:val="auto"/>
              </w:rPr>
            </w:pPr>
          </w:p>
        </w:tc>
      </w:tr>
      <w:tr>
        <w:trPr>
          <w:trHeight w:val="20"/>
        </w:trPr>
        <w:tc>
          <w:tcPr>
            <w:tcW w:w="10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stockholder expenses</w:t>
            </w: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660" w:type="dxa"/>
            <w:vAlign w:val="bottom"/>
            <w:gridSpan w:val="2"/>
            <w:vMerge w:val="continue"/>
          </w:tcPr>
          <w:p>
            <w:pPr>
              <w:spacing w:after="0"/>
              <w:rPr>
                <w:sz w:val="19"/>
                <w:szCs w:val="19"/>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0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5"/>
                <w:szCs w:val="15"/>
                <w:color w:val="auto"/>
              </w:rPr>
              <w:t>(3)</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Arial" w:cs="Arial" w:eastAsia="Arial" w:hAnsi="Arial"/>
                <w:sz w:val="18"/>
                <w:szCs w:val="18"/>
                <w:color w:val="auto"/>
              </w:rPr>
              <w:t>Management fees</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w w:val="97"/>
              </w:rPr>
              <w:t>3.04%</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2.67%</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w w:val="97"/>
              </w:rPr>
              <w:t>2.98%</w:t>
            </w:r>
            <w:r>
              <w:rPr>
                <w:rFonts w:ascii="Arial" w:cs="Arial" w:eastAsia="Arial" w:hAnsi="Arial"/>
                <w:sz w:val="15"/>
                <w:szCs w:val="15"/>
                <w:color w:val="auto"/>
                <w:w w:val="97"/>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0.94%</w:t>
            </w:r>
            <w:r>
              <w:rPr>
                <w:rFonts w:ascii="Arial" w:cs="Arial" w:eastAsia="Arial" w:hAnsi="Arial"/>
                <w:sz w:val="15"/>
                <w:szCs w:val="15"/>
                <w:color w:val="auto"/>
                <w:w w:val="97"/>
              </w:rPr>
              <w:t>(7)</w:t>
            </w:r>
          </w:p>
        </w:tc>
        <w:tc>
          <w:tcPr>
            <w:tcW w:w="0" w:type="dxa"/>
            <w:vAlign w:val="bottom"/>
          </w:tcPr>
          <w:p>
            <w:pPr>
              <w:spacing w:after="0"/>
              <w:rPr>
                <w:sz w:val="1"/>
                <w:szCs w:val="1"/>
                <w:color w:val="auto"/>
              </w:rPr>
            </w:pPr>
          </w:p>
        </w:tc>
      </w:tr>
      <w:tr>
        <w:trPr>
          <w:trHeight w:val="20"/>
        </w:trPr>
        <w:tc>
          <w:tcPr>
            <w:tcW w:w="10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660" w:type="dxa"/>
            <w:vAlign w:val="bottom"/>
            <w:gridSpan w:val="2"/>
            <w:vMerge w:val="continue"/>
          </w:tcPr>
          <w:p>
            <w:pPr>
              <w:spacing w:after="0"/>
              <w:rPr>
                <w:sz w:val="19"/>
                <w:szCs w:val="19"/>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w w:val="97"/>
              </w:rPr>
              <w:t>9.63%</w:t>
            </w:r>
            <w:r>
              <w:rPr>
                <w:rFonts w:ascii="Arial" w:cs="Arial" w:eastAsia="Arial" w:hAnsi="Arial"/>
                <w:sz w:val="15"/>
                <w:szCs w:val="15"/>
                <w:color w:val="auto"/>
                <w:w w:val="97"/>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right="480" w:hanging="452"/>
        <w:spacing w:after="0" w:line="25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underwriting discounts and commissions with respect to the shares sold in this offering, which is a one-time fee, is the only sales load paid in connection with this offering.</w:t>
      </w:r>
    </w:p>
    <w:p>
      <w:pPr>
        <w:spacing w:after="0" w:line="1"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reflects the estimated offering costs of $500,000 and is based on the offering of 11,000,000 shares in this offering at the last reported closing price of $11.80 per share of our common stock on September 3, 2014.</w:t>
      </w:r>
    </w:p>
    <w:p>
      <w:pPr>
        <w:ind w:left="460" w:right="5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June 30, 2014, plus net proceeds from the anticipated proceeds from this offering.</w:t>
      </w:r>
    </w:p>
    <w:p>
      <w:pPr>
        <w:ind w:left="460" w:right="4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 in the accompanying prospectus for more information.</w:t>
      </w:r>
    </w:p>
    <w:p>
      <w:pPr>
        <w:ind w:left="460" w:right="20" w:hanging="452"/>
        <w:spacing w:after="0" w:line="265"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portion of incentive fees paid with respect to net investment income is based on actual amounts incurred and payable during the three months ended June 30, 2014,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months ended June 30, 2014, our unrealized capital gains exceeded our cumulative realized and unrealized capital losses and we accrued a capital gains incentive fee of $1.7 million in accordance with U.S. generally accepted accounting principles, or GAAP, which are not payable to the Investment Adviser. As we cannot predict our future net investment income or capital gains, the incentive fee paid in future years, if any, may be substantially different than the fee earned during the three months ended June 30, 2014. See “Certain Relationships and Transactions—Investment Management Agreement” in the accompanying prospectus for more information.</w:t>
      </w:r>
    </w:p>
    <w:p>
      <w:pPr>
        <w:spacing w:after="0" w:line="2" w:lineRule="exact"/>
        <w:rPr>
          <w:rFonts w:ascii="Arial" w:cs="Arial" w:eastAsia="Arial" w:hAnsi="Arial"/>
          <w:sz w:val="17"/>
          <w:szCs w:val="17"/>
          <w:color w:val="auto"/>
        </w:rPr>
      </w:pPr>
    </w:p>
    <w:p>
      <w:pPr>
        <w:ind w:left="460" w:right="140" w:hanging="452"/>
        <w:spacing w:after="0" w:line="25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June 30, 2014, we had $289.1 million unused borrowing capacity, subject to maintenance of the applicable total assets to debt ratio, under the 1940 Act, and $255.9 million in borrowings outstanding under our $545.0 million Credit Facility and had $71.3 million in aggregate principal of 2025 Notes at an annual interest rate of 6.25%. As of June 30, 2014, our SBIC Funds had a debenture commitments from the SBA in the amount of $225.0 million, had $150.0 million outstanding with a weighted average interest rate of</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80"/>
        <w:spacing w:after="0" w:line="252" w:lineRule="auto"/>
        <w:rPr>
          <w:sz w:val="20"/>
          <w:szCs w:val="20"/>
          <w:color w:val="auto"/>
        </w:rPr>
      </w:pPr>
      <w:r>
        <w:rPr>
          <w:rFonts w:ascii="Arial" w:cs="Arial" w:eastAsia="Arial" w:hAnsi="Arial"/>
          <w:sz w:val="18"/>
          <w:szCs w:val="18"/>
          <w:color w:val="auto"/>
        </w:rPr>
        <w:t>3.70%, exclusive of the 3.43% of upfront fees, and had $75.0 million remaining unused borrowing capacity subject to customary regulatory requirements. We may use the net proceeds of an offering of securities under this prospectus supplement to repay outstanding obligations under our Credit Facility. After completing this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in the accompanying prospectus.</w:t>
      </w:r>
    </w:p>
    <w:p>
      <w:pPr>
        <w:spacing w:after="0" w:line="6" w:lineRule="exact"/>
        <w:rPr>
          <w:sz w:val="20"/>
          <w:szCs w:val="20"/>
          <w:color w:val="auto"/>
        </w:rPr>
      </w:pPr>
    </w:p>
    <w:p>
      <w:pPr>
        <w:ind w:left="460" w:right="8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June 30, 2014 annualized for a full year. See the Consolidated Statement of Operations in our Consolidated Financial Statements in this prospectus supplement and in the accompanying prospectus for more information.</w:t>
      </w:r>
    </w:p>
    <w:p>
      <w:pPr>
        <w:spacing w:after="0" w:line="2" w:lineRule="exact"/>
        <w:rPr>
          <w:rFonts w:ascii="Arial" w:cs="Arial" w:eastAsia="Arial" w:hAnsi="Arial"/>
          <w:sz w:val="18"/>
          <w:szCs w:val="18"/>
          <w:color w:val="auto"/>
        </w:rPr>
      </w:pPr>
    </w:p>
    <w:p>
      <w:pPr>
        <w:ind w:left="460" w:right="20" w:hanging="452"/>
        <w:spacing w:after="0" w:line="295"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“Total annual expenses” as a percentage of average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total assets, which include assets that have been funded with borrowed money.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(see note 1 above) and including offering expenses totaling 0.39%, (2) total net estimated annual expenses of 6.96% of average net assets attributable to common shares as set forth in the table above (other than performance-based incentive fees) and (3) a 5% annual return: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xml:space="preserve">You would pay the following expenses on a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1,000 common stock investment</w:t>
            </w:r>
          </w:p>
        </w:tc>
        <w:tc>
          <w:tcPr>
            <w:tcW w:w="32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1 Year</w:t>
            </w:r>
          </w:p>
        </w:tc>
        <w:tc>
          <w:tcPr>
            <w:tcW w:w="5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3 Years</w:t>
            </w:r>
          </w:p>
        </w:tc>
        <w:tc>
          <w:tcPr>
            <w:tcW w:w="2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5 Years</w:t>
            </w:r>
          </w:p>
        </w:tc>
        <w:tc>
          <w:tcPr>
            <w:tcW w:w="5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10 Years</w:t>
            </w:r>
          </w:p>
        </w:tc>
        <w:tc>
          <w:tcPr>
            <w:tcW w:w="40" w:type="dxa"/>
            <w:vAlign w:val="bottom"/>
            <w:tcBorders>
              <w:bottom w:val="single" w:sz="8" w:color="CCEEFF"/>
            </w:tcBorders>
          </w:tcPr>
          <w:p>
            <w:pPr>
              <w:spacing w:after="0"/>
              <w:rPr>
                <w:sz w:val="16"/>
                <w:szCs w:val="16"/>
                <w:color w:val="auto"/>
              </w:rPr>
            </w:pPr>
          </w:p>
        </w:tc>
      </w:tr>
      <w:tr>
        <w:trPr>
          <w:trHeight w:val="142"/>
        </w:trPr>
        <w:tc>
          <w:tcPr>
            <w:tcW w:w="79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Assuming a 5% annual return (assumes no return from net realized capital gains or net unrealized capital appreciation)</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230</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354</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644</w:t>
            </w:r>
          </w:p>
        </w:tc>
        <w:tc>
          <w:tcPr>
            <w:tcW w:w="40" w:type="dxa"/>
            <w:vAlign w:val="bottom"/>
            <w:shd w:val="clear" w:color="auto" w:fill="CCEEFF"/>
          </w:tcPr>
          <w:p>
            <w:pPr>
              <w:spacing w:after="0"/>
              <w:rPr>
                <w:sz w:val="12"/>
                <w:szCs w:val="12"/>
                <w:color w:val="auto"/>
              </w:rPr>
            </w:pPr>
          </w:p>
        </w:tc>
      </w:tr>
      <w:tr>
        <w:trPr>
          <w:trHeight w:val="182"/>
        </w:trPr>
        <w:tc>
          <w:tcPr>
            <w:tcW w:w="7920" w:type="dxa"/>
            <w:vAlign w:val="bottom"/>
            <w:gridSpan w:val="2"/>
          </w:tcPr>
          <w:p>
            <w:pPr>
              <w:spacing w:after="0"/>
              <w:rPr>
                <w:sz w:val="20"/>
                <w:szCs w:val="20"/>
                <w:color w:val="auto"/>
              </w:rPr>
            </w:pPr>
            <w:r>
              <w:rPr>
                <w:rFonts w:ascii="Arial" w:cs="Arial" w:eastAsia="Arial" w:hAnsi="Arial"/>
                <w:sz w:val="14"/>
                <w:szCs w:val="14"/>
                <w:color w:val="auto"/>
                <w:w w:val="98"/>
              </w:rPr>
              <w:t>Assuming a 5% annual return (assumes return from only realized capital gains and thus subject to the capital gains incentive fee)</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500"/>
              <w:spacing w:after="0"/>
              <w:rPr>
                <w:sz w:val="20"/>
                <w:szCs w:val="20"/>
                <w:color w:val="auto"/>
              </w:rPr>
            </w:pPr>
            <w:r>
              <w:rPr>
                <w:rFonts w:ascii="Arial" w:cs="Arial" w:eastAsia="Arial" w:hAnsi="Arial"/>
                <w:sz w:val="14"/>
                <w:szCs w:val="14"/>
                <w:color w:val="auto"/>
              </w:rPr>
              <w:t>110</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4"/>
                <w:szCs w:val="14"/>
                <w:color w:val="auto"/>
              </w:rPr>
              <w:t>255</w:t>
            </w:r>
          </w:p>
        </w:tc>
        <w:tc>
          <w:tcPr>
            <w:tcW w:w="4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391</w:t>
            </w:r>
          </w:p>
        </w:tc>
        <w:tc>
          <w:tcPr>
            <w:tcW w:w="56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698</w:t>
            </w:r>
          </w:p>
        </w:tc>
        <w:tc>
          <w:tcPr>
            <w:tcW w:w="40" w:type="dxa"/>
            <w:vAlign w:val="bottom"/>
          </w:tcPr>
          <w:p>
            <w:pPr>
              <w:spacing w:after="0"/>
              <w:rPr>
                <w:sz w:val="15"/>
                <w:szCs w:val="15"/>
                <w:color w:val="auto"/>
              </w:rPr>
            </w:pPr>
          </w:p>
        </w:tc>
      </w:tr>
    </w:tbl>
    <w:p>
      <w:pPr>
        <w:spacing w:after="0" w:line="16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This example and the expenses in the table above should not be considered a representation of our future expenses. Actual expenses may be greater or less than those assumed. The table above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NAV. Depending upon the market value of our common stock, reinvestment of dividends and distributions under our dividend reinvestment plan may occur at a price per share that differs from, and which could be lower than, NAV. See “Distributions” and additional information regarding our dividend reinvestment plan in the accompanying prospectus for more information.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Before you invest in our common stock, you should be aware of various risks, including those described below. You should carefully consider these risk factors and the risk factors beginning on page 8 of the accompanying prospectus, together with all of the other information included in this prospectus supplement and the accompanying prospectus, before you decide whether to make an investment in our common stock.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and 2025 Notes, or any securities we may issue, may decline.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Regulations governing our operation as a business development company will affect our ability to, and the way in which we, raise additional capital.</w:t>
      </w:r>
    </w:p>
    <w:p>
      <w:pPr>
        <w:spacing w:after="0" w:line="14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or through SBA debentures. However, we may not be able to raise additional capital in the future on favorable terms or at all. We may issue additional debt securities or preferred securities, which we refer to collectively as “senior securities,” and we may borrow money from banks, through the SBA debenture program or other financial institutions, up to the maximum amount permitted by the 1940 Act. The 1940 Act permits us to issue senior securities or incur indebtedness only in amounts permissible under the asset coverage definition in the 1940 Act, exclusive of the SBA debentures pursuant to our SEC exemptive relief. Our ability to pay distributions or issue additional senior securities would be restricted if our asset coverage requirements were not met.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72" w:lineRule="exact"/>
        <w:rPr>
          <w:sz w:val="20"/>
          <w:szCs w:val="20"/>
          <w:color w:val="auto"/>
        </w:rPr>
      </w:pPr>
    </w:p>
    <w:p>
      <w:pPr>
        <w:ind w:left="900" w:hanging="325"/>
        <w:spacing w:after="0" w:line="273"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Senior Securities. </w:t>
      </w:r>
      <w:r>
        <w:rPr>
          <w:rFonts w:ascii="Arial" w:cs="Arial" w:eastAsia="Arial" w:hAnsi="Arial"/>
          <w:sz w:val="17"/>
          <w:szCs w:val="17"/>
          <w:color w:val="auto"/>
        </w:rPr>
        <w:t>As a result of issuing senior securities, we are exposed to typical risks associated with leverage, including an increased risk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83" w:lineRule="exact"/>
        <w:rPr>
          <w:rFonts w:ascii="Arial" w:cs="Arial" w:eastAsia="Arial" w:hAnsi="Arial"/>
          <w:sz w:val="17"/>
          <w:szCs w:val="17"/>
          <w:color w:val="auto"/>
        </w:rPr>
      </w:pPr>
    </w:p>
    <w:p>
      <w:pPr>
        <w:ind w:left="900" w:right="60" w:hanging="325"/>
        <w:spacing w:after="0" w:line="288"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securities. As a BDC, we 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Such procedures may yield a NAV that is less precise than the NAV determined at the end of each quarter. See “Determination of Net Asset Value” in the accompanying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71" w:lineRule="auto"/>
        <w:rPr>
          <w:sz w:val="20"/>
          <w:szCs w:val="20"/>
          <w:color w:val="auto"/>
        </w:rPr>
      </w:pPr>
      <w:r>
        <w:rPr>
          <w:rFonts w:ascii="Arial" w:cs="Arial" w:eastAsia="Arial" w:hAnsi="Arial"/>
          <w:sz w:val="17"/>
          <w:szCs w:val="17"/>
          <w:color w:val="auto"/>
        </w:rPr>
        <w:t>prospectus.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we note that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84" w:lineRule="exact"/>
        <w:rPr>
          <w:sz w:val="20"/>
          <w:szCs w:val="20"/>
          <w:color w:val="auto"/>
        </w:rPr>
      </w:pPr>
    </w:p>
    <w:p>
      <w:pPr>
        <w:ind w:left="900" w:right="20" w:hanging="325"/>
        <w:spacing w:after="0" w:line="285"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permit,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80" w:lineRule="exact"/>
        <w:rPr>
          <w:rFonts w:ascii="Arial" w:cs="Arial" w:eastAsia="Arial" w:hAnsi="Arial"/>
          <w:sz w:val="16"/>
          <w:szCs w:val="16"/>
          <w:color w:val="auto"/>
        </w:rPr>
      </w:pPr>
    </w:p>
    <w:p>
      <w:pPr>
        <w:ind w:left="900" w:right="40" w:hanging="325"/>
        <w:spacing w:after="0" w:line="25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SBA Debentures. </w:t>
      </w:r>
      <w:r>
        <w:rPr>
          <w:rFonts w:ascii="Arial" w:cs="Arial" w:eastAsia="Arial" w:hAnsi="Arial"/>
          <w:sz w:val="18"/>
          <w:szCs w:val="18"/>
          <w:color w:val="auto"/>
        </w:rPr>
        <w:t>In addition to issuing securities and using securitizations to raise capital as described above, we have issued and may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issue, as permitted under SBA regulations and through our wholly owned subsidiaries, SBIC LP, SBIC II and any future SBIC subsidiary, SBA debentures to generate cash for funding new investments. To issue SBA debentures, we may request commitments for debt capital from the SBA. SBIC LP is and in the future SBIC II or any future SBIC subsidiary would be exposed to any losses on its portfolio of loans, however, such debentures are non-recourse to us.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This prospectus supplement contains statements that constitute forward-looking statements, which relate to us and our consolidated subsidiaries regarding future events or our future performance or our future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involve risks and uncertainties, including statements as to:</w:t>
      </w:r>
    </w:p>
    <w:p>
      <w:pPr>
        <w:spacing w:after="0" w:line="7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prospects and the prospectus of our prospective portfolio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fluctuations in interest and foreign exchange rates on our business and our portfolio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European sovereign debt issues.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set forth in this prospectus supplement and elsewhere in the accompanying prospectus entitled “Risk Factors.”</w:t>
      </w:r>
    </w:p>
    <w:p>
      <w:pPr>
        <w:spacing w:after="0" w:line="18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should not be regarded as a representation by us that our plans and objectives will be achieved.</w:t>
      </w:r>
    </w:p>
    <w:p>
      <w:pPr>
        <w:spacing w:after="0" w:line="188"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statements in this prospectus supplement, whether as a result of new information, future events or otherwise, you are advised to consult any additional disclosures that we may make directly to you or through reports that we in the future that we may file with SEC including annual and quarterly reports on Form 10-K/Q and current reports on Form 8-K.</w:t>
      </w:r>
    </w:p>
    <w:p>
      <w:pPr>
        <w:spacing w:after="0" w:line="18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supplement or in periodic reports we file under the Exchange Act.</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estimate that net proceeds we will receive from the sale of the 11,000,000 shares of our common stock in this offering will be approximately $125.4 million (or approximately $144.3 million if the underwriters fully exercise their option to purchase additional shares), in each case based on a public offering price of $11.80 per share, which was the last reported closing price of our common stock on September 3, 2014, including the underwriting discounts and commissions of approximately $3.9 million (or approximately $4.5 million if the underwriters fully exercise their option to purchase additional shares) and estimated offering expenses of $500,000 payable by us. The amount of net proceeds may be more or less than the amount described in this prospectus supplement depending on the public offering price of the common stock and the actual number of shares of common stock we sell in this offering, both of which will be determined at pricing.</w:t>
      </w:r>
    </w:p>
    <w:p>
      <w:pPr>
        <w:spacing w:after="0" w:line="18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expect to use the net proceeds from selling securities pursuant to this prospectus supplement to reduce outstanding obligations under our Credit Facility, to invest in new or existing portfolio companies or for other general corporate or strategic purposes. Affiliates of certain of the underwriters serve as lenders under our Credit Facility and thereby may receive proceeds from this offering that are used to reduce our outstanding obligations under our Credit Facility.</w:t>
      </w:r>
    </w:p>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of June 30, 2014, we had $289.1 million of unused borrowing capacity, subject to maintenance of the applicable total assets to debt ratio, as set forth in the 1940 Act, and $255.9 million in outstanding borrowings under our $545.0 million Credit Facility. Borrowings under our Credit Facility bear interest at an annual rate equal to LIBOR plus 225 basis points per annum. At June 30, 2014, the weighted average interest rate on the Credit Facility was 2.52%. The Credit Facility is a revolving facility with a stated maturity date of June 25, 2019 and is secured by substantially all of the assets in our investment portfolio, excluding assets of our SBIC Funds. Amounts repaid under our Credit Facility remain available for future borrowings. See “Management’s Discussion and Analysis of Financial Condition and Results of Operations” in this prospectus supplement and the accompanying prospectus for more information.</w:t>
      </w:r>
    </w:p>
    <w:p>
      <w:pPr>
        <w:spacing w:after="0" w:line="165"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NAV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“Regulation—Temporary Investments” in the accompanying prospectus for more information.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following table sets forth our cash and capitalization on June 30, 2014 (1) on an actual basis and (2) on an as-adjusted basis to reflect the effects of the sale of 11,000,000 shares of common stock in this offering at an offering price of $11.80 per share, which was the last reported closing price of our common stock on September 3, 2014, and estimated offering expenses of $500,000 payable by us. The as-adjusted information is illustrative only; our capitalization following the completion of this offering is subject to further adjustments. You should read this table together with “Use of Proceeds” set forth in this prospectus supplement and in the accompanying prospectus for more information. You should also read this table with our Consolidated Financial Statements and related notes thereto, in conjunction with “Management’s Discussion and Analysis of Financial Condition and Results of Operations” in this prospectus supplement and in the accompanying prospectus for more information.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As of June 30, 2014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1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Actual</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w w:val="97"/>
              </w:rPr>
              <w:t>As adjusted for</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the offering</w:t>
            </w: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(cost—$64,349,609 and $189,755,609)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6"/>
              </w:rPr>
              <w:t>64,390,787</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189,796,787</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1,290,174,604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1,415,580,604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the Credit Facility (cost—$255,898,700)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257,187,294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257,187,294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Borrowings under SBA debentures (cost—$150,000,000)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150,000,000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2025 Notes (cost—$71,250,000)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72,532,500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72,532,500</w:t>
            </w:r>
          </w:p>
        </w:tc>
        <w:tc>
          <w:tcPr>
            <w:tcW w:w="0" w:type="dxa"/>
            <w:vAlign w:val="bottom"/>
          </w:tcPr>
          <w:p>
            <w:pPr>
              <w:spacing w:after="0"/>
              <w:rPr>
                <w:sz w:val="1"/>
                <w:szCs w:val="1"/>
                <w:color w:val="auto"/>
              </w:rPr>
            </w:pPr>
          </w:p>
        </w:tc>
      </w:tr>
      <w:tr>
        <w:trPr>
          <w:trHeight w:val="324"/>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w w:val="91"/>
              </w:rPr>
              <w:t>Common stock, 66,569,036 and 77,569,036 shares, as-adjusted, are issued and outstanding, respectively. Par</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 is $0.001 per share and 100,000,000 shares are authorized.</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66,569</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Paid in capital in excess of par value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756,809,951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882,204,951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in excess of net investment income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(9,406,519)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(9,406,519)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Accumulated net realized loss on investments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(14,454,032)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(14,454,032)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24,027,916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24,027,916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unrealized appreciation on debt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(2,571,092)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(2,571,092)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754,472,793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879,878,793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Total capitalization</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1,234,192,587</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1,359,598,587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2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Does not include the underwriters’ option to purchase additional shares in connection with this offering and any shares issued pursuant to our dividend reinvestment plan. Assumes the net proceeds from this offering are invested in Cash and Cash equivalents.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premium or (discount) to our NAV and quarterly distributions per share since September 30, 2012. On September 3, 2014, the last reported closing price of our common stock was $11.80 per share.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Premium</w:t>
            </w: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Premium</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2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Closing Sales Price</w:t>
            </w: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(Discount) of</w:t>
            </w: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(Discount) of</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20" w:type="dxa"/>
            <w:vAlign w:val="bottom"/>
            <w:gridSpan w:val="5"/>
            <w:vMerge w:val="continue"/>
          </w:tcPr>
          <w:p>
            <w:pPr>
              <w:spacing w:after="0"/>
              <w:rPr>
                <w:sz w:val="6"/>
                <w:szCs w:val="6"/>
                <w:color w:val="auto"/>
              </w:rPr>
            </w:pPr>
          </w:p>
        </w:tc>
        <w:tc>
          <w:tcPr>
            <w:tcW w:w="1420" w:type="dxa"/>
            <w:vAlign w:val="bottom"/>
            <w:gridSpan w:val="2"/>
            <w:vMerge w:val="restart"/>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High Sales</w:t>
            </w:r>
          </w:p>
        </w:tc>
        <w:tc>
          <w:tcPr>
            <w:tcW w:w="11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Low Sales</w:t>
            </w: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149"/>
        </w:trPr>
        <w:tc>
          <w:tcPr>
            <w:tcW w:w="3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780" w:type="dxa"/>
            <w:vAlign w:val="bottom"/>
          </w:tcPr>
          <w:p>
            <w:pPr>
              <w:spacing w:after="0"/>
              <w:rPr>
                <w:sz w:val="12"/>
                <w:szCs w:val="12"/>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NAV</w:t>
            </w:r>
            <w:r>
              <w:rPr>
                <w:rFonts w:ascii="Arial" w:cs="Arial" w:eastAsia="Arial" w:hAnsi="Arial"/>
                <w:sz w:val="12"/>
                <w:szCs w:val="12"/>
                <w:b w:val="1"/>
                <w:bCs w:val="1"/>
                <w:color w:val="auto"/>
              </w:rPr>
              <w:t>(1)</w:t>
            </w:r>
          </w:p>
        </w:tc>
        <w:tc>
          <w:tcPr>
            <w:tcW w:w="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2"/>
                <w:szCs w:val="12"/>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Low</w:t>
            </w: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Price to</w:t>
            </w: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Price to</w:t>
            </w:r>
          </w:p>
        </w:tc>
        <w:tc>
          <w:tcPr>
            <w:tcW w:w="2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20" w:type="dxa"/>
            <w:vAlign w:val="bottom"/>
            <w:gridSpan w:val="3"/>
            <w:vMerge w:val="continue"/>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9"/>
              </w:rPr>
              <w:t>NAV</w:t>
            </w:r>
            <w:r>
              <w:rPr>
                <w:rFonts w:ascii="Arial" w:cs="Arial" w:eastAsia="Arial" w:hAnsi="Arial"/>
                <w:sz w:val="12"/>
                <w:szCs w:val="12"/>
                <w:b w:val="1"/>
                <w:bCs w:val="1"/>
                <w:color w:val="auto"/>
                <w:w w:val="99"/>
              </w:rPr>
              <w:t>(2)</w:t>
            </w: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NAV</w:t>
            </w:r>
            <w:r>
              <w:rPr>
                <w:rFonts w:ascii="Arial" w:cs="Arial" w:eastAsia="Arial" w:hAnsi="Arial"/>
                <w:sz w:val="12"/>
                <w:szCs w:val="12"/>
                <w:b w:val="1"/>
                <w:bCs w:val="1"/>
                <w:color w:val="auto"/>
                <w:w w:val="99"/>
              </w:rPr>
              <w:t>(2)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4"/>
              </w:rPr>
              <w:t>Fiscal</w:t>
            </w:r>
          </w:p>
        </w:tc>
        <w:tc>
          <w:tcPr>
            <w:tcW w:w="3300" w:type="dxa"/>
            <w:vAlign w:val="bottom"/>
            <w:tcBorders>
              <w:top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year ending September 30, 2014</w:t>
            </w:r>
          </w:p>
        </w:tc>
        <w:tc>
          <w:tcPr>
            <w:tcW w:w="7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Fourth quarter (as of September 3, 2014)</w:t>
            </w:r>
          </w:p>
        </w:tc>
        <w:tc>
          <w:tcPr>
            <w:tcW w:w="1800" w:type="dxa"/>
            <w:vAlign w:val="bottom"/>
            <w:gridSpan w:val="3"/>
          </w:tcPr>
          <w:p>
            <w:pPr>
              <w:jc w:val="right"/>
              <w:ind w:right="520"/>
              <w:spacing w:after="0"/>
              <w:rPr>
                <w:sz w:val="20"/>
                <w:szCs w:val="20"/>
                <w:color w:val="auto"/>
              </w:rPr>
            </w:pPr>
            <w:r>
              <w:rPr>
                <w:rFonts w:ascii="Arial" w:cs="Arial" w:eastAsia="Arial" w:hAnsi="Arial"/>
                <w:sz w:val="18"/>
                <w:szCs w:val="18"/>
                <w:color w:val="auto"/>
              </w:rPr>
              <w:t>$ N/A</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$11.91</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$11.04</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w w:val="97"/>
              </w:rPr>
              <w:t>0.28</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8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11.33</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11.49</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10.46</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800" w:type="dxa"/>
            <w:vAlign w:val="bottom"/>
            <w:gridSpan w:val="3"/>
          </w:tcPr>
          <w:p>
            <w:pPr>
              <w:jc w:val="right"/>
              <w:ind w:right="520"/>
              <w:spacing w:after="0"/>
              <w:rPr>
                <w:sz w:val="20"/>
                <w:szCs w:val="20"/>
                <w:color w:val="auto"/>
              </w:rPr>
            </w:pPr>
            <w:r>
              <w:rPr>
                <w:rFonts w:ascii="Arial" w:cs="Arial" w:eastAsia="Arial" w:hAnsi="Arial"/>
                <w:sz w:val="18"/>
                <w:szCs w:val="18"/>
                <w:color w:val="auto"/>
              </w:rPr>
              <w:t>11.13</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11.65</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10.89</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5</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8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10.80</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12.17</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10.83</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324"/>
        </w:trPr>
        <w:tc>
          <w:tcPr>
            <w:tcW w:w="372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2013</w:t>
            </w: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8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10.49</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11.83</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10.97</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800" w:type="dxa"/>
            <w:vAlign w:val="bottom"/>
            <w:gridSpan w:val="3"/>
          </w:tcPr>
          <w:p>
            <w:pPr>
              <w:jc w:val="right"/>
              <w:ind w:right="520"/>
              <w:spacing w:after="0"/>
              <w:rPr>
                <w:sz w:val="20"/>
                <w:szCs w:val="20"/>
                <w:color w:val="auto"/>
              </w:rPr>
            </w:pPr>
            <w:r>
              <w:rPr>
                <w:rFonts w:ascii="Arial" w:cs="Arial" w:eastAsia="Arial" w:hAnsi="Arial"/>
                <w:sz w:val="18"/>
                <w:szCs w:val="18"/>
                <w:color w:val="auto"/>
              </w:rPr>
              <w:t>10.43</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11.83</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10.45</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13</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8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10.50</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12.18</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11.01</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800" w:type="dxa"/>
            <w:vAlign w:val="bottom"/>
            <w:gridSpan w:val="3"/>
          </w:tcPr>
          <w:p>
            <w:pPr>
              <w:jc w:val="right"/>
              <w:ind w:right="520"/>
              <w:spacing w:after="0"/>
              <w:rPr>
                <w:sz w:val="20"/>
                <w:szCs w:val="20"/>
                <w:color w:val="auto"/>
              </w:rPr>
            </w:pPr>
            <w:r>
              <w:rPr>
                <w:rFonts w:ascii="Arial" w:cs="Arial" w:eastAsia="Arial" w:hAnsi="Arial"/>
                <w:sz w:val="18"/>
                <w:szCs w:val="18"/>
                <w:color w:val="auto"/>
              </w:rPr>
              <w:t>10.38</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11.10</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10.07</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7</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3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2012</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800" w:type="dxa"/>
            <w:vAlign w:val="bottom"/>
            <w:gridSpan w:val="3"/>
          </w:tcPr>
          <w:p>
            <w:pPr>
              <w:jc w:val="right"/>
              <w:ind w:right="520"/>
              <w:spacing w:after="0"/>
              <w:rPr>
                <w:sz w:val="20"/>
                <w:szCs w:val="20"/>
                <w:color w:val="auto"/>
              </w:rPr>
            </w:pPr>
            <w:r>
              <w:rPr>
                <w:rFonts w:ascii="Arial" w:cs="Arial" w:eastAsia="Arial" w:hAnsi="Arial"/>
                <w:sz w:val="18"/>
                <w:szCs w:val="18"/>
                <w:color w:val="auto"/>
              </w:rPr>
              <w:t>10.22</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11.44</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10.36</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12</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8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10.16</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10.70</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9.27</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800" w:type="dxa"/>
            <w:vAlign w:val="bottom"/>
            <w:gridSpan w:val="3"/>
          </w:tcPr>
          <w:p>
            <w:pPr>
              <w:jc w:val="right"/>
              <w:ind w:right="520"/>
              <w:spacing w:after="0"/>
              <w:rPr>
                <w:sz w:val="20"/>
                <w:szCs w:val="20"/>
                <w:color w:val="auto"/>
              </w:rPr>
            </w:pPr>
            <w:r>
              <w:rPr>
                <w:rFonts w:ascii="Arial" w:cs="Arial" w:eastAsia="Arial" w:hAnsi="Arial"/>
                <w:sz w:val="18"/>
                <w:szCs w:val="18"/>
                <w:color w:val="auto"/>
              </w:rPr>
              <w:t>10.38</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11.23</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10.31</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8</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8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10.19</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11.02</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8.57</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00" w:hanging="452"/>
        <w:spacing w:after="0" w:line="256"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in the accompanying prospectus for more information.</w:t>
      </w: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quarter-end NAV.</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Distribution payable October 1, 2014 to stockholders of record September 26, 2014.</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Shares of BDCs may trade at a market price that is less than the NAV that is attributable to those shares. Our shares have traded above and below our NAV. Our shares traded on the NASDAQ Global Select Market at $11.46 and $11.28 as of June 30, 2014 and September 30, 2013, respectively. Our NAV per share was $11.33 and $10.49, as of June 30, 2014 and September 30, 2013,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years. The Consolidated Statement of Operations data, Per share data and Consolidated Statement of Assets and Liabilities data for the nine months ended June 30, 2014 are derived from our Consolidated Financial Statements which have been reviewed by McGladrey LLP, an independent registered public accounting firm. The Consolidated Statement of Operations data, Per share data and Consolidated Statement of Assets and Liabilities data for the prior five fiscal years are derived from our Consolidated Financial Statements which have been audited by KPMG LLP, an independent registered public accounting firm for those periods. These selected financial data should be read in conjunction with our Consolidated Financial Statements and related notes thereto and “Management’s Discussion and Analysis of Financial Condition and Results of Operations” in this prospectus supplement and the accompanying prospectus.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1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For the Nine Months</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20" w:type="dxa"/>
            <w:vAlign w:val="bottom"/>
            <w:gridSpan w:val="8"/>
            <w:vMerge w:val="restart"/>
          </w:tcPr>
          <w:p>
            <w:pPr>
              <w:jc w:val="right"/>
              <w:ind w:right="560"/>
              <w:spacing w:after="0"/>
              <w:rPr>
                <w:sz w:val="20"/>
                <w:szCs w:val="20"/>
                <w:color w:val="auto"/>
              </w:rPr>
            </w:pPr>
            <w:r>
              <w:rPr>
                <w:rFonts w:ascii="Arial" w:cs="Arial" w:eastAsia="Arial" w:hAnsi="Arial"/>
                <w:sz w:val="14"/>
                <w:szCs w:val="14"/>
                <w:b w:val="1"/>
                <w:bCs w:val="1"/>
                <w:color w:val="auto"/>
                <w:w w:val="99"/>
              </w:rPr>
              <w:t>For the Years Ended September 30,</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Ended June 30,</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2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980" w:type="dxa"/>
            <w:vAlign w:val="bottom"/>
            <w:tcBorders>
              <w:top w:val="single" w:sz="8" w:color="auto"/>
            </w:tcBorders>
          </w:tcPr>
          <w:p>
            <w:pPr>
              <w:jc w:val="right"/>
              <w:ind w:right="380"/>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2"/>
                <w:szCs w:val="12"/>
                <w:color w:val="auto"/>
              </w:rPr>
            </w:pPr>
          </w:p>
        </w:tc>
        <w:tc>
          <w:tcPr>
            <w:tcW w:w="7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82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4"/>
              </w:rPr>
              <w:t>(unaudited)</w:t>
            </w:r>
          </w:p>
        </w:tc>
        <w:tc>
          <w:tcPr>
            <w:tcW w:w="3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(Dollar amounts in thousands, except per share data)</w:t>
            </w:r>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b w:val="1"/>
                <w:bCs w:val="1"/>
                <w:color w:val="auto"/>
              </w:rPr>
              <w:t>Consolidated Statement of Operations data:</w:t>
            </w: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Total investment income</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95"/>
              </w:rPr>
              <w:t>$  107,793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97,740</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  129,187</w:t>
            </w: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5"/>
              </w:rPr>
              <w:t>$  113,392</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$ 91,738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$ 60,140</w:t>
            </w: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$ 45,119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Total expenses</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56,612</w:t>
            </w:r>
          </w:p>
        </w:tc>
        <w:tc>
          <w:tcPr>
            <w:tcW w:w="840" w:type="dxa"/>
            <w:vAlign w:val="bottom"/>
          </w:tcPr>
          <w:p>
            <w:pPr>
              <w:jc w:val="right"/>
              <w:spacing w:after="0"/>
              <w:rPr>
                <w:sz w:val="20"/>
                <w:szCs w:val="20"/>
                <w:color w:val="auto"/>
              </w:rPr>
            </w:pPr>
            <w:r>
              <w:rPr>
                <w:rFonts w:ascii="Arial" w:cs="Arial" w:eastAsia="Arial" w:hAnsi="Arial"/>
                <w:sz w:val="16"/>
                <w:szCs w:val="16"/>
                <w:color w:val="auto"/>
              </w:rPr>
              <w:t>47,841</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62,189</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56,323</w:t>
            </w:r>
          </w:p>
        </w:tc>
        <w:tc>
          <w:tcPr>
            <w:tcW w:w="240" w:type="dxa"/>
            <w:vAlign w:val="bottom"/>
          </w:tcPr>
          <w:p>
            <w:pPr>
              <w:spacing w:after="0"/>
              <w:rPr>
                <w:sz w:val="17"/>
                <w:szCs w:val="17"/>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39,093</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28,065</w:t>
            </w:r>
          </w:p>
        </w:tc>
        <w:tc>
          <w:tcPr>
            <w:tcW w:w="2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22,400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Net investment income</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51,180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49,899</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66,998</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57,069</w:t>
            </w: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52,645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32,075</w:t>
            </w: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22,719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Net realized and unrealized gain (loss)</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60,905</w:t>
            </w:r>
          </w:p>
        </w:tc>
        <w:tc>
          <w:tcPr>
            <w:tcW w:w="840" w:type="dxa"/>
            <w:vAlign w:val="bottom"/>
          </w:tcPr>
          <w:p>
            <w:pPr>
              <w:jc w:val="right"/>
              <w:spacing w:after="0"/>
              <w:rPr>
                <w:sz w:val="20"/>
                <w:szCs w:val="20"/>
                <w:color w:val="auto"/>
              </w:rPr>
            </w:pPr>
            <w:r>
              <w:rPr>
                <w:rFonts w:ascii="Arial" w:cs="Arial" w:eastAsia="Arial" w:hAnsi="Arial"/>
                <w:sz w:val="16"/>
                <w:szCs w:val="16"/>
                <w:color w:val="auto"/>
              </w:rPr>
              <w:t>19,400</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24,780</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6,284</w:t>
            </w:r>
          </w:p>
        </w:tc>
        <w:tc>
          <w:tcPr>
            <w:tcW w:w="240" w:type="dxa"/>
            <w:vAlign w:val="bottom"/>
          </w:tcPr>
          <w:p>
            <w:pPr>
              <w:spacing w:after="0"/>
              <w:rPr>
                <w:sz w:val="17"/>
                <w:szCs w:val="17"/>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6"/>
                <w:szCs w:val="16"/>
                <w:color w:val="auto"/>
              </w:rPr>
              <w:t>(42,382)</w:t>
            </w: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(15,539)</w:t>
            </w: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13,083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Net increase in net assets resulting from operations</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112,085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69,299</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91,778</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63,353</w:t>
            </w: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10,263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16,535</w:t>
            </w: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35,802</w:t>
            </w:r>
          </w:p>
        </w:tc>
        <w:tc>
          <w:tcPr>
            <w:tcW w:w="0" w:type="dxa"/>
            <w:vAlign w:val="bottom"/>
          </w:tcPr>
          <w:p>
            <w:pPr>
              <w:spacing w:after="0"/>
              <w:rPr>
                <w:sz w:val="1"/>
                <w:szCs w:val="1"/>
                <w:color w:val="auto"/>
              </w:rPr>
            </w:pPr>
          </w:p>
        </w:tc>
      </w:tr>
      <w:tr>
        <w:trPr>
          <w:trHeight w:val="305"/>
        </w:trPr>
        <w:tc>
          <w:tcPr>
            <w:tcW w:w="4380" w:type="dxa"/>
            <w:vAlign w:val="bottom"/>
            <w:gridSpan w:val="2"/>
          </w:tcPr>
          <w:p>
            <w:pPr>
              <w:spacing w:after="0"/>
              <w:rPr>
                <w:sz w:val="20"/>
                <w:szCs w:val="20"/>
                <w:color w:val="auto"/>
              </w:rPr>
            </w:pPr>
            <w:r>
              <w:rPr>
                <w:rFonts w:ascii="Arial" w:cs="Arial" w:eastAsia="Arial" w:hAnsi="Arial"/>
                <w:sz w:val="16"/>
                <w:szCs w:val="16"/>
                <w:b w:val="1"/>
                <w:bCs w:val="1"/>
                <w:color w:val="auto"/>
              </w:rPr>
              <w:t>Per share data:</w:t>
            </w: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NAV (at period end)</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11.33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10.13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11.85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4"/>
                <w:szCs w:val="14"/>
                <w:color w:val="auto"/>
              </w:rPr>
              <w:t>Net investment income</w:t>
            </w:r>
            <w:r>
              <w:rPr>
                <w:rFonts w:ascii="Arial" w:cs="Arial" w:eastAsia="Arial" w:hAnsi="Arial"/>
                <w:sz w:val="23"/>
                <w:szCs w:val="23"/>
                <w:color w:val="auto"/>
                <w:vertAlign w:val="superscript"/>
              </w:rPr>
              <w:t>(1)</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0.77</w:t>
            </w:r>
          </w:p>
        </w:tc>
        <w:tc>
          <w:tcPr>
            <w:tcW w:w="840" w:type="dxa"/>
            <w:vAlign w:val="bottom"/>
          </w:tcPr>
          <w:p>
            <w:pPr>
              <w:jc w:val="right"/>
              <w:spacing w:after="0"/>
              <w:rPr>
                <w:sz w:val="20"/>
                <w:szCs w:val="20"/>
                <w:color w:val="auto"/>
              </w:rPr>
            </w:pPr>
            <w:r>
              <w:rPr>
                <w:rFonts w:ascii="Arial" w:cs="Arial" w:eastAsia="Arial" w:hAnsi="Arial"/>
                <w:sz w:val="16"/>
                <w:szCs w:val="16"/>
                <w:color w:val="auto"/>
              </w:rPr>
              <w:t>0.76</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1.01</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1.08</w:t>
            </w:r>
          </w:p>
        </w:tc>
        <w:tc>
          <w:tcPr>
            <w:tcW w:w="240" w:type="dxa"/>
            <w:vAlign w:val="bottom"/>
          </w:tcPr>
          <w:p>
            <w:pPr>
              <w:spacing w:after="0"/>
              <w:rPr>
                <w:sz w:val="17"/>
                <w:szCs w:val="17"/>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1.25</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1.09</w:t>
            </w:r>
          </w:p>
        </w:tc>
        <w:tc>
          <w:tcPr>
            <w:tcW w:w="2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Net realized and unrealized gain (loss)</w:t>
            </w:r>
            <w:r>
              <w:rPr>
                <w:rFonts w:ascii="Arial" w:cs="Arial" w:eastAsia="Arial" w:hAnsi="Arial"/>
                <w:sz w:val="23"/>
                <w:szCs w:val="23"/>
                <w:color w:val="auto"/>
                <w:vertAlign w:val="superscript"/>
              </w:rPr>
              <w:t>(1)</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0.91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(1.01)</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(0.53)</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4"/>
                <w:szCs w:val="14"/>
                <w:color w:val="auto"/>
              </w:rPr>
              <w:t>Net increase in net assets resulting from operations</w:t>
            </w:r>
            <w:r>
              <w:rPr>
                <w:rFonts w:ascii="Arial" w:cs="Arial" w:eastAsia="Arial" w:hAnsi="Arial"/>
                <w:sz w:val="23"/>
                <w:szCs w:val="23"/>
                <w:color w:val="auto"/>
                <w:vertAlign w:val="superscript"/>
              </w:rPr>
              <w:t>(1)</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1.68</w:t>
            </w:r>
          </w:p>
        </w:tc>
        <w:tc>
          <w:tcPr>
            <w:tcW w:w="840" w:type="dxa"/>
            <w:vAlign w:val="bottom"/>
          </w:tcPr>
          <w:p>
            <w:pPr>
              <w:jc w:val="right"/>
              <w:spacing w:after="0"/>
              <w:rPr>
                <w:sz w:val="20"/>
                <w:szCs w:val="20"/>
                <w:color w:val="auto"/>
              </w:rPr>
            </w:pPr>
            <w:r>
              <w:rPr>
                <w:rFonts w:ascii="Arial" w:cs="Arial" w:eastAsia="Arial" w:hAnsi="Arial"/>
                <w:sz w:val="16"/>
                <w:szCs w:val="16"/>
                <w:color w:val="auto"/>
              </w:rPr>
              <w:t>1.05</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1.39</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1.20</w:t>
            </w:r>
          </w:p>
        </w:tc>
        <w:tc>
          <w:tcPr>
            <w:tcW w:w="240" w:type="dxa"/>
            <w:vAlign w:val="bottom"/>
          </w:tcPr>
          <w:p>
            <w:pPr>
              <w:spacing w:after="0"/>
              <w:rPr>
                <w:sz w:val="17"/>
                <w:szCs w:val="17"/>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0.24</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0.56</w:t>
            </w:r>
          </w:p>
        </w:tc>
        <w:tc>
          <w:tcPr>
            <w:tcW w:w="2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Distributions declared</w:t>
            </w:r>
            <w:r>
              <w:rPr>
                <w:rFonts w:ascii="Arial" w:cs="Arial" w:eastAsia="Arial" w:hAnsi="Arial"/>
                <w:sz w:val="23"/>
                <w:szCs w:val="23"/>
                <w:color w:val="auto"/>
                <w:vertAlign w:val="superscript"/>
              </w:rPr>
              <w:t>(1),(2)</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0.84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1.10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0.96</w:t>
            </w:r>
          </w:p>
        </w:tc>
        <w:tc>
          <w:tcPr>
            <w:tcW w:w="0" w:type="dxa"/>
            <w:vAlign w:val="bottom"/>
          </w:tcPr>
          <w:p>
            <w:pPr>
              <w:spacing w:after="0"/>
              <w:rPr>
                <w:sz w:val="1"/>
                <w:szCs w:val="1"/>
                <w:color w:val="auto"/>
              </w:rPr>
            </w:pPr>
          </w:p>
        </w:tc>
      </w:tr>
      <w:tr>
        <w:trPr>
          <w:trHeight w:val="305"/>
        </w:trPr>
        <w:tc>
          <w:tcPr>
            <w:tcW w:w="438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 of Assets and Liabilities data:</w:t>
            </w: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1,290,175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1,101,994</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1,153,327</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1,018,968</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928,738</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711,494</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512,381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Total investment portfolio</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1,198,408</w:t>
            </w:r>
          </w:p>
        </w:tc>
        <w:tc>
          <w:tcPr>
            <w:tcW w:w="840" w:type="dxa"/>
            <w:vAlign w:val="bottom"/>
          </w:tcPr>
          <w:p>
            <w:pPr>
              <w:jc w:val="right"/>
              <w:spacing w:after="0"/>
              <w:rPr>
                <w:sz w:val="20"/>
                <w:szCs w:val="20"/>
                <w:color w:val="auto"/>
              </w:rPr>
            </w:pPr>
            <w:r>
              <w:rPr>
                <w:rFonts w:ascii="Arial" w:cs="Arial" w:eastAsia="Arial" w:hAnsi="Arial"/>
                <w:sz w:val="16"/>
                <w:szCs w:val="16"/>
                <w:color w:val="auto"/>
              </w:rPr>
              <w:t>1,066,265</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1,078,176</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990,480</w:t>
            </w:r>
          </w:p>
        </w:tc>
        <w:tc>
          <w:tcPr>
            <w:tcW w:w="240" w:type="dxa"/>
            <w:vAlign w:val="bottom"/>
          </w:tcPr>
          <w:p>
            <w:pPr>
              <w:spacing w:after="0"/>
              <w:rPr>
                <w:sz w:val="17"/>
                <w:szCs w:val="17"/>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827,549</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664,724</w:t>
            </w:r>
          </w:p>
        </w:tc>
        <w:tc>
          <w:tcPr>
            <w:tcW w:w="2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469,760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Borrowings outstanding</w:t>
            </w:r>
            <w:r>
              <w:rPr>
                <w:rFonts w:ascii="Arial" w:cs="Arial" w:eastAsia="Arial" w:hAnsi="Arial"/>
                <w:sz w:val="23"/>
                <w:szCs w:val="23"/>
                <w:color w:val="auto"/>
                <w:vertAlign w:val="superscript"/>
              </w:rPr>
              <w:t>(3)</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479,720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335,750</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363,900</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294,452</w:t>
            </w: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388,792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233,641</w:t>
            </w: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175,475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Total NAV</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754,473</w:t>
            </w:r>
          </w:p>
        </w:tc>
        <w:tc>
          <w:tcPr>
            <w:tcW w:w="840" w:type="dxa"/>
            <w:vAlign w:val="bottom"/>
          </w:tcPr>
          <w:p>
            <w:pPr>
              <w:jc w:val="right"/>
              <w:spacing w:after="0"/>
              <w:rPr>
                <w:sz w:val="20"/>
                <w:szCs w:val="20"/>
                <w:color w:val="auto"/>
              </w:rPr>
            </w:pPr>
            <w:r>
              <w:rPr>
                <w:rFonts w:ascii="Arial" w:cs="Arial" w:eastAsia="Arial" w:hAnsi="Arial"/>
                <w:sz w:val="16"/>
                <w:szCs w:val="16"/>
                <w:color w:val="auto"/>
              </w:rPr>
              <w:t>693,103</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697,506</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669,717</w:t>
            </w:r>
          </w:p>
        </w:tc>
        <w:tc>
          <w:tcPr>
            <w:tcW w:w="240" w:type="dxa"/>
            <w:vAlign w:val="bottom"/>
          </w:tcPr>
          <w:p>
            <w:pPr>
              <w:spacing w:after="0"/>
              <w:rPr>
                <w:sz w:val="17"/>
                <w:szCs w:val="17"/>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462,657</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386,575</w:t>
            </w:r>
          </w:p>
        </w:tc>
        <w:tc>
          <w:tcPr>
            <w:tcW w:w="2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300,580</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data:</w:t>
            </w:r>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4"/>
                <w:szCs w:val="14"/>
                <w:color w:val="auto"/>
              </w:rPr>
              <w:t>Total return</w:t>
            </w:r>
            <w:r>
              <w:rPr>
                <w:rFonts w:ascii="Arial" w:cs="Arial" w:eastAsia="Arial" w:hAnsi="Arial"/>
                <w:sz w:val="23"/>
                <w:szCs w:val="23"/>
                <w:color w:val="auto"/>
                <w:vertAlign w:val="superscript"/>
              </w:rPr>
              <w:t>(4)</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9.30%</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12.20%</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17.37%</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28.71%</w:t>
            </w:r>
          </w:p>
        </w:tc>
        <w:tc>
          <w:tcPr>
            <w:tcW w:w="1020" w:type="dxa"/>
            <w:vAlign w:val="bottom"/>
            <w:gridSpan w:val="3"/>
          </w:tcPr>
          <w:p>
            <w:pPr>
              <w:jc w:val="right"/>
              <w:ind w:right="120"/>
              <w:spacing w:after="0"/>
              <w:rPr>
                <w:sz w:val="20"/>
                <w:szCs w:val="20"/>
                <w:color w:val="auto"/>
              </w:rPr>
            </w:pPr>
            <w:r>
              <w:rPr>
                <w:rFonts w:ascii="Arial" w:cs="Arial" w:eastAsia="Arial" w:hAnsi="Arial"/>
                <w:sz w:val="16"/>
                <w:szCs w:val="16"/>
                <w:color w:val="auto"/>
              </w:rPr>
              <w:t>(7.37)%</w:t>
            </w: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44.79%</w:t>
            </w: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30.39%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Number of portfolio companies</w:t>
            </w:r>
            <w:r>
              <w:rPr>
                <w:rFonts w:ascii="Arial" w:cs="Arial" w:eastAsia="Arial" w:hAnsi="Arial"/>
                <w:sz w:val="23"/>
                <w:szCs w:val="23"/>
                <w:color w:val="auto"/>
                <w:vertAlign w:val="superscript"/>
              </w:rPr>
              <w:t>(5)</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66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48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Yield on debt portfolio</w:t>
            </w:r>
            <w:r>
              <w:rPr>
                <w:rFonts w:ascii="Arial" w:cs="Arial" w:eastAsia="Arial" w:hAnsi="Arial"/>
                <w:sz w:val="27"/>
                <w:szCs w:val="27"/>
                <w:color w:val="auto"/>
                <w:vertAlign w:val="superscript"/>
              </w:rPr>
              <w:t>(5)</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12.3%</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13.1%</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13.0%</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13.2%</w:t>
            </w: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13.3%</w:t>
            </w: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12.7%</w:t>
            </w: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the weighted average shares outstanding for the respective years.</w:t>
      </w:r>
    </w:p>
    <w:p>
      <w:pPr>
        <w:spacing w:after="0" w:line="22"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taxable income calculated in accordance with income tax regulations, which may differ from amounts determined under GAAP.</w:t>
      </w:r>
    </w:p>
    <w:p>
      <w:pPr>
        <w:spacing w:after="0" w:line="18"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At fair value.</w:t>
      </w:r>
    </w:p>
    <w:p>
      <w:pPr>
        <w:spacing w:after="0" w:line="18" w:lineRule="exact"/>
        <w:rPr>
          <w:rFonts w:ascii="Arial" w:cs="Arial" w:eastAsia="Arial" w:hAnsi="Arial"/>
          <w:sz w:val="16"/>
          <w:szCs w:val="16"/>
          <w:color w:val="auto"/>
        </w:rPr>
      </w:pPr>
    </w:p>
    <w:p>
      <w:pPr>
        <w:ind w:left="340" w:right="340" w:hanging="332"/>
        <w:spacing w:after="0" w:line="264"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the change in market price per share during the periods and takes into account distributions, if any, reinvested in accordance with our dividend reinvestment plan.</w:t>
      </w: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Unaudited.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89"/>
              </w:rPr>
              <w:t>2014</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Q3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60" w:type="dxa"/>
            <w:vAlign w:val="bottom"/>
          </w:tcPr>
          <w:p>
            <w:pPr>
              <w:spacing w:after="0"/>
              <w:rPr>
                <w:sz w:val="12"/>
                <w:szCs w:val="12"/>
                <w:color w:val="auto"/>
              </w:rPr>
            </w:pPr>
          </w:p>
        </w:tc>
      </w:tr>
      <w:tr>
        <w:trPr>
          <w:trHeight w:val="210"/>
        </w:trPr>
        <w:tc>
          <w:tcPr>
            <w:tcW w:w="7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35,475</w:t>
            </w:r>
          </w:p>
        </w:tc>
        <w:tc>
          <w:tcPr>
            <w:tcW w:w="3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37,879</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34,439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13,196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20,029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17,955</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18,753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20,652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21,500</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31,949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40,681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39,455</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0.59</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NAV per share at the end of the quarter</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11.33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11.13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10.80</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11.60</w:t>
            </w:r>
          </w:p>
        </w:tc>
      </w:tr>
      <w:tr>
        <w:trPr>
          <w:trHeight w:val="365"/>
        </w:trPr>
        <w:tc>
          <w:tcPr>
            <w:tcW w:w="7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7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92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Q3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60" w:type="dxa"/>
            <w:vAlign w:val="bottom"/>
          </w:tcPr>
          <w:p>
            <w:pPr>
              <w:spacing w:after="0"/>
              <w:rPr>
                <w:sz w:val="12"/>
                <w:szCs w:val="12"/>
                <w:color w:val="auto"/>
              </w:rPr>
            </w:pPr>
          </w:p>
        </w:tc>
      </w:tr>
      <w:tr>
        <w:trPr>
          <w:trHeight w:val="210"/>
        </w:trPr>
        <w:tc>
          <w:tcPr>
            <w:tcW w:w="7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31,447</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33,725</w:t>
            </w:r>
          </w:p>
        </w:tc>
        <w:tc>
          <w:tcPr>
            <w:tcW w:w="3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31,057</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32,958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17,099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17,655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14,063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18,181</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(3,869)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12,910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10,360</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22,479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13,786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26,972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28,541</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0.44</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NAV per share at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10.49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10.43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10.50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10.38</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11.00</w:t>
            </w:r>
          </w:p>
        </w:tc>
      </w:tr>
      <w:tr>
        <w:trPr>
          <w:trHeight w:val="365"/>
        </w:trPr>
        <w:tc>
          <w:tcPr>
            <w:tcW w:w="7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7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92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Q3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60" w:type="dxa"/>
            <w:vAlign w:val="bottom"/>
          </w:tcPr>
          <w:p>
            <w:pPr>
              <w:spacing w:after="0"/>
              <w:rPr>
                <w:sz w:val="12"/>
                <w:szCs w:val="12"/>
                <w:color w:val="auto"/>
              </w:rPr>
            </w:pPr>
          </w:p>
        </w:tc>
      </w:tr>
      <w:tr>
        <w:trPr>
          <w:trHeight w:val="210"/>
        </w:trPr>
        <w:tc>
          <w:tcPr>
            <w:tcW w:w="7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30,806</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29,385</w:t>
            </w:r>
          </w:p>
        </w:tc>
        <w:tc>
          <w:tcPr>
            <w:tcW w:w="3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26,362</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26,839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16,742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15,571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9,759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14,997</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(12,151)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16,638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849</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17,690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3,420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26,397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15,846</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0.34</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NAV per share at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10.22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10.16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10.38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10.19</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10.09</w:t>
            </w:r>
          </w:p>
        </w:tc>
      </w:tr>
      <w:tr>
        <w:trPr>
          <w:trHeight w:val="365"/>
        </w:trPr>
        <w:tc>
          <w:tcPr>
            <w:tcW w:w="7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7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92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Q3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60" w:type="dxa"/>
            <w:vAlign w:val="bottom"/>
          </w:tcPr>
          <w:p>
            <w:pPr>
              <w:spacing w:after="0"/>
              <w:rPr>
                <w:sz w:val="12"/>
                <w:szCs w:val="12"/>
                <w:color w:val="auto"/>
              </w:rPr>
            </w:pPr>
          </w:p>
        </w:tc>
      </w:tr>
      <w:tr>
        <w:trPr>
          <w:trHeight w:val="210"/>
        </w:trPr>
        <w:tc>
          <w:tcPr>
            <w:tcW w:w="7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26,139</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22,908</w:t>
            </w:r>
          </w:p>
        </w:tc>
        <w:tc>
          <w:tcPr>
            <w:tcW w:w="3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22,712</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19,979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15,095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13,220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13,159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11,171</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(46,260)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(10,901)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14,351</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(31,165)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2,319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13,587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25,522</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0.71</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NAV per share at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10.13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11.08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11.30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11.14</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12.25</w:t>
            </w:r>
          </w:p>
        </w:tc>
      </w:tr>
      <w:tr>
        <w:trPr>
          <w:trHeight w:val="365"/>
        </w:trPr>
        <w:tc>
          <w:tcPr>
            <w:tcW w:w="7620" w:type="dxa"/>
            <w:vAlign w:val="bottom"/>
          </w:tcPr>
          <w:p>
            <w:pPr>
              <w:ind w:left="5540"/>
              <w:spacing w:after="0"/>
              <w:rPr>
                <w:sz w:val="20"/>
                <w:szCs w:val="20"/>
                <w:color w:val="auto"/>
              </w:rPr>
            </w:pPr>
            <w:r>
              <w:rPr>
                <w:rFonts w:ascii="Arial" w:cs="Arial" w:eastAsia="Arial" w:hAnsi="Arial"/>
                <w:sz w:val="18"/>
                <w:szCs w:val="18"/>
                <w:color w:val="auto"/>
              </w:rPr>
              <w:t>S-18</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14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7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right="400" w:firstLine="456"/>
        <w:spacing w:after="0" w:line="279" w:lineRule="auto"/>
        <w:rPr>
          <w:sz w:val="20"/>
          <w:szCs w:val="20"/>
          <w:color w:val="auto"/>
        </w:rPr>
      </w:pPr>
      <w:r>
        <w:rPr>
          <w:rFonts w:ascii="Arial" w:cs="Arial" w:eastAsia="Arial" w:hAnsi="Arial"/>
          <w:sz w:val="17"/>
          <w:szCs w:val="17"/>
          <w:color w:val="auto"/>
        </w:rPr>
        <w:t>Our wholly owned subsidiaries, SBIC LP and SBIC II, were organized as Delaware limited partnerships in May 2010 and July 2012, respectively. SBIC LP and SBIC II received licenses from the SBA to operate as SBICs, under Section 301(c) of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administration agreements with us. Our board of directors, a majority of whom are independent of us, supervises our activities, and the Investment Adviser manages our day-to-day activities.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terms of three to ten years and bear interest at a fixed or a floating rate. Interest on debt securities is generally payable quarterly or semiannually. In some cases, some of our investments provide for deferred interest payments and payment-in-kind,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original issue discount, or OID, and market discount or premium are capitalized, and we accrete or amortize such amounts as income. We record prepayment penalties on loans and debt securities as income. Dividend income, if any, is recognized on an accrual basis on the ex-dividend date to the extent that we expect to collect such amounts.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Our primary operating expenses include the payment of a base management fee to our Investment Adviser,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various debt facilities. We bear all other direct or indirect costs and expenses of our operations and transactions, including:</w:t>
      </w:r>
    </w:p>
    <w:p>
      <w:pPr>
        <w:spacing w:after="0" w:line="94"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calculating our NAV, including the cost of any third-party valuation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state and foreign registration fees and any exchange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state, local and foreign 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1958 Act and applicable federal and state securities laws;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As of June 30, 2014, our portfolio totaled $1,198.4 million and consisted of $310.2 million of senior secured loans, $486.1 million of second lien secured debt, $282.4 million of subordinated debt and $119.7 million of preferred and common equity investments. Our debt portfolio consisted of 39% fixed-rate and 61% variable-rate investments (including 53% with a LIBOR or prime floor). Our overall portfolio consisted of 66 companies with an average investment size of $18.2 million, had a weighted average yield on debt investments of 12.3% and was invested 26% in senior secured loans, 40% in second lien secured debt, 24% in subordinated debt and 10% in preferred and common equity investments.</w:t>
      </w:r>
    </w:p>
    <w:p>
      <w:pPr>
        <w:spacing w:after="0" w:line="173"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As of September 30, 2013, our portfolio totaled $1,078.2 million and consisted of $299.5 million of senior secured loans, $357.5 million of second lien secured debt, $302.5 million of subordinated debt and $118.7 million of preferred and common equity investments. Our debt portfolio consisted of 52% fixed-rate and 48% variable-rate investments (including 44% with a LIBOR or prime floor). Our overall portfolio consisted of 61 companies with an average investment size of $17.7 million, had a weighted average yield on debt investments of 13.0% and was invested 28% in senior secured loans, 33% in second lien secured debt, 28% in subordinated debt and 11% in preferred and common equity investments.</w:t>
      </w:r>
    </w:p>
    <w:p>
      <w:pPr>
        <w:spacing w:after="0" w:line="17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For the three months ended June 30, 2014, we invested $191.8 million in three new and nine existing portfolio companies with a weighted average yield on debt investments of 11.7%. Sales and repayments of investments for the three months ended June 30, 2014 totaled $273.6 million. For the nine months ended June 30, 2014, we invested $561.8 million in 16 new and 22 existing portfolio companies with a weighted average yield on debt investments of 12.1%. Sales and repayments of investments for the nine months ended June 30, 2014 totaled $534.4 million.</w:t>
      </w:r>
    </w:p>
    <w:p>
      <w:pPr>
        <w:spacing w:after="0" w:line="17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For the three months ended June 30, 2013, we invested $73.3 million in two new and five existing portfolio companies with a weighted average yield on debt investments of 12.9%. Sales and repayments of investments for the three months ended June 30, 2013 totaled $117.8 million. For the nine months ended June 30, 2013, we invested $317.2 million in eight new and 19 existing portfolio companies with a weighted average yield on debt investments of 12.9%. Sales and repayments of investments for the nine months ended June 30, 2013 totaled $271.2 million.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due to changes in the economic and regulatory environment, financial markets and any other parameters used in determining such estimates and assumptions. We reclassified certain prior period amounts to conform to the current period presentation. We have eliminated all intercompany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12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prospectus supplement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18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900" w:right="20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92" w:lineRule="exact"/>
        <w:rPr>
          <w:rFonts w:ascii="Arial" w:cs="Arial" w:eastAsia="Arial" w:hAnsi="Arial"/>
          <w:sz w:val="18"/>
          <w:szCs w:val="18"/>
          <w:color w:val="auto"/>
        </w:rPr>
      </w:pPr>
    </w:p>
    <w:p>
      <w:pPr>
        <w:ind w:left="900" w:right="260" w:hanging="446"/>
        <w:spacing w:after="0" w:line="286"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900" w:right="10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7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by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Inputs that are quoted prices (unadjusted) in active markets for identical assets or liabilities, accessible by us at the measurement date.</w:t>
      </w:r>
    </w:p>
    <w:p>
      <w:pPr>
        <w:spacing w:after="0" w:line="117" w:lineRule="exact"/>
        <w:rPr>
          <w:sz w:val="20"/>
          <w:szCs w:val="20"/>
          <w:color w:val="auto"/>
        </w:rPr>
      </w:pPr>
    </w:p>
    <w:p>
      <w:pPr>
        <w:ind w:left="1160" w:hanging="1147"/>
        <w:spacing w:after="0" w:line="264" w:lineRule="auto"/>
        <w:tabs>
          <w:tab w:leader="none" w:pos="11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160" w:right="320" w:hanging="1147"/>
        <w:spacing w:after="0" w:line="277" w:lineRule="auto"/>
        <w:tabs>
          <w:tab w:leader="none" w:pos="11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addition to using the above inputs in cash equivalents, investments, the 2025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2025 Notes. We elected to use the fair value option for the Credit Facility and 2025 Notes to align the measurement attributes of both our assets and liabilities while mitigating volatility in earnings from using different measurement attributes. Due to that election and in accordance with GAAP, we incurred non-recurring expenses of $3.9 million relating to debt issuance costs on the Credit Facility for the three and nine months ended June 30, 2014.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2025 Notes are reported in our Consolidated Statement of Operations. We elected not to apply ASC 825-10 to any other financial assets or liabilities, including the SBA debentures. For the three and nine months ended June 30, 2014, our Credit Facility and 2025 Notes had a net change in unrealized appreciation of $3.4 million and $5.4 million, respectively. For the three and nine months ended June 30, 2013, our Credit Facility and 2025 Notes had a net change in unrealized depreciation (appreciation) of $0.4 million and $(0.5) million, respectively. As of June 30, 2014 and September 30, 2013, net unrealized (appreciation) depreciation on our Credit Facility and 2025 Notes totaled $(2.6) million and $2.9 million, respectively. We use a nationally recognized independent valuation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service to fair value our Credit Facility in a manner consistent with the valuation process that the board of directors approves to value investments. Our 2025 Notes trade on the New York Stock Exchange, or NYSE, and we use the closing price on the exchange to determine their fair value.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market discount or premium and deferred financing costs are capitalized and we then accrete or amortize such amounts as interest income or expense, as applicable, using the effective interest method. We record contractual prepayment penalties on loans and debt investments as income. Dividend income, if any, is recognized on an accrual basis on the ex-dividend date to the extent that we expect to collect such amounts.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121"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42" w:lineRule="exact"/>
        <w:rPr>
          <w:sz w:val="20"/>
          <w:szCs w:val="20"/>
          <w:color w:val="auto"/>
        </w:rPr>
      </w:pPr>
    </w:p>
    <w:p>
      <w:pPr>
        <w:ind w:left="1480" w:hanging="567"/>
        <w:spacing w:after="0"/>
        <w:tabs>
          <w:tab w:leader="none" w:pos="1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 – at the exchange rates prevailing at the end of the applicable period; and</w:t>
      </w:r>
    </w:p>
    <w:p>
      <w:pPr>
        <w:spacing w:after="0" w:line="153" w:lineRule="exact"/>
        <w:rPr>
          <w:rFonts w:ascii="Arial" w:cs="Arial" w:eastAsia="Arial" w:hAnsi="Arial"/>
          <w:sz w:val="16"/>
          <w:szCs w:val="16"/>
          <w:color w:val="auto"/>
        </w:rPr>
      </w:pPr>
    </w:p>
    <w:p>
      <w:pPr>
        <w:ind w:left="1480" w:right="420" w:hanging="567"/>
        <w:spacing w:after="0" w:line="277"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Purchases and sales of investment securities, income and expenses – at the exchange rates prevailing on the respective dates of such transactions.</w:t>
      </w:r>
    </w:p>
    <w:p>
      <w:pPr>
        <w:spacing w:after="0" w:line="170"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 or PIK</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have not collected any cash with respect to PIK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have elected to be taxed, and intend to qualify annually to maintain our election to be taxed, as a RIC under Subchapter M of the Code. To maintain our RIC tax election, we must, among other requirements, meet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certain source-of-income and quarterly asset diversification requirements. We also must annually distribute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net capital gains income (i.e. the excess, if any, of our capital gains over capital losses) for the one-year period ending on October 31 of the calendar year and (3) the sum of any net ordinary income plus net capital gain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8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In June 2013, the Financial Accounting Standards Board (“FASB”) issued Accounting Standards Update 2013-08, Financial Services—Investment Companies (Topic 946): Amendments to the Scope, Measurement, and Disclosure Requirements (“ASU 2013-08”). ASU 2013-08 provides an approach to assess whether a company is an investment company, clarifies the characteristics of an investment company, and provides new measurement and disclosure requirements. ASU 2013-08 is effective for interim and annual reporting periods in fiscal years that begin after December 15, 2013. Earlier application is prohibited. We are currently evaluating ASU 2013-08 to determine the effect, if any, on our Consolidated Financial Statements and disclosures.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and nine months ended June 30, 2014 and 2013.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Investment income for the three and nine months ended June 30, 2014 was $35.5 million and $107.8 million, respectively, and was attributable to $9.8 million and $30.0 million from senior secured loans, $13.3 million and $39.9 million from second lien secured debt investments, $11.6 million and $35.7 million from subordinated debt investments, and $0.8 million and $2.2 million from equity investments, respectively. This compares to investment income for the three and nine months ended June 30, 2013, which was $33.7 million and $97.7 million, respectively, and was attributable to $11.6 million and $29.6 million from senior secured loans, $7.9 million and $22.9 million from second lien secured debt investments, $14.2 million and $43.9 million from subordinated debt investments, and zero and $1.3 million from equity investments, respectively. The increase in investment income compared with the same period in the prior year was primarily due to the growth of our portfolio.</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Expenses for the three and nine months ended June 30, 2014 totaled $22.3 million and $56.6 million, respectively. Base management fee for the same periods totaled $6.1 million and $17.9 million, incentive fees totaled $5.4 million and $14.9 million (including $1.7 million on net realized gains accrued but not payable), debt related interest and expenses totaled $8.9 million and $18.6 million (including $3.9 million of Credit Facility debt issuance costs) and general and administrative expenses totaled $1.9 million and $5.2 million, respectively.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This compares to expenses for the three and nine months ended June 30, 2013, which totaled $16.1 million and $47.8 million, respectively. Base management fee for the same periods totaled $5.4 million and $15.9 million, incentive fees totaled $4.4 million and $12.5 million, debt related interest and expenses (including the $0.3 million and $2.7 million of debt issuance costs associated with our 2025 Notes, respectively) totaled $4.6 million and $14.0 million and general and administrative expenses and excise tax totaled $1.7 million and $5.4 million, respectively. The increase in expenses was primarily due to both growing our portfolio and expanding our borrowing capacity under our Credit Facility.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Net investment income totaled $13.2 million and $51.2 million, or $0.20 and $0.77 per share, for the three and nine months ended June 30, 2014, respectively. Net investment income totaled $17.7 million and $49.9 million, or $0.27 and $0.76 per share, for the three and nine months ended June 30, 2013, respectively. The decrease in net investment income for the three months ended June 30, 2014 compared to the same period in the prior year was due to debt issuance costs that were not incurred in the comparable period. The increase in net investment income for the nine months ended June 30, 2014 was due to the growth of our portfolio offset by higher financing costs and debt issuance costs.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Sales and repayments of investments for the three and nine months ended June 30, 2014 totaled $273.6 million and $534.4 million, respectively, and realized gains totaled $23.3 million and $29.0 million, respectively. Sales and repayments of investments for the three and nine months ended June 30, 2013 totaled $117.8 million and $271.2 million, respectively, and realized gains totaled $15.7 million and $14.7 million, respectively. The increase in realized gains was driven by exits of portfolio companies.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Credit Facility and 2025 Notes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and nine months ended June 30, 2014, we reported net unrealized (depreciation) appreciation on investments of $(1.1) million and $37.4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respectively. For the three and nine months ended June 30, 2013, we reported a net unrealized (depreciation) appreciation on investments of $(20.0)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and $5.2 million, respectively. As of June 30, 2014 and September 30, 2013, our net unrealized appreciation (depreciation) on investments totaled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$24.0 million and $(13.3) million, respectively. Net change in unrealized (depreciation) appreciation on investments was a result of the overall variation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leveraged finance markets as well as the relevant unobservable inputs used in deriving our valuations.</w:t>
      </w:r>
    </w:p>
    <w:p>
      <w:pPr>
        <w:spacing w:after="0" w:line="21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the three and nine months ended June 30, 2014, we reported net unrealized (appreciation) on our Credit Facility and 2025 Notes of $(3.4) million and $(5.4) million, respectively. For the three and nine months ended June 30, 2013, we reported a net unrealized depreciation (appreciation) on our Credit Facility and 2025 Notes of $0.4 million and $(0.5) million, respectively. Net change in unrealized appreciation on the Credit Facility and 2025 Notes over the prior year was due to changes in the capital markets.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Net increase in net assets resulting from operations totaled $31.9 million and $112.1 million, or $0.48 and $1.68 per share, for the three and nine months ended June 30, 2014, respectively. This compares to a net increase in net assets resulting from operations of $13.8 million and $69.3 million, or $0.21 and $1.05 per share, for the three and nine months ended June 30, 2013, respectively. The increase compared to the prior year was due to realized gains, the continued growth of our portfolio and appreciation of our investments.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liquidity and capital resources are derived primarily from proceeds of securities offerings, debt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and proceeds from the rotation of our portfolio and proceeds from public and private offerings of securities to finance our investment objectives.</w:t>
      </w:r>
    </w:p>
    <w:p>
      <w:pPr>
        <w:spacing w:after="0" w:line="18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June 25, 2014, we amended and restated our multi-currency Credit Facility to increase the amount available for borrowing from $445.0 million to $545.0 million, reduce the interest rate spread above LIBOR from 2.75% to 2.25%, reduce the undrawn commitment fee from 0.50% to 0.375% and extend the maturity date from February 21, 2016 to June 25, 2019. This multi-currency Credit Facility is with certain lenders and SunTrust Bank, acting as administrative agent, and JPMorgan Chase Bank, N.A., acting as syndication agent for the lenders. As of June 30, 2014 and September 30, 2013, there was $255.9 million and $145.5 million (including a temporary draw of $28.0 million), respectively, in outstanding borrowings under the Credit Facility, with a weighted average interest rate at the time of 2.52% and 3.33%, exclusive of the fee on undrawn commitments of 0.375% and 0.50%, respectively. The Credit Facility is a five-year revolving facility with a stated maturity date of June 25, 2019, a one-year term-out period following its fourth year and pricing set at 225 basis points over LIBOR. The Credit Facility is secured by substantially all of our assets excluding assets held by our SBIC Funds.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documents governing the Credit Facility contain affirmative and restrictive covenants, including: (a) periodic financial reporting requirements,</w:t>
      </w:r>
    </w:p>
    <w:p>
      <w:pPr>
        <w:spacing w:after="0" w:line="35" w:lineRule="exact"/>
        <w:rPr>
          <w:sz w:val="20"/>
          <w:szCs w:val="20"/>
          <w:color w:val="auto"/>
        </w:rPr>
      </w:pPr>
    </w:p>
    <w:p>
      <w:pPr>
        <w:jc w:val="both"/>
        <w:ind w:right="140" w:firstLine="8"/>
        <w:spacing w:after="0" w:line="281" w:lineRule="auto"/>
        <w:tabs>
          <w:tab w:leader="none" w:pos="2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maintenance of a minimum stockholders’ equity of the sum of (1) $245.2 million plus (2) 25% of the net proceeds from the sale of equity interests in the Company and its subsidiaries after the effective date (other than proceeds from the sale of equity interests by and among the Company and its subsidiaries),</w:t>
      </w:r>
    </w:p>
    <w:p>
      <w:pPr>
        <w:spacing w:after="0" w:line="1" w:lineRule="exact"/>
        <w:rPr>
          <w:rFonts w:ascii="Arial" w:cs="Arial" w:eastAsia="Arial" w:hAnsi="Arial"/>
          <w:sz w:val="16"/>
          <w:szCs w:val="16"/>
          <w:color w:val="auto"/>
        </w:rPr>
      </w:pPr>
    </w:p>
    <w:p>
      <w:pPr>
        <w:ind w:firstLine="8"/>
        <w:spacing w:after="0" w:line="287" w:lineRule="auto"/>
        <w:tabs>
          <w:tab w:leader="none" w:pos="245"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maintenance of an asset coverage ratio of not less than 2.0:1.0, (d) maintenance of minimum liquidity standards, (e) limitations on the incurrence of additional indebtedness, (f) limitations on liens, (g) limitations on fundamental corporate changes, (h) limitations on investments, (i) limitations on payments and distributions, (j) limitations on transactions with affiliates, (k) limitations on engaging in business not contemplated by the Company’s investment objectives, (l) limitations on the creation or existence of agreements that prohibit liens on properties of the Company and its subsidiaries and (m) limitations on the ability to modify long-term indebtedness. In addition to the asset coverage ratio described in clause (c) of the preceding sentence, borrowings under the Credit Facility (and the incurrence of certain other permitted debt) will be subject to compliance with a borrowing base that will apply different advance rates to different types of assets in the Company’s portfolio. The Credit Facility also includes certain customary events of default, including the failure to make timely payments of principal and interest, the occurrence of a change in control and the failure by the Company to materially perform under the operative agreements governing the Credit Facility, which would permit the lenders to accelerate repayment under the Credit Facility.</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January 2013, we issued $71.3 million in aggregate principal amount of 2025 Notes, after exercise of the over-allotment option, for net proceeds of $68.8 million after underwriting discounts and offering costs. Interest on the 2025 Notes is paid quarterly on 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w:t>
      </w:r>
    </w:p>
    <w:p>
      <w:pPr>
        <w:spacing w:after="0" w:line="19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or 2025 Notes. Furthermore, our Credit Facility availability depends on various covenants and</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restrictions. The primary use of existing funds and any funds raised in the future is expected to be for repayment of indebtedness, investments in portfolio companies, cash distributions to our stockholders or for other general corporate or strategic purposes. For the nine months ended June 30, 2014, we did not issue shares of common stock in connection with an equity offering. Any decision to sell shares below the then current NAV per share of our common stock is subject to stockholder approval and a determination by our board of directors that such issuance and sale is in our and our stockholders’ best interests. Any sale or other issuance of shares of our common stock at a price below NAV per share results in immediate dilution to our stockholders’ interests in our common stock and a reduction in our NAV per share.</w:t>
      </w:r>
    </w:p>
    <w:p>
      <w:pPr>
        <w:spacing w:after="0" w:line="19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$150.0 million as of June 30, 2014. We have funded SBIC II with $37.5 million of equity capital and we received a commitment from the SBA to allow SBIC II to access $75.0 million in SBA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$225.0 million in the aggregate.</w:t>
      </w:r>
    </w:p>
    <w:p>
      <w:pPr>
        <w:spacing w:after="0" w:line="178"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As of June 30, 2014 and September 30, 2013, our SBIC Funds had $225.0 million and $150.0 million in debt commitments, respectively, and $150.0 million was drawn for each period. The SBA debentures’ upfront fees of 3.43% consist of a commitment fee of 1.00% and an issuance discount of 2.43%. Both fees will be amortized over the lives of the loans. Our fixed-rate SBA debentures as of June 30, 2014 and September 30, 2013 were as follows:</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8"/>
              </w:rPr>
              <w:t>Issuance Dates</w:t>
            </w:r>
          </w:p>
        </w:tc>
        <w:tc>
          <w:tcPr>
            <w:tcW w:w="3800" w:type="dxa"/>
            <w:vAlign w:val="bottom"/>
            <w:vMerge w:val="restart"/>
          </w:tcPr>
          <w:p>
            <w:pPr>
              <w:spacing w:after="0"/>
              <w:rPr>
                <w:sz w:val="14"/>
                <w:szCs w:val="14"/>
                <w:color w:val="auto"/>
              </w:rPr>
            </w:pPr>
          </w:p>
        </w:tc>
        <w:tc>
          <w:tcPr>
            <w:tcW w:w="13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740" w:type="dxa"/>
            <w:vAlign w:val="bottom"/>
            <w:vMerge w:val="restart"/>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Fixed All-In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vMerge w:val="continue"/>
          </w:tcPr>
          <w:p>
            <w:pPr>
              <w:spacing w:after="0"/>
              <w:rPr>
                <w:sz w:val="14"/>
                <w:szCs w:val="14"/>
                <w:color w:val="auto"/>
              </w:rPr>
            </w:pPr>
          </w:p>
        </w:tc>
        <w:tc>
          <w:tcPr>
            <w:tcW w:w="380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CCEEFF"/>
            </w:tcBorders>
            <w:vMerge w:val="continue"/>
          </w:tcPr>
          <w:p>
            <w:pPr>
              <w:spacing w:after="0"/>
              <w:rPr>
                <w:sz w:val="14"/>
                <w:szCs w:val="1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Coupon Rate</w:t>
            </w:r>
          </w:p>
        </w:tc>
        <w:tc>
          <w:tcPr>
            <w:tcW w:w="5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87"/>
              </w:rPr>
              <w:t>September 1, 2020</w:t>
            </w:r>
          </w:p>
        </w:tc>
        <w:tc>
          <w:tcPr>
            <w:tcW w:w="7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2100" w:type="dxa"/>
            <w:vAlign w:val="bottom"/>
            <w:gridSpan w:val="2"/>
          </w:tcPr>
          <w:p>
            <w:pPr>
              <w:spacing w:after="0"/>
              <w:rPr>
                <w:sz w:val="20"/>
                <w:szCs w:val="20"/>
                <w:color w:val="auto"/>
              </w:rPr>
            </w:pPr>
            <w:r>
              <w:rPr>
                <w:rFonts w:ascii="Arial" w:cs="Arial" w:eastAsia="Arial" w:hAnsi="Arial"/>
                <w:sz w:val="18"/>
                <w:szCs w:val="18"/>
                <w:color w:val="auto"/>
              </w:rPr>
              <w:t>March 1, 2021</w:t>
            </w:r>
          </w:p>
        </w:tc>
        <w:tc>
          <w:tcPr>
            <w:tcW w:w="1320" w:type="dxa"/>
            <w:vAlign w:val="bottom"/>
            <w:gridSpan w:val="2"/>
          </w:tcPr>
          <w:p>
            <w:pPr>
              <w:ind w:left="500"/>
              <w:spacing w:after="0"/>
              <w:rPr>
                <w:sz w:val="20"/>
                <w:szCs w:val="20"/>
                <w:color w:val="auto"/>
              </w:rPr>
            </w:pPr>
            <w:r>
              <w:rPr>
                <w:rFonts w:ascii="Arial" w:cs="Arial" w:eastAsia="Arial" w:hAnsi="Arial"/>
                <w:sz w:val="18"/>
                <w:szCs w:val="18"/>
                <w:color w:val="auto"/>
              </w:rPr>
              <w:t>4.46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44,500,000</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2021</w:t>
            </w:r>
          </w:p>
        </w:tc>
        <w:tc>
          <w:tcPr>
            <w:tcW w:w="8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5"/>
              </w:rPr>
              <w:t>3.38</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Weighted Average Rate/Total</w:t>
            </w:r>
          </w:p>
        </w:tc>
        <w:tc>
          <w:tcPr>
            <w:tcW w:w="1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gridSpan w:val="2"/>
          </w:tcPr>
          <w:p>
            <w:pPr>
              <w:ind w:left="500"/>
              <w:spacing w:after="0"/>
              <w:rPr>
                <w:sz w:val="20"/>
                <w:szCs w:val="20"/>
                <w:color w:val="auto"/>
              </w:rPr>
            </w:pPr>
            <w:r>
              <w:rPr>
                <w:rFonts w:ascii="Arial" w:cs="Arial" w:eastAsia="Arial" w:hAnsi="Arial"/>
                <w:sz w:val="18"/>
                <w:szCs w:val="18"/>
                <w:color w:val="auto"/>
              </w:rPr>
              <w:t>3.70%</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June 30, 2014, our SBIC Funds were in compliance with their regulatory requirements.</w:t>
      </w:r>
    </w:p>
    <w:p>
      <w:pPr>
        <w:spacing w:after="0" w:line="17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accordance with the 1940 Act, with certain limited exceptions, PennantPark Investment is only allowed to borrow amounts such that our asset coverage ratio is met after such borrowing. As of June 30, 2014 and September 30, 2013, we excluded the principal amounts of our SBA debentures from our asset coverage ratio pursuant to SEC exemptive relief. In June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On June 30, 2014 and September 30, 2013, we had cash and cash equivalents of $64.4 million and $58.4 million, respectively, available for investing and general corporate purposes. We believe our liquidity and capital resources are sufficient to take advantage of market opportunities.</w:t>
      </w:r>
    </w:p>
    <w:p>
      <w:pPr>
        <w:spacing w:after="0" w:line="14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operating activities used cash of $48.4 million for the nine months ended June 30, 2014, primarily for net purchases of investments. Our financing activities provided cash of $54.5 million for the same period, primarily from net borrowings under our Credit Facility.</w:t>
      </w:r>
    </w:p>
    <w:p>
      <w:pPr>
        <w:spacing w:after="0" w:line="170"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Our operating activities provided cash of $11.1 million for the nine months ended June 30, 2013, primarily from operating income. Our financing activities used cash of $2.4 million for the same period, primarily to repay certain amounts outstanding under our Credit Facility.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 summary of our significant contractual payment obligations as of June 30, 2014, including borrowings under our various debt facilities and other contractual obligations,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Payments due by period (in millions)</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3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1-3</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53"/>
              <w:spacing w:after="0" w:line="119" w:lineRule="exact"/>
              <w:rPr>
                <w:sz w:val="20"/>
                <w:szCs w:val="20"/>
                <w:color w:val="auto"/>
              </w:rPr>
            </w:pPr>
            <w:r>
              <w:rPr>
                <w:rFonts w:ascii="Arial" w:cs="Arial" w:eastAsia="Arial" w:hAnsi="Arial"/>
                <w:sz w:val="13"/>
                <w:szCs w:val="13"/>
                <w:b w:val="1"/>
                <w:bCs w:val="1"/>
                <w:color w:val="auto"/>
              </w:rPr>
              <w:t>3-5</w:t>
            </w:r>
          </w:p>
        </w:tc>
        <w:tc>
          <w:tcPr>
            <w:tcW w:w="50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8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7"/>
              </w:rPr>
              <w:t>years</w:t>
            </w:r>
          </w:p>
        </w:tc>
        <w:tc>
          <w:tcPr>
            <w:tcW w:w="10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Facility</w:t>
            </w: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$255.9</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255.9</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SBA debentures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150.0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Notes</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Total debt outstanding</w:t>
            </w:r>
            <w:r>
              <w:rPr>
                <w:rFonts w:ascii="Arial" w:cs="Arial" w:eastAsia="Arial" w:hAnsi="Arial"/>
                <w:sz w:val="15"/>
                <w:szCs w:val="15"/>
                <w:color w:val="auto"/>
              </w:rPr>
              <w:t>(2)</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477.2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255.9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5"/>
                <w:szCs w:val="15"/>
                <w:color w:val="auto"/>
              </w:rPr>
              <w:t>(3)</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1.9</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497.6</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79"/>
              </w:rPr>
              <w:t>1.</w:t>
            </w:r>
            <w:r>
              <w:rPr>
                <w:rFonts w:ascii="Arial" w:cs="Arial" w:eastAsia="Arial" w:hAnsi="Arial"/>
                <w:sz w:val="18"/>
                <w:szCs w:val="18"/>
                <w:u w:val="single" w:color="auto"/>
                <w:color w:val="auto"/>
                <w:w w:val="79"/>
              </w:rPr>
              <w:t>9</w:t>
            </w:r>
          </w:p>
        </w:tc>
        <w:tc>
          <w:tcPr>
            <w:tcW w:w="5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$ 8.5</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5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borrowings denominated in British Pounds of £34.0 million, as of June 30, 2014.</w:t>
      </w:r>
    </w:p>
    <w:p>
      <w:pPr>
        <w:spacing w:after="0" w:line="23" w:lineRule="exact"/>
        <w:rPr>
          <w:rFonts w:ascii="Arial" w:cs="Arial" w:eastAsia="Arial" w:hAnsi="Arial"/>
          <w:sz w:val="18"/>
          <w:szCs w:val="18"/>
          <w:color w:val="auto"/>
        </w:rPr>
      </w:pPr>
    </w:p>
    <w:p>
      <w:pPr>
        <w:ind w:left="460" w:right="54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annualized weighted average cost of debt as of June 30, 2014, excluding debt issuance costs, was 3.94% inclusive of the fee on the undrawn commitment of 0.375% on the Credit Facility and 3.43% of upfront fees on SBA debentures.</w:t>
      </w:r>
    </w:p>
    <w:p>
      <w:pPr>
        <w:ind w:left="460" w:right="72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Unfunded debt and equity investments described in the Consolidated Statement of Assets and Liabilities represent unfunded delayed draws on investments and/or revolving lines of credit.</w:t>
      </w:r>
    </w:p>
    <w:p>
      <w:pPr>
        <w:spacing w:after="0" w:line="18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2014, PennantPark Investment Advisers serves as our Investment Adviser in accordance with the terms of that Investment Management Agreement.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base management fee equal to a percentage of the value of our average adjusted gross assets and (2) an incentive fee based on our performance.</w:t>
      </w:r>
    </w:p>
    <w:p>
      <w:pPr>
        <w:spacing w:after="0" w:line="16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Under our Administration Agreement, which was most recently reapproved by our board of directors, including a majority of our directors who are not interested persons of us, in February 2014,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PennantPark Investment Advisers or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 For the three and nine months ended June 30, 2014, the Investment Adviser was reimbursed $0.6 million and $2.7 million, respectively, from us, including expenses incurred on behalf of the Administrator, for the services described above. For the three and nine months ended June 30, 2013, the Investment Adviser was reimbursed $0.5 million and $2.5 million, respectively, from us, including expenses incurred on behalf of the Administrator, for the services described above.</w:t>
      </w:r>
    </w:p>
    <w:p>
      <w:pPr>
        <w:spacing w:after="0" w:line="167"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4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We, in the ordinary course of business, have guaranteed certain obligations of our controlled affiliate SuttonPark Holdings, Inc. and its subsidiaries, or SPH. The guaranties are only triggered if there were administrative errors in acquiring assets which SPH subsequently sold or securitized. As of June 30, 2014 and September 30, 2013, our maximum guaranty was $11.3 million and $13.0 million, respectively. Based on SPH’s and the industry’s historical loss rates we believe the risk of loss is remote, thus, we have not recorded a liability associated with the guaranties. The current guaranties will decline over time.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Off-Balance-Sheet Arrangements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currently engage in no off-balance-sheet arrangements, including any risk management of commodity pricing or other hedging practices.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our realized net capital gains for the one-year period ending on October 31 of the calendar year and</w:t>
      </w:r>
    </w:p>
    <w:p>
      <w:pPr>
        <w:spacing w:after="0" w:line="2" w:lineRule="exact"/>
        <w:rPr>
          <w:sz w:val="20"/>
          <w:szCs w:val="20"/>
          <w:color w:val="auto"/>
        </w:rPr>
      </w:pPr>
    </w:p>
    <w:p>
      <w:pPr>
        <w:ind w:right="20" w:firstLine="8"/>
        <w:spacing w:after="0" w:line="254"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 As a RIC, we are generally not subject to tax on income and have elected to retain a portion of our calendar year income.</w:t>
      </w:r>
    </w:p>
    <w:p>
      <w:pPr>
        <w:spacing w:after="0" w:line="1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During the three and nine months ended June 30, 2014, we declared to stockholders distributions of $0.28 and $0.84 per share, respectively, for total distributions of $18.6 million and $55.9 million, respectively. For the same periods in the prior year, we declared distributions of $0.28 and $0.84 per share, respectively, for total distributions of $18.6 million and $55.8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make quarterly distributions to our stockholders. Our quarterly distributions, if any, are determined by our board of directors.</w:t>
      </w:r>
    </w:p>
    <w:p>
      <w:pPr>
        <w:spacing w:after="0" w:line="24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Since June 30, 2014 through August 31, 2014, we invested $217.6 million in three new and eight existing portfolio companies with a weighted average yield on debt investments of 13.2%. Sales and repayments of investments for the same period totaled $35.9 million. As of August 31, 2014, there was $452.2 million in outstanding borrowings under our Credit Facility.</w:t>
      </w:r>
    </w:p>
    <w:p>
      <w:pPr>
        <w:spacing w:after="0" w:line="181"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On September 3, 2014, we announced that we have asked J.P. Morgan, Morgan Stanley, Goldman, Sachs &amp; Co. and SunTrust Robinson Humphrey to organize a series of fixed income investor meetings from September 8, 2014 through September 10, 2014. A debt capital markets transaction may follow, subject to market conditions. We cannot assure you of the timing of such a debt capital markets transaction, or that such a transaction will occur.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 to Determination of NAV—Determinations In Connection With Offerings</w:t>
      </w:r>
    </w:p>
    <w:p>
      <w:pPr>
        <w:spacing w:after="0" w:line="117" w:lineRule="exact"/>
        <w:rPr>
          <w:sz w:val="20"/>
          <w:szCs w:val="20"/>
          <w:color w:val="auto"/>
        </w:rPr>
      </w:pPr>
    </w:p>
    <w:p>
      <w:pPr>
        <w:jc w:val="center"/>
        <w:ind w:right="180"/>
        <w:spacing w:after="0" w:line="342" w:lineRule="auto"/>
        <w:rPr>
          <w:sz w:val="20"/>
          <w:szCs w:val="20"/>
          <w:color w:val="auto"/>
        </w:rPr>
      </w:pPr>
      <w:r>
        <w:rPr>
          <w:rFonts w:ascii="Arial" w:cs="Arial" w:eastAsia="Arial" w:hAnsi="Arial"/>
          <w:sz w:val="16"/>
          <w:szCs w:val="16"/>
          <w:color w:val="auto"/>
        </w:rPr>
        <w:t>We may offer shares of our common stock at a discount from our most recently determined NAV per share pursuant to authority granted by our stockholders on February 4, 2014. In addition, we may sell shares of our common stock at a price below NAV per share if the following conditions are met:</w:t>
      </w:r>
    </w:p>
    <w:p>
      <w:pPr>
        <w:spacing w:after="0" w:line="29"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13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majority of such directors, in consultation with the underwriters of the offering,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8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board of directors may determine that it would be in our and our stockholders’ best interests to issue shares of our common stock below NAV. Sales of common stock at prices below NAV per share dilute the interests of existing stockholders, have the effect of reducing our NAV per share and may reduce our market price per share. See “Risk Factors” on page 8 of the accompanying prospectus and “Sales of Common Stock Below Net Asset Value” on page 37 of the accompanying prospectus.</w:t>
      </w:r>
    </w:p>
    <w:p>
      <w:pPr>
        <w:spacing w:after="0" w:line="18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received the consent of the majority of our common stockholders to do so and the board decides such offering is in the best interests of our common stockholders.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Whenever we do not have current shareholder approval to issue shares of our common stock at a price per share below our then current NAV per share, the offering price per share (exclusive of any distributing commission or discount) will equal or exceed NAV per share, based on the value of our portfolio securities and other assets determined in good faith by our board of directors as of a time within 48 hours (excluding Sundays and holidays) of the sale. See “Sales of Common Stock below Net Asset Value” in the accompanying prospectus for more information.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are subject to financial market risks, including changes in interest rates. As of June 30, 2014, our debt portfolio consisted of 39% fixed-rate investments and 61% variable-rate investments (including 53% with a LIBOR or prime floor).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7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Assuming that the most recent statement of assets and liabilities was to remain constant, and no actions were taken to alter the interest rate sensitivity, the following table shows the annualized impact of hypothetical base rate changes in interest rates: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Interest</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Change In Interest Rates</w:t>
            </w:r>
          </w:p>
        </w:tc>
        <w:tc>
          <w:tcPr>
            <w:tcW w:w="3740" w:type="dxa"/>
            <w:vAlign w:val="bottom"/>
          </w:tcPr>
          <w:p>
            <w:pPr>
              <w:spacing w:after="0"/>
              <w:rPr>
                <w:sz w:val="12"/>
                <w:szCs w:val="12"/>
                <w:color w:val="auto"/>
              </w:rPr>
            </w:pPr>
          </w:p>
        </w:tc>
        <w:tc>
          <w:tcPr>
            <w:tcW w:w="2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Income, Net Of Interest</w:t>
            </w:r>
          </w:p>
        </w:tc>
        <w:tc>
          <w:tcPr>
            <w:tcW w:w="1300" w:type="dxa"/>
            <w:vAlign w:val="bottom"/>
            <w:gridSpan w:val="4"/>
            <w:vMerge w:val="restart"/>
          </w:tcPr>
          <w:p>
            <w:pPr>
              <w:ind w:left="58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71"/>
        </w:trPr>
        <w:tc>
          <w:tcPr>
            <w:tcW w:w="1540" w:type="dxa"/>
            <w:vAlign w:val="bottom"/>
            <w:vMerge w:val="continue"/>
          </w:tcPr>
          <w:p>
            <w:pPr>
              <w:spacing w:after="0"/>
              <w:rPr>
                <w:sz w:val="14"/>
                <w:szCs w:val="14"/>
                <w:color w:val="auto"/>
              </w:rPr>
            </w:pPr>
          </w:p>
        </w:tc>
        <w:tc>
          <w:tcPr>
            <w:tcW w:w="5840" w:type="dxa"/>
            <w:vAlign w:val="bottom"/>
            <w:gridSpan w:val="4"/>
          </w:tcPr>
          <w:p>
            <w:pPr>
              <w:ind w:left="3740"/>
              <w:spacing w:after="0"/>
              <w:rPr>
                <w:sz w:val="20"/>
                <w:szCs w:val="20"/>
                <w:color w:val="auto"/>
              </w:rPr>
            </w:pPr>
            <w:r>
              <w:rPr>
                <w:rFonts w:ascii="Arial" w:cs="Arial" w:eastAsia="Arial" w:hAnsi="Arial"/>
                <w:sz w:val="14"/>
                <w:szCs w:val="14"/>
                <w:b w:val="1"/>
                <w:bCs w:val="1"/>
                <w:color w:val="auto"/>
              </w:rPr>
              <w:t>Expense (In Thousands)</w:t>
            </w:r>
          </w:p>
        </w:tc>
        <w:tc>
          <w:tcPr>
            <w:tcW w:w="13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1%</w:t>
            </w:r>
          </w:p>
        </w:tc>
        <w:tc>
          <w:tcPr>
            <w:tcW w:w="3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(0.02)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Up 2%</w:t>
            </w:r>
          </w:p>
        </w:tc>
        <w:tc>
          <w:tcPr>
            <w:tcW w:w="3860" w:type="dxa"/>
            <w:vAlign w:val="bottom"/>
            <w:gridSpan w:val="2"/>
          </w:tcPr>
          <w:p>
            <w:pPr>
              <w:ind w:left="374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2,797</w:t>
            </w:r>
          </w:p>
        </w:tc>
        <w:tc>
          <w:tcPr>
            <w:tcW w:w="600" w:type="dxa"/>
            <w:vAlign w:val="bottom"/>
          </w:tcPr>
          <w:p>
            <w:pPr>
              <w:spacing w:after="0"/>
              <w:rPr>
                <w:sz w:val="18"/>
                <w:szCs w:val="18"/>
                <w:color w:val="auto"/>
              </w:rPr>
            </w:pP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3%</w:t>
            </w:r>
          </w:p>
        </w:tc>
        <w:tc>
          <w:tcPr>
            <w:tcW w:w="3860" w:type="dxa"/>
            <w:vAlign w:val="bottom"/>
            <w:gridSpan w:val="2"/>
            <w:shd w:val="clear" w:color="auto" w:fill="CCEEFF"/>
          </w:tcPr>
          <w:p>
            <w:pPr>
              <w:ind w:left="374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Up 4%</w:t>
            </w:r>
          </w:p>
        </w:tc>
        <w:tc>
          <w:tcPr>
            <w:tcW w:w="3860" w:type="dxa"/>
            <w:vAlign w:val="bottom"/>
            <w:gridSpan w:val="2"/>
          </w:tcPr>
          <w:p>
            <w:pPr>
              <w:ind w:left="374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10,494</w:t>
            </w:r>
          </w:p>
        </w:tc>
        <w:tc>
          <w:tcPr>
            <w:tcW w:w="600" w:type="dxa"/>
            <w:vAlign w:val="bottom"/>
          </w:tcPr>
          <w:p>
            <w:pPr>
              <w:spacing w:after="0"/>
              <w:rPr>
                <w:sz w:val="20"/>
                <w:szCs w:val="20"/>
                <w:color w:val="auto"/>
              </w:rPr>
            </w:pP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8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supplement, we did not engage in interest rate hedging activities.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340"/>
          </w:cols>
          <w:pgMar w:left="240" w:top="459"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We intend to offer the shares through the underwriters named in the table below. Morgan Stanley &amp; Co. LLC, Goldman, Sachs &amp; Co., J.P. Morgan Securities LLC, UBS Securities LLC and Keefe, Bruyette &amp; Woods, Inc.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number of shares set forth opposite the underwriter’s name.</w:t>
      </w:r>
    </w:p>
    <w:p>
      <w:pPr>
        <w:spacing w:after="0" w:line="17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 Names</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71"/>
        </w:trPr>
        <w:tc>
          <w:tcPr>
            <w:tcW w:w="6580" w:type="dxa"/>
            <w:vAlign w:val="bottom"/>
            <w:gridSpan w:val="2"/>
            <w:vMerge w:val="continue"/>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96"/>
        </w:trPr>
        <w:tc>
          <w:tcPr>
            <w:tcW w:w="1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5"/>
              </w:rPr>
              <w:t>Morgan Stanley</w:t>
            </w:r>
          </w:p>
        </w:tc>
        <w:tc>
          <w:tcPr>
            <w:tcW w:w="5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&amp; Co. LLC</w:t>
            </w: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10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underwriting agreement provides that the obligations of the underwriters to purchase the shares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shares included in this offering, other than those shares covered by the option to purchase additional shares described below, if they purchase any of the shares. The underwriters reserve the right to withdraw, cancel or modify offers to the public and to reject orders in whole or in part.</w:t>
      </w:r>
    </w:p>
    <w:p>
      <w:pPr>
        <w:spacing w:after="0" w:line="173"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underwriters have advised us that they propose initially to offer the shares to the public at the public offering price on the cover page of this prospectus supplement and to certain other Financial Industry Regulatory Authority (FINRA) members at that price less a concession not in excess of $ per share. After the public offering, the public offering price, concession and discount may be changed. No such change shall change the amount of proceeds to be received by us as set forth on the cover page of this prospectus supplement.</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table shows the per share and total underwriting discounts and commissions we will pay to the underwriters assuming both no exercise and full exercise of the underwriters’ option to purchase up to an additional 1,650,000 shares.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9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Per Share</w:t>
            </w:r>
          </w:p>
        </w:tc>
        <w:tc>
          <w:tcPr>
            <w:tcW w:w="6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Without Option</w:t>
            </w:r>
          </w:p>
        </w:tc>
        <w:tc>
          <w:tcPr>
            <w:tcW w:w="6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With Option</w:t>
            </w: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Underwriting discount</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02"/>
        </w:trPr>
        <w:tc>
          <w:tcPr>
            <w:tcW w:w="5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Proceeds to PennantPark Investment Corporation (before offering</w:t>
            </w: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0"/>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 of $500,000)</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granted an option to the underwriters to purchase up to 1,650,000 additional shares at the public offering price less the underwriting discount. The underwriters may exercise this option for 30 days from the date of this prospectus supplement. If the underwriters exercise this option, each will be obligated, subject to conditions contained in the underwriting agreement, to purchase the additional shares approximately proportionate to that underwriter’s initial purchase commitment.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have agreed, with exceptions, not to sell or transfer any shares for 90 days after the date of this prospectus supplement without first obtaining the written consent of Morgan Stanley &amp; Co. LLC.</w:t>
      </w:r>
    </w:p>
    <w:p>
      <w:pPr>
        <w:spacing w:after="0" w:line="170" w:lineRule="exact"/>
        <w:rPr>
          <w:sz w:val="20"/>
          <w:szCs w:val="20"/>
          <w:color w:val="auto"/>
        </w:rPr>
      </w:pPr>
    </w:p>
    <w:p>
      <w:pPr>
        <w:jc w:val="both"/>
        <w:ind w:right="320" w:firstLine="456"/>
        <w:spacing w:after="0" w:line="286" w:lineRule="auto"/>
        <w:rPr>
          <w:sz w:val="20"/>
          <w:szCs w:val="20"/>
          <w:color w:val="auto"/>
        </w:rPr>
      </w:pPr>
      <w:r>
        <w:rPr>
          <w:rFonts w:ascii="Arial" w:cs="Arial" w:eastAsia="Arial" w:hAnsi="Arial"/>
          <w:sz w:val="17"/>
          <w:szCs w:val="17"/>
          <w:color w:val="auto"/>
        </w:rPr>
        <w:t>Our executive officers and directors, PennantPark Investment Advisers, LLC, and Pennant Park Investment Administration, LLC have agreed, with exceptions, not to sell or transfer any common stock for 90 days after the date of this prospectus supplement without first obtaining the written consent of Morgan Stanley &amp; Co. LLC. Specifically, we and these other individuals and entities have agreed not to directly or indirectly:</w:t>
      </w:r>
    </w:p>
    <w:p>
      <w:pPr>
        <w:spacing w:after="0" w:line="71"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stock whether any such swap or transaction is to be settled by delivery of common stock or other securities, in cash or otherwise.</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on the NASDAQ Global Select Market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Global Select Market under the symbol “PNNT.”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Until the distribution of the shares is completed, SEC rules may limit the underwriters from bidding for and purchasing our common stock. However, the underwriters may engage in transactions that stabilize the price of the common stock, such as bids or purchases to peg, fix or maintain that price.</w:t>
      </w:r>
    </w:p>
    <w:p>
      <w:pPr>
        <w:spacing w:after="0" w:line="124"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If the underwriters create a short position in the common stock in connection with the offering (i.e., if they sell more shares than are listed on the cover of this prospectus supplement), the underwriters may reduce that short position by purchasing shares in the open market. The underwriters may also elect to reduce any short position by exercising all or part of the option to purchase additional shares as described above. In making this determination, the underwriters will consider, among other things, the price of shares available for purchase in the open market compared to the price at which the underwriters may purchase shares through the option to purchase additional shares. Purchases of the common stock to stabilize its price or to reduce a short position may cause the price of the common stock to be higher than it might be in the absence of such purchases.</w:t>
      </w:r>
    </w:p>
    <w:p>
      <w:pPr>
        <w:spacing w:after="0" w:line="178"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Neither we nor any of the underwriters make any representation or prediction as to the magnitude of any effect that the transactions described above may have on the price of the common stock. In addition, neither we nor any of the underwriters make any representation that the underwriters will engage in these transactions or that these transactions, once commenced, will not be discontinued without notice.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have provided in the past to PennantPark Investment and may provide from time to time in the future in the ordinary course of their business certain commercial banking, financial advisory, investment banking and other services to PennantPark Investment for which they will be entitled to receive customary fees and expenses. In particular, the underwriters or their affiliates may execute transactions with or on behalf of PennantPark Investment. In addition, the underwriters or their affiliates may act as arrangers, underwriters or placement agents for companies whose securities are sold to PennantPark Investment.</w:t>
      </w:r>
    </w:p>
    <w:p>
      <w:pPr>
        <w:spacing w:after="0" w:line="178"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In the ordinary course of their various business activities, the underwriters or their affiliates may also trade in our securities, securities of our portfolio companies or other related financial instruments for their own accounts or for the account of others and may extend loans or financing directly or through derivative transactions to PennantPark Investment or any of the portfolio companies. The underwriters and their respective affiliates may also make investment recommendations and/or publish or express independent research views in respect of such securities or instruments and may at the time hold, or recommend to clients that they acquire, long and/or short positions in such securities and instruments.</w:t>
      </w:r>
    </w:p>
    <w:p>
      <w:pPr>
        <w:spacing w:after="0" w:line="173"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its business and not in connection with the offering of the common stock. In addition, after the offering period for the sale of our shares, the underwriters or their affiliates may develop analyses or opinions related to PennantPark Investment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Investment to our stockholders.</w:t>
      </w:r>
    </w:p>
    <w:p>
      <w:pPr>
        <w:spacing w:after="0" w:line="18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Affiliates of certain of the underwriters serve as lenders under our Credit Facility and may serve as lenders under any future credit facilities. Some of the underwriters and their affiliates were underwriters in connection with our initial public offerings and follow-on public offering for which they received customary fees. Affiliates of the underwriters may receive part of the proceeds of the offering by reason of the repayment of certain amounts outstanding under our Credit Facility.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The principal business addresses of the underwriters are: Morgan Stanley &amp; Co. LLC, 180 Varick Street, 2nd Floor, New York, NY 10014; Goldman, Sachs &amp; Co., 200 West Street, New York, New York 10282; J.P. Morgan Securities LLC, 383 Madison Avenue, New York, NY 10179; UBS Securities LLC, 299 Park Avenue, New York, NY 10171; and Keefe, Bruyette &amp; Woods, Inc., 787 Seventh Avenue, 4th Floor, New York, NY 10019.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This prospectus is not a final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securities.</w:t>
      </w:r>
    </w:p>
    <w:p>
      <w:pPr>
        <w:spacing w:after="0" w:line="17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securities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the securities has been, or will be, prepared.</w:t>
      </w:r>
    </w:p>
    <w:p>
      <w:pPr>
        <w:spacing w:after="0" w:line="14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This prospectus does not constitute an offer in Australia other than to wholesale clients. By submitting an application for our securities, you represent and warrant to us that you are a wholesale client for the purposes of section 761G of the Corporations Act 2001 (Australia). If any recipient of this prospectus is not a wholesale client, no offer of, or invitation to apply for, our securities shall be deemed to be made to such recipient and no applications for our securities will be accepted from such recipient. Any offer to a recipient in Australia, and any agreement arising from acceptance of such offer, is personal and may only be accepted by the recipient. In addition, by applying for our securities you undertake to us that, for a period of 12 months from the date of issue of the securities, you will not transfer any interest in the securities to any person in Australia other than to a wholesale client.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12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securities may not be offered or sold in Hong Kong, by means of this prospectus or any document other than (i) to “professional investors” within the meaning of the Securities and Futures Ordinance (Cap.571, Laws of Hong Kong) and any rules made thereunder, or (ii) in circumstances which do not constitute an offer to the public within the meaning of the Companies Ordinance (Cap.32, Laws of Hong Kong), or (iii) in other circumstances which do not result in the document being a “prospectus” within the meaning of the Companies Ordinance (Cap.32, Laws of Hong Kong). No advertisement, invitation or document relating to our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securities which are or are intended to be disposed of only to persons outside Hong Kong or only to “professional investors” within the meaning of the Securities and Futures Ordinance (Cap. 571, Laws of Hong Kong) and any rules made thereunder.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legal matters regarding the securities offered by this prospectus supplement will be passed upon for PennantPark Investment Corporation by Dechert LLP, Washington, D.C., and Venable LLP, Baltimore, Maryland. Dechert LLP has from time to time represented the underwriters, PennantPark Investment Corporation and the Investment Adviser on unrelated matters. Certain legal matters in connection with the offering will be passed upon for the underwriters by Fried, Frank, Harris, Shriver &amp; Jacobson LLP, New York, NY.</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40"/>
          </w:cols>
          <w:pgMar w:left="240" w:top="459" w:right="5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9160" w:type="dxa"/>
            <w:vAlign w:val="bottom"/>
            <w:gridSpan w:val="9"/>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160" w:type="dxa"/>
            <w:vAlign w:val="bottom"/>
          </w:tcPr>
          <w:p>
            <w:pPr>
              <w:spacing w:after="0"/>
              <w:rPr>
                <w:sz w:val="17"/>
                <w:szCs w:val="17"/>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5740" w:type="dxa"/>
            <w:vAlign w:val="bottom"/>
            <w:gridSpan w:val="7"/>
          </w:tcPr>
          <w:p>
            <w:pPr>
              <w:jc w:val="center"/>
              <w:ind w:right="1140"/>
              <w:spacing w:after="0"/>
              <w:rPr>
                <w:sz w:val="20"/>
                <w:szCs w:val="20"/>
                <w:color w:val="auto"/>
              </w:rPr>
            </w:pPr>
            <w:r>
              <w:rPr>
                <w:rFonts w:ascii="Arial" w:cs="Arial" w:eastAsia="Arial" w:hAnsi="Arial"/>
                <w:sz w:val="18"/>
                <w:szCs w:val="18"/>
                <w:b w:val="1"/>
                <w:bCs w:val="1"/>
                <w:color w:val="auto"/>
              </w:rPr>
              <w:t>INDEX TO FINANCIAL STATEMENTS</w:t>
            </w:r>
          </w:p>
        </w:tc>
        <w:tc>
          <w:tcPr>
            <w:tcW w:w="2160" w:type="dxa"/>
            <w:vAlign w:val="bottom"/>
          </w:tcPr>
          <w:p>
            <w:pPr>
              <w:spacing w:after="0"/>
              <w:rPr>
                <w:sz w:val="24"/>
                <w:szCs w:val="24"/>
                <w:color w:val="auto"/>
              </w:rPr>
            </w:pPr>
          </w:p>
        </w:tc>
      </w:tr>
      <w:tr>
        <w:trPr>
          <w:trHeight w:val="234"/>
        </w:trPr>
        <w:tc>
          <w:tcPr>
            <w:tcW w:w="9160" w:type="dxa"/>
            <w:vAlign w:val="bottom"/>
            <w:gridSpan w:val="9"/>
          </w:tcPr>
          <w:p>
            <w:pPr>
              <w:spacing w:after="0"/>
              <w:rPr>
                <w:sz w:val="20"/>
                <w:szCs w:val="20"/>
                <w:color w:val="auto"/>
              </w:rPr>
            </w:pPr>
            <w:r>
              <w:rPr>
                <w:rFonts w:ascii="Arial" w:cs="Arial" w:eastAsia="Arial" w:hAnsi="Arial"/>
                <w:sz w:val="18"/>
                <w:szCs w:val="18"/>
                <w:b w:val="1"/>
                <w:bCs w:val="1"/>
                <w:color w:val="auto"/>
              </w:rPr>
              <w:t>Interim Financial Statements</w:t>
            </w:r>
          </w:p>
        </w:tc>
        <w:tc>
          <w:tcPr>
            <w:tcW w:w="2160" w:type="dxa"/>
            <w:vAlign w:val="bottom"/>
          </w:tcPr>
          <w:p>
            <w:pPr>
              <w:spacing w:after="0"/>
              <w:rPr>
                <w:sz w:val="20"/>
                <w:szCs w:val="20"/>
                <w:color w:val="auto"/>
              </w:rPr>
            </w:pPr>
          </w:p>
        </w:tc>
      </w:tr>
      <w:tr>
        <w:trPr>
          <w:trHeight w:val="419"/>
        </w:trPr>
        <w:tc>
          <w:tcPr>
            <w:tcW w:w="9160" w:type="dxa"/>
            <w:vAlign w:val="bottom"/>
            <w:gridSpan w:val="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Report of Independent Registered Public Accounting Firm</w:t>
              </w:r>
            </w:hyperlink>
          </w:p>
        </w:tc>
        <w:tc>
          <w:tcPr>
            <w:tcW w:w="2160" w:type="dxa"/>
            <w:vAlign w:val="bottom"/>
          </w:tcPr>
          <w:p>
            <w:pPr>
              <w:ind w:left="1820"/>
              <w:spacing w:after="0"/>
              <w:rPr>
                <w:sz w:val="20"/>
                <w:szCs w:val="20"/>
                <w:color w:val="auto"/>
              </w:rPr>
            </w:pPr>
            <w:r>
              <w:rPr>
                <w:rFonts w:ascii="Arial" w:cs="Arial" w:eastAsia="Arial" w:hAnsi="Arial"/>
                <w:sz w:val="18"/>
                <w:szCs w:val="18"/>
                <w:color w:val="auto"/>
                <w:w w:val="84"/>
              </w:rPr>
              <w:t>S-39</w:t>
            </w:r>
          </w:p>
        </w:tc>
      </w:tr>
      <w:tr>
        <w:trPr>
          <w:trHeight w:val="20"/>
        </w:trPr>
        <w:tc>
          <w:tcPr>
            <w:tcW w:w="34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04"/>
        </w:trPr>
        <w:tc>
          <w:tcPr>
            <w:tcW w:w="68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Consolidated Statements of Assets and Liabilities as of June 30, 2014 and September 30, 2013</w:t>
              </w:r>
            </w:hyperlink>
          </w:p>
        </w:tc>
        <w:tc>
          <w:tcPr>
            <w:tcW w:w="2340" w:type="dxa"/>
            <w:vAlign w:val="bottom"/>
            <w:gridSpan w:val="3"/>
          </w:tcPr>
          <w:p>
            <w:pPr>
              <w:spacing w:after="0"/>
              <w:rPr>
                <w:sz w:val="24"/>
                <w:szCs w:val="24"/>
                <w:color w:val="auto"/>
              </w:rPr>
            </w:pPr>
          </w:p>
        </w:tc>
        <w:tc>
          <w:tcPr>
            <w:tcW w:w="2160" w:type="dxa"/>
            <w:vAlign w:val="bottom"/>
          </w:tcPr>
          <w:p>
            <w:pPr>
              <w:ind w:left="1820"/>
              <w:spacing w:after="0"/>
              <w:rPr>
                <w:sz w:val="20"/>
                <w:szCs w:val="20"/>
                <w:color w:val="auto"/>
              </w:rPr>
            </w:pPr>
            <w:r>
              <w:rPr>
                <w:rFonts w:ascii="Arial" w:cs="Arial" w:eastAsia="Arial" w:hAnsi="Arial"/>
                <w:sz w:val="18"/>
                <w:szCs w:val="18"/>
                <w:color w:val="auto"/>
                <w:w w:val="84"/>
              </w:rPr>
              <w:t>S-40</w:t>
            </w:r>
          </w:p>
        </w:tc>
      </w:tr>
      <w:tr>
        <w:trPr>
          <w:trHeight w:val="304"/>
        </w:trPr>
        <w:tc>
          <w:tcPr>
            <w:tcW w:w="72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Consolidated Statements of Operations for the three and nine months ended June 30, 2014 and 2013</w:t>
              </w:r>
            </w:hyperlink>
          </w:p>
        </w:tc>
        <w:tc>
          <w:tcPr>
            <w:tcW w:w="1940" w:type="dxa"/>
            <w:vAlign w:val="bottom"/>
            <w:gridSpan w:val="2"/>
          </w:tcPr>
          <w:p>
            <w:pPr>
              <w:spacing w:after="0"/>
              <w:rPr>
                <w:sz w:val="24"/>
                <w:szCs w:val="24"/>
                <w:color w:val="auto"/>
              </w:rPr>
            </w:pPr>
          </w:p>
        </w:tc>
        <w:tc>
          <w:tcPr>
            <w:tcW w:w="2160" w:type="dxa"/>
            <w:vAlign w:val="bottom"/>
          </w:tcPr>
          <w:p>
            <w:pPr>
              <w:ind w:left="1820"/>
              <w:spacing w:after="0"/>
              <w:rPr>
                <w:sz w:val="20"/>
                <w:szCs w:val="20"/>
                <w:color w:val="auto"/>
              </w:rPr>
            </w:pPr>
            <w:r>
              <w:rPr>
                <w:rFonts w:ascii="Arial" w:cs="Arial" w:eastAsia="Arial" w:hAnsi="Arial"/>
                <w:sz w:val="18"/>
                <w:szCs w:val="18"/>
                <w:color w:val="auto"/>
                <w:w w:val="84"/>
              </w:rPr>
              <w:t>S-41</w:t>
            </w:r>
          </w:p>
        </w:tc>
      </w:tr>
      <w:tr>
        <w:trPr>
          <w:trHeight w:val="304"/>
        </w:trPr>
        <w:tc>
          <w:tcPr>
            <w:tcW w:w="9160" w:type="dxa"/>
            <w:vAlign w:val="bottom"/>
            <w:gridSpan w:val="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Consolidated Statements of Changes in Net Assets for the nine months ended June 30, 2014 and 2013</w:t>
              </w:r>
            </w:hyperlink>
          </w:p>
        </w:tc>
        <w:tc>
          <w:tcPr>
            <w:tcW w:w="2160" w:type="dxa"/>
            <w:vAlign w:val="bottom"/>
          </w:tcPr>
          <w:p>
            <w:pPr>
              <w:ind w:left="1820"/>
              <w:spacing w:after="0"/>
              <w:rPr>
                <w:sz w:val="20"/>
                <w:szCs w:val="20"/>
                <w:color w:val="auto"/>
              </w:rPr>
            </w:pPr>
            <w:r>
              <w:rPr>
                <w:rFonts w:ascii="Arial" w:cs="Arial" w:eastAsia="Arial" w:hAnsi="Arial"/>
                <w:sz w:val="18"/>
                <w:szCs w:val="18"/>
                <w:color w:val="auto"/>
                <w:w w:val="84"/>
              </w:rPr>
              <w:t>S-42</w:t>
            </w:r>
          </w:p>
        </w:tc>
      </w:tr>
      <w:tr>
        <w:trPr>
          <w:trHeight w:val="304"/>
        </w:trPr>
        <w:tc>
          <w:tcPr>
            <w:tcW w:w="7340" w:type="dxa"/>
            <w:vAlign w:val="bottom"/>
            <w:tcBorders>
              <w:top w:val="single" w:sz="8" w:color="0000EE"/>
            </w:tcBorders>
            <w:gridSpan w:val="8"/>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Consolidated Statements of Cash Flows for the nine months ended June 30, 2014 and 2013</w:t>
              </w:r>
            </w:hyperlink>
          </w:p>
        </w:tc>
        <w:tc>
          <w:tcPr>
            <w:tcW w:w="1820" w:type="dxa"/>
            <w:vAlign w:val="bottom"/>
          </w:tcPr>
          <w:p>
            <w:pPr>
              <w:spacing w:after="0"/>
              <w:rPr>
                <w:sz w:val="24"/>
                <w:szCs w:val="24"/>
                <w:color w:val="auto"/>
              </w:rPr>
            </w:pPr>
          </w:p>
        </w:tc>
        <w:tc>
          <w:tcPr>
            <w:tcW w:w="2160" w:type="dxa"/>
            <w:vAlign w:val="bottom"/>
          </w:tcPr>
          <w:p>
            <w:pPr>
              <w:ind w:left="1820"/>
              <w:spacing w:after="0"/>
              <w:rPr>
                <w:sz w:val="20"/>
                <w:szCs w:val="20"/>
                <w:color w:val="auto"/>
              </w:rPr>
            </w:pPr>
            <w:r>
              <w:rPr>
                <w:rFonts w:ascii="Arial" w:cs="Arial" w:eastAsia="Arial" w:hAnsi="Arial"/>
                <w:sz w:val="18"/>
                <w:szCs w:val="18"/>
                <w:color w:val="auto"/>
                <w:w w:val="84"/>
              </w:rPr>
              <w:t>S-43</w:t>
            </w:r>
          </w:p>
        </w:tc>
      </w:tr>
      <w:tr>
        <w:trPr>
          <w:trHeight w:val="304"/>
        </w:trPr>
        <w:tc>
          <w:tcPr>
            <w:tcW w:w="60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Consolidated Schedules of Investments as of June 30, 2014 and September 30, 2013</w:t>
              </w:r>
            </w:hyperlink>
          </w:p>
        </w:tc>
        <w:tc>
          <w:tcPr>
            <w:tcW w:w="480" w:type="dxa"/>
            <w:vAlign w:val="bottom"/>
            <w:tcBorders>
              <w:top w:val="single" w:sz="8" w:color="0000EE"/>
            </w:tcBorders>
          </w:tcPr>
          <w:p>
            <w:pPr>
              <w:spacing w:after="0"/>
              <w:rPr>
                <w:sz w:val="24"/>
                <w:szCs w:val="24"/>
                <w:color w:val="auto"/>
              </w:rPr>
            </w:pPr>
          </w:p>
        </w:tc>
        <w:tc>
          <w:tcPr>
            <w:tcW w:w="2600" w:type="dxa"/>
            <w:vAlign w:val="bottom"/>
            <w:gridSpan w:val="4"/>
          </w:tcPr>
          <w:p>
            <w:pPr>
              <w:spacing w:after="0"/>
              <w:rPr>
                <w:sz w:val="24"/>
                <w:szCs w:val="24"/>
                <w:color w:val="auto"/>
              </w:rPr>
            </w:pPr>
          </w:p>
        </w:tc>
        <w:tc>
          <w:tcPr>
            <w:tcW w:w="2160" w:type="dxa"/>
            <w:vAlign w:val="bottom"/>
          </w:tcPr>
          <w:p>
            <w:pPr>
              <w:ind w:left="1820"/>
              <w:spacing w:after="0"/>
              <w:rPr>
                <w:sz w:val="20"/>
                <w:szCs w:val="20"/>
                <w:color w:val="auto"/>
              </w:rPr>
            </w:pPr>
            <w:r>
              <w:rPr>
                <w:rFonts w:ascii="Arial" w:cs="Arial" w:eastAsia="Arial" w:hAnsi="Arial"/>
                <w:sz w:val="18"/>
                <w:szCs w:val="18"/>
                <w:color w:val="auto"/>
                <w:w w:val="84"/>
              </w:rPr>
              <w:t>S-44</w:t>
            </w:r>
          </w:p>
        </w:tc>
      </w:tr>
      <w:tr>
        <w:trPr>
          <w:trHeight w:val="304"/>
        </w:trPr>
        <w:tc>
          <w:tcPr>
            <w:tcW w:w="9160" w:type="dxa"/>
            <w:vAlign w:val="bottom"/>
            <w:gridSpan w:val="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Notes to the Consolidated Financial Statements</w:t>
              </w:r>
            </w:hyperlink>
          </w:p>
        </w:tc>
        <w:tc>
          <w:tcPr>
            <w:tcW w:w="2160" w:type="dxa"/>
            <w:vAlign w:val="bottom"/>
          </w:tcPr>
          <w:p>
            <w:pPr>
              <w:ind w:left="1820"/>
              <w:spacing w:after="0"/>
              <w:rPr>
                <w:sz w:val="20"/>
                <w:szCs w:val="20"/>
                <w:color w:val="auto"/>
              </w:rPr>
            </w:pPr>
            <w:r>
              <w:rPr>
                <w:rFonts w:ascii="Arial" w:cs="Arial" w:eastAsia="Arial" w:hAnsi="Arial"/>
                <w:sz w:val="18"/>
                <w:szCs w:val="18"/>
                <w:color w:val="auto"/>
                <w:w w:val="84"/>
              </w:rPr>
              <w:t>S-53</w:t>
            </w:r>
          </w:p>
        </w:tc>
      </w:tr>
      <w:tr>
        <w:trPr>
          <w:trHeight w:val="385"/>
        </w:trPr>
        <w:tc>
          <w:tcPr>
            <w:tcW w:w="1360" w:type="dxa"/>
            <w:vAlign w:val="bottom"/>
            <w:tcBorders>
              <w:top w:val="single" w:sz="8" w:color="0000EE"/>
            </w:tcBorders>
          </w:tcPr>
          <w:p>
            <w:pPr>
              <w:spacing w:after="0"/>
              <w:rPr>
                <w:sz w:val="24"/>
                <w:szCs w:val="24"/>
                <w:color w:val="auto"/>
              </w:rPr>
            </w:pPr>
          </w:p>
        </w:tc>
        <w:tc>
          <w:tcPr>
            <w:tcW w:w="206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4940" w:type="dxa"/>
            <w:vAlign w:val="bottom"/>
            <w:gridSpan w:val="6"/>
          </w:tcPr>
          <w:p>
            <w:pPr>
              <w:jc w:val="center"/>
              <w:ind w:right="1960"/>
              <w:spacing w:after="0"/>
              <w:rPr>
                <w:sz w:val="20"/>
                <w:szCs w:val="20"/>
                <w:color w:val="auto"/>
              </w:rPr>
            </w:pPr>
            <w:r>
              <w:rPr>
                <w:rFonts w:ascii="Arial" w:cs="Arial" w:eastAsia="Arial" w:hAnsi="Arial"/>
                <w:sz w:val="18"/>
                <w:szCs w:val="18"/>
                <w:color w:val="auto"/>
                <w:w w:val="89"/>
              </w:rPr>
              <w:t>S-38</w:t>
            </w:r>
          </w:p>
        </w:tc>
        <w:tc>
          <w:tcPr>
            <w:tcW w:w="21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reviewed the accompanying consolidated statements of assets and liabilities of PennantPark Investment Corporation and its Subsidiaries (the “Company”), including the consolidated schedule of investments, as of June 30, 2014, the consolidated statements of operations for the three and nine months ended June 30, 2014, and the consolidated statements of changes in net assets, and cash flows for the nine months ended June 30, 2014. These consolidated financial statements are the responsibility of the Company’s management.</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814705"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1470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5, 2014</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June 30, 2014</w:t>
            </w:r>
          </w:p>
        </w:tc>
        <w:tc>
          <w:tcPr>
            <w:tcW w:w="180" w:type="dxa"/>
            <w:vAlign w:val="bottom"/>
          </w:tcPr>
          <w:p>
            <w:pPr>
              <w:spacing w:after="0"/>
              <w:rPr>
                <w:sz w:val="14"/>
                <w:szCs w:val="14"/>
                <w:color w:val="auto"/>
              </w:rPr>
            </w:pPr>
          </w:p>
        </w:tc>
        <w:tc>
          <w:tcPr>
            <w:tcW w:w="14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4"/>
              </w:rPr>
              <w:t>September 30, 2013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Non-controlled, non-affiliated investments (cost—$1,028,125,032 and $928,078,589, respectively)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1,089,476,729</w:t>
            </w:r>
          </w:p>
        </w:tc>
        <w:tc>
          <w:tcPr>
            <w:tcW w:w="3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968,471,042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Non-controlled, affiliated investments (cost—$108,188,540 and $99,021,141, respectively)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71,939,735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76,735,800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Controlled, affiliated investments (cost—$38,107,245 and $64,418,155, respectively)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36,991,091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32,968,711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Total of investments (cost—$1,174,420,817 and $1,091,517,885, respectively)</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1,198,407,555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1,078,175,553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(cost—$64,349,609 and $58,440,829, respectively) (See Note 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64,390,787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58,440,829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Interest receivable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14,000,558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10,894,893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and other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13,375,704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5,815,817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1,290,174,604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1,153,327,092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Distributions payable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18,639,330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18,619,812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52,544,704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Unfunded investments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20,396,263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7,241,667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 (cost—$255,898,700 and $145,500,000, respectively) (See Notes 5 and 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257,187,294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SBA debentures payable (cost—$150,000,000) (See Notes 5 and 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150,000,000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2025 Notes payable (cost—$71,250,000) (See Notes 5 and 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72,532,500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Management fee payable (See Note 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6,131,963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5,419,557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Performance-based incentive fee payable (See Note 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5,370,391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4,274,881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Interest payable on debt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3,033,648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1,810,466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2,410,422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2,009,806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535,701,811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455,820,893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66,569,036 and 66,499,327 shares issued and outstanding, respectively. Par value $0.001 per</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and 100,000,000 shares authorized.</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66,569</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Paid-in capital in excess of par value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756,809,951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756,017,096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in excess of net investment income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(9,406,519)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(4,675,217)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Accumulated net realized loss on investments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(14,454,032)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(43,409,847)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24,027,916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(13,342,332)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Net unrealized (appreciation) depreciation on debt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(2,571,092)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net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754,472,793</w:t>
            </w:r>
          </w:p>
        </w:tc>
        <w:tc>
          <w:tcPr>
            <w:tcW w:w="3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697,506,199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1,290,174,604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1,153,327,092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NAV per share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11.33</w:t>
            </w:r>
          </w:p>
        </w:tc>
        <w:tc>
          <w:tcPr>
            <w:tcW w:w="3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OPERATIONS (Unaudited)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7"/>
              </w:rPr>
              <w:t>Three Months Ended June 30,</w:t>
            </w:r>
          </w:p>
        </w:tc>
        <w:tc>
          <w:tcPr>
            <w:tcW w:w="120" w:type="dxa"/>
            <w:vAlign w:val="bottom"/>
          </w:tcPr>
          <w:p>
            <w:pPr>
              <w:spacing w:after="0"/>
              <w:rPr>
                <w:sz w:val="14"/>
                <w:szCs w:val="14"/>
                <w:color w:val="auto"/>
              </w:rPr>
            </w:pPr>
          </w:p>
        </w:tc>
        <w:tc>
          <w:tcPr>
            <w:tcW w:w="22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9"/>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 from:</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Non-controlled, non-affiliated investments: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29,949,064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26,693,069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90,772,466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80,520,256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1,463,884</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3,941,167</w:t>
            </w: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6,314,911</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9,184,121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Non-controlled, affiliated investments: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1,456,621</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2,140,854</w:t>
            </w: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4,174,234</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4,471,618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Controlled, affiliated investments: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2,447,354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949,583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6,071,987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3,336,040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158,333</w:t>
            </w: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459,166</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investment income</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35,475,256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33,724,673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107,792,764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97,739,835</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Base management fee (See Note 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6,131,963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5,412,461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17,906,316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15,869,172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Performance-based incentive fee (See Note 3)</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5,370,391</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4,413,711</w:t>
            </w: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14,866,434</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12,518,209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expenses on debt (See Note 10)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5,034,567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4,212,450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14,707,313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11,292,224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Administrative services expenses (See Note 3)</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930,809</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1,157,748</w:t>
            </w: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2,771,359</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3,485,607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929,254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520,970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2,470,350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2,000,919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340"/>
              <w:spacing w:after="0"/>
              <w:rPr>
                <w:sz w:val="20"/>
                <w:szCs w:val="20"/>
                <w:color w:val="auto"/>
              </w:rPr>
            </w:pPr>
            <w:r>
              <w:rPr>
                <w:rFonts w:ascii="Arial" w:cs="Arial" w:eastAsia="Arial" w:hAnsi="Arial"/>
                <w:sz w:val="18"/>
                <w:szCs w:val="18"/>
                <w:b w:val="1"/>
                <w:bCs w:val="1"/>
                <w:color w:val="auto"/>
              </w:rPr>
              <w:t>Expenses before taxes and debt issuance costs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18,396,984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15,717,340</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52,721,772</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45,166,131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expense (benefit)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32,500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40,548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Debt issuance costs (See Note 5)</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3,850,000</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320,000</w:t>
            </w: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3,850,000</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2,757,500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expenses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22,278,984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16,069,840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56,612,320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47,841,235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340"/>
              <w:spacing w:after="0"/>
              <w:rPr>
                <w:sz w:val="20"/>
                <w:szCs w:val="20"/>
                <w:color w:val="auto"/>
              </w:rPr>
            </w:pPr>
            <w:r>
              <w:rPr>
                <w:rFonts w:ascii="Arial" w:cs="Arial" w:eastAsia="Arial" w:hAnsi="Arial"/>
                <w:sz w:val="18"/>
                <w:szCs w:val="18"/>
                <w:b w:val="1"/>
                <w:bCs w:val="1"/>
                <w:color w:val="auto"/>
              </w:rPr>
              <w:t>Net investment income</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13,196,272</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17,654,833</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51,180,444</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49,898,600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 (loss) on investments and debt: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Net realized gain on investments</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23,267,131</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15,682,708</w:t>
            </w: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28,955,815</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14,723,076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(depreciation) appreciation on:</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(8,997,766)</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(23,484,170)</w:t>
            </w: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21,000,422</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8,805,377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Controlled and non-controlled, affiliated investments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7,860,989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3,504,661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16,369,826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(3,580,500)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Debt (appreciation) depreciation (See Notes 5 and 10)</w:t>
            </w:r>
          </w:p>
        </w:tc>
        <w:tc>
          <w:tcPr>
            <w:tcW w:w="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(3,377,315)</w:t>
            </w:r>
          </w:p>
        </w:tc>
        <w:tc>
          <w:tcPr>
            <w:tcW w:w="1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427,500</w:t>
            </w:r>
          </w:p>
        </w:tc>
        <w:tc>
          <w:tcPr>
            <w:tcW w:w="12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(5,421,092)</w:t>
            </w:r>
          </w:p>
        </w:tc>
        <w:tc>
          <w:tcPr>
            <w:tcW w:w="1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(547,500)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80" w:type="dxa"/>
            <w:vAlign w:val="bottom"/>
            <w:shd w:val="clear" w:color="auto" w:fill="CCEEFF"/>
          </w:tcPr>
          <w:p>
            <w:pPr>
              <w:ind w:left="340"/>
              <w:spacing w:after="0" w:line="198" w:lineRule="exact"/>
              <w:rPr>
                <w:sz w:val="20"/>
                <w:szCs w:val="20"/>
                <w:color w:val="auto"/>
              </w:rPr>
            </w:pPr>
            <w:r>
              <w:rPr>
                <w:rFonts w:ascii="Arial" w:cs="Arial" w:eastAsia="Arial" w:hAnsi="Arial"/>
                <w:sz w:val="18"/>
                <w:szCs w:val="18"/>
                <w:b w:val="1"/>
                <w:bCs w:val="1"/>
                <w:color w:val="auto"/>
                <w:w w:val="98"/>
              </w:rPr>
              <w:t>Net change in unrealized (depreciation) appreciation on investments and</w:t>
            </w: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debt</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(4,514,092)</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(19,552,009)</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31,949,156</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4,677,377</w:t>
            </w:r>
          </w:p>
        </w:tc>
        <w:tc>
          <w:tcPr>
            <w:tcW w:w="0" w:type="dxa"/>
            <w:vAlign w:val="bottom"/>
          </w:tcPr>
          <w:p>
            <w:pPr>
              <w:spacing w:after="0"/>
              <w:rPr>
                <w:sz w:val="1"/>
                <w:szCs w:val="1"/>
                <w:color w:val="auto"/>
              </w:rPr>
            </w:pP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Net realized and unrealized gain (loss) from investments and debt</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18,753,039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(3,869,301)</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60,904,971</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19,400,453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31,949,311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13,785,532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112,085,415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69,299,053</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w w:val="96"/>
              </w:rPr>
              <w:t>Net increase in net assets resulting from operations per common share (See Note 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0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CHANGES IN NET ASSETS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 June 30,</w:t>
            </w:r>
          </w:p>
        </w:tc>
      </w:tr>
      <w:tr>
        <w:trPr>
          <w:trHeight w:val="142"/>
        </w:trPr>
        <w:tc>
          <w:tcPr>
            <w:tcW w:w="20" w:type="dxa"/>
            <w:vAlign w:val="bottom"/>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51,180,444</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49,898,600</w:t>
            </w: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on investments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28,955,815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14,723,076</w:t>
            </w: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Net change in unrealized appreciation on investments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37,370,248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5,224,877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debt appreciation</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(5,421,092)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(547,500)</w:t>
            </w:r>
          </w:p>
        </w:tc>
      </w:tr>
      <w:tr>
        <w:trPr>
          <w:trHeight w:val="230"/>
        </w:trPr>
        <w:tc>
          <w:tcPr>
            <w:tcW w:w="20" w:type="dxa"/>
            <w:vAlign w:val="bottom"/>
          </w:tcPr>
          <w:p>
            <w:pPr>
              <w:spacing w:after="0"/>
              <w:rPr>
                <w:sz w:val="20"/>
                <w:szCs w:val="20"/>
                <w:color w:val="auto"/>
              </w:rPr>
            </w:pPr>
          </w:p>
        </w:tc>
        <w:tc>
          <w:tcPr>
            <w:tcW w:w="6920" w:type="dxa"/>
            <w:vAlign w:val="bottom"/>
          </w:tcPr>
          <w:p>
            <w:pPr>
              <w:ind w:left="3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8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112,085,415</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69,299,053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4"/>
              </w:rPr>
              <w:t>(55,911,746)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(55,778,317)</w:t>
            </w: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Capital transactions:</w:t>
            </w:r>
          </w:p>
        </w:tc>
        <w:tc>
          <w:tcPr>
            <w:tcW w:w="18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Public offering</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Offering costs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(265,090)</w:t>
            </w: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Reinvestment of distributions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792,925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2,555,964</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20" w:type="dxa"/>
            <w:vAlign w:val="bottom"/>
          </w:tcPr>
          <w:p>
            <w:pPr>
              <w:ind w:left="340"/>
              <w:spacing w:after="0"/>
              <w:rPr>
                <w:sz w:val="20"/>
                <w:szCs w:val="20"/>
                <w:color w:val="auto"/>
              </w:rPr>
            </w:pPr>
            <w:r>
              <w:rPr>
                <w:rFonts w:ascii="Arial" w:cs="Arial" w:eastAsia="Arial" w:hAnsi="Arial"/>
                <w:sz w:val="18"/>
                <w:szCs w:val="18"/>
                <w:b w:val="1"/>
                <w:bCs w:val="1"/>
                <w:color w:val="auto"/>
              </w:rPr>
              <w:t>Net increase in net assets resulting from capital transactions</w:t>
            </w:r>
          </w:p>
        </w:tc>
        <w:tc>
          <w:tcPr>
            <w:tcW w:w="18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792,925</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9,864,874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56,966,594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23,385,610</w:t>
            </w:r>
          </w:p>
        </w:tc>
      </w:tr>
      <w:tr>
        <w:trPr>
          <w:trHeight w:val="331"/>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8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period</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697,506,199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669,717,047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End of period</w:t>
            </w:r>
          </w:p>
        </w:tc>
        <w:tc>
          <w:tcPr>
            <w:tcW w:w="18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754,472,793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693,102,657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in excess of net investment income, at end of period</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(9,406,519)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(3,075,320)</w:t>
            </w:r>
          </w:p>
        </w:tc>
      </w:tr>
      <w:tr>
        <w:trPr>
          <w:trHeight w:val="331"/>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Capital share activity:</w:t>
            </w:r>
          </w:p>
        </w:tc>
        <w:tc>
          <w:tcPr>
            <w:tcW w:w="18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from public offering</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Shares issued from reinvestment of distributions</w:t>
            </w:r>
          </w:p>
        </w:tc>
        <w:tc>
          <w:tcPr>
            <w:tcW w:w="18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69,709</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235,614</w:t>
            </w:r>
          </w:p>
        </w:tc>
        <w:tc>
          <w:tcPr>
            <w:tcW w:w="120" w:type="dxa"/>
            <w:vAlign w:val="bottom"/>
          </w:tcPr>
          <w:p>
            <w:pPr>
              <w:spacing w:after="0"/>
              <w:rPr>
                <w:sz w:val="19"/>
                <w:szCs w:val="19"/>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CASH FLOWS (Unaudited)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112,085,415</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69,299,053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Adjustments to reconcile net increase in net assets resulting from operations to net cash (used) provided by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Net change in net unrealized appreciation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w w:val="97"/>
              </w:rPr>
              <w:t>(37,370,248)</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(5,224,877)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change in unrealized appreciation on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5,421,092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Net realized gain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w w:val="97"/>
              </w:rPr>
              <w:t>(28,955,815)</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(14,723,076)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accretion of discount and amortization of premium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(6,629,854)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(4,245,224)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Purchases of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w w:val="89"/>
              </w:rPr>
              <w:t>(561,839,426)</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(317,161,225)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Payment-in-kind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(6,530,685)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(9,651,825)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Proceeds from dispositions of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534,400,443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271,183,021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interest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(3,105,665)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Increase in deferred financing costs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(6,809,887)</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(247,289)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(Decrease) increase in payable for investments purchased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7"/>
              </w:rPr>
              <w:t>(52,544,704)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15,932,290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Increase in interest payable on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1,223,182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2,339,426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in management fee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712,406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Increase in performance-based incentive fee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1,095,510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in accrued other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400,618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1060"/>
              <w:spacing w:after="0"/>
              <w:rPr>
                <w:sz w:val="20"/>
                <w:szCs w:val="20"/>
                <w:color w:val="auto"/>
              </w:rPr>
            </w:pPr>
            <w:r>
              <w:rPr>
                <w:rFonts w:ascii="Arial" w:cs="Arial" w:eastAsia="Arial" w:hAnsi="Arial"/>
                <w:sz w:val="18"/>
                <w:szCs w:val="18"/>
                <w:color w:val="auto"/>
              </w:rPr>
              <w:t>Net cash (used) provided by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(48,447,618)</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11,144,521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Public offerings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7,574,000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Offering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Deferred financing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Distributions paid to stockholders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7"/>
              </w:rPr>
              <w:t>(55,099,303)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(50,440,381)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Proceeds from 2025 Notes issuance (See Note 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Borrowings under Credit Facility (See Note 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906,253,100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850,300,000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Repayments under Credit Facility (See Note 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w w:val="89"/>
              </w:rPr>
              <w:t>(795,854,400)</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(880,800,000)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(used)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54,549,397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(2,381,471)</w:t>
            </w:r>
          </w:p>
        </w:tc>
        <w:tc>
          <w:tcPr>
            <w:tcW w:w="0" w:type="dxa"/>
            <w:vAlign w:val="bottom"/>
          </w:tcPr>
          <w:p>
            <w:pPr>
              <w:spacing w:after="0"/>
              <w:rPr>
                <w:sz w:val="1"/>
                <w:szCs w:val="1"/>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6,101,779</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8,763,050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(151,821)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58,440,829</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7,559,453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64,390,787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16,322,503</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 and non-cash financing activity: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13,239,662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tcPr>
          <w:p>
            <w:pPr>
              <w:ind w:left="340"/>
              <w:spacing w:after="0"/>
              <w:rPr>
                <w:sz w:val="20"/>
                <w:szCs w:val="20"/>
                <w:color w:val="auto"/>
              </w:rPr>
            </w:pPr>
            <w:r>
              <w:rPr>
                <w:rFonts w:ascii="Arial" w:cs="Arial" w:eastAsia="Arial" w:hAnsi="Arial"/>
                <w:sz w:val="18"/>
                <w:szCs w:val="18"/>
                <w:color w:val="auto"/>
              </w:rPr>
              <w:t>Taxes paid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reinvested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792,925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2,555,964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tcPr>
          <w:p>
            <w:pPr>
              <w:ind w:left="340"/>
              <w:spacing w:after="0"/>
              <w:rPr>
                <w:sz w:val="20"/>
                <w:szCs w:val="20"/>
                <w:color w:val="auto"/>
              </w:rPr>
            </w:pPr>
            <w:r>
              <w:rPr>
                <w:rFonts w:ascii="Arial" w:cs="Arial" w:eastAsia="Arial" w:hAnsi="Arial"/>
                <w:sz w:val="18"/>
                <w:szCs w:val="18"/>
                <w:color w:val="auto"/>
              </w:rPr>
              <w:t>Conversions and non-cash exchanges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59,126,053</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58,615,748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Basis Point</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Maturity/</w:t>
            </w: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Current</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Spread</w:t>
            </w: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Par/</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980" w:type="dxa"/>
            <w:vAlign w:val="bottom"/>
            <w:gridSpan w:val="2"/>
            <w:vMerge w:val="continue"/>
          </w:tcPr>
          <w:p>
            <w:pPr>
              <w:spacing w:after="0"/>
              <w:rPr>
                <w:sz w:val="12"/>
                <w:szCs w:val="12"/>
                <w:color w:val="auto"/>
              </w:rPr>
            </w:pPr>
          </w:p>
        </w:tc>
        <w:tc>
          <w:tcPr>
            <w:tcW w:w="15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Industry</w:t>
            </w:r>
          </w:p>
        </w:tc>
        <w:tc>
          <w:tcPr>
            <w:tcW w:w="1080" w:type="dxa"/>
            <w:vAlign w:val="bottom"/>
            <w:gridSpan w:val="2"/>
            <w:vMerge w:val="continue"/>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Above</w:t>
            </w:r>
          </w:p>
        </w:tc>
        <w:tc>
          <w:tcPr>
            <w:tcW w:w="1040" w:type="dxa"/>
            <w:vAlign w:val="bottom"/>
            <w:gridSpan w:val="2"/>
            <w:vMerge w:val="continue"/>
          </w:tcPr>
          <w:p>
            <w:pPr>
              <w:spacing w:after="0"/>
              <w:rPr>
                <w:sz w:val="12"/>
                <w:szCs w:val="12"/>
                <w:color w:val="auto"/>
              </w:rPr>
            </w:pPr>
          </w:p>
        </w:tc>
        <w:tc>
          <w:tcPr>
            <w:tcW w:w="11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560" w:type="dxa"/>
            <w:vAlign w:val="bottom"/>
            <w:gridSpan w:val="3"/>
            <w:vMerge w:val="continue"/>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Expiration</w:t>
            </w:r>
          </w:p>
        </w:tc>
        <w:tc>
          <w:tcPr>
            <w:tcW w:w="1540" w:type="dxa"/>
            <w:vAlign w:val="bottom"/>
            <w:gridSpan w:val="2"/>
            <w:vMerge w:val="continue"/>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Coupon</w:t>
            </w: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Index</w:t>
            </w:r>
            <w:r>
              <w:rPr>
                <w:rFonts w:ascii="Arial" w:cs="Arial" w:eastAsia="Arial" w:hAnsi="Arial"/>
                <w:sz w:val="12"/>
                <w:szCs w:val="12"/>
                <w:b w:val="1"/>
                <w:bCs w:val="1"/>
                <w:color w:val="auto"/>
                <w:w w:val="97"/>
              </w:rPr>
              <w:t>(4)</w:t>
            </w: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Shares</w:t>
            </w:r>
          </w:p>
        </w:tc>
        <w:tc>
          <w:tcPr>
            <w:tcW w:w="11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780" w:type="dxa"/>
            <w:vAlign w:val="bottom"/>
            <w:vMerge w:val="restart"/>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in Non-Controlled, Non-Affiliated Portfolio</w:t>
            </w: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w:t>
            </w:r>
          </w:p>
        </w:tc>
        <w:tc>
          <w:tcPr>
            <w:tcW w:w="2780" w:type="dxa"/>
            <w:vAlign w:val="bottom"/>
            <w:vMerge w:val="continue"/>
            <w:shd w:val="clear" w:color="auto" w:fill="CCEEFF"/>
          </w:tcPr>
          <w:p>
            <w:pPr>
              <w:spacing w:after="0"/>
              <w:rPr>
                <w:sz w:val="11"/>
                <w:szCs w:val="11"/>
                <w:color w:val="auto"/>
              </w:rPr>
            </w:pPr>
          </w:p>
        </w:tc>
        <w:tc>
          <w:tcPr>
            <w:tcW w:w="9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70"/>
              </w:rPr>
              <w:t>Companies—144.3%</w:t>
            </w:r>
          </w:p>
        </w:tc>
        <w:tc>
          <w:tcPr>
            <w:tcW w:w="1360" w:type="dxa"/>
            <w:vAlign w:val="bottom"/>
            <w:shd w:val="clear" w:color="auto" w:fill="CCEEFF"/>
          </w:tcPr>
          <w:p>
            <w:pPr>
              <w:jc w:val="right"/>
              <w:ind w:right="728"/>
              <w:spacing w:after="0" w:line="129" w:lineRule="exact"/>
              <w:rPr>
                <w:sz w:val="20"/>
                <w:szCs w:val="20"/>
                <w:color w:val="auto"/>
              </w:rPr>
            </w:pPr>
            <w:r>
              <w:rPr>
                <w:rFonts w:ascii="Arial" w:cs="Arial" w:eastAsia="Arial" w:hAnsi="Arial"/>
                <w:sz w:val="12"/>
                <w:szCs w:val="12"/>
                <w:b w:val="1"/>
                <w:bCs w:val="1"/>
                <w:color w:val="auto"/>
              </w:rPr>
              <w:t>(1),(2)</w:t>
            </w:r>
          </w:p>
        </w:tc>
        <w:tc>
          <w:tcPr>
            <w:tcW w:w="180" w:type="dxa"/>
            <w:vAlign w:val="bottom"/>
            <w:vMerge w:val="continue"/>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Debt—37.0%</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Aircell Business Aviation Services LLC</w:t>
            </w:r>
          </w:p>
        </w:tc>
        <w:tc>
          <w:tcPr>
            <w:tcW w:w="9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06/21/2017</w:t>
            </w:r>
          </w:p>
        </w:tc>
        <w:tc>
          <w:tcPr>
            <w:tcW w:w="15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Communications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11.25%</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L+975</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23,454,110</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   22,702,765</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24,626,815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AKA Diversified Holdings, Inc.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04/02/2018</w:t>
            </w:r>
          </w:p>
        </w:tc>
        <w:tc>
          <w:tcPr>
            <w:tcW w:w="15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Retail</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11.90%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L+1,175</w:t>
            </w:r>
            <w:r>
              <w:rPr>
                <w:rFonts w:ascii="Arial" w:cs="Arial" w:eastAsia="Arial" w:hAnsi="Arial"/>
                <w:sz w:val="12"/>
                <w:szCs w:val="12"/>
                <w:color w:val="auto"/>
              </w:rPr>
              <w:t>(8)</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29,653,975</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28,996,434</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30,252,196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AKA Diversified Holdings, Inc.</w:t>
            </w:r>
            <w:r>
              <w:rPr>
                <w:rFonts w:ascii="Arial" w:cs="Arial" w:eastAsia="Arial" w:hAnsi="Arial"/>
                <w:sz w:val="12"/>
                <w:szCs w:val="12"/>
                <w:color w:val="auto"/>
              </w:rPr>
              <w:t>(9)</w:t>
            </w:r>
          </w:p>
        </w:tc>
        <w:tc>
          <w:tcPr>
            <w:tcW w:w="9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04/02/2018</w:t>
            </w:r>
          </w:p>
        </w:tc>
        <w:tc>
          <w:tcPr>
            <w:tcW w:w="15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Retail</w:t>
            </w: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7,500,000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tcPr>
          <w:p>
            <w:pPr>
              <w:spacing w:after="0" w:line="130" w:lineRule="exact"/>
              <w:rPr>
                <w:sz w:val="20"/>
                <w:szCs w:val="20"/>
                <w:color w:val="auto"/>
              </w:rPr>
            </w:pPr>
            <w:r>
              <w:rPr>
                <w:rFonts w:ascii="Arial" w:cs="Arial" w:eastAsia="Arial" w:hAnsi="Arial"/>
                <w:sz w:val="14"/>
                <w:szCs w:val="14"/>
                <w:color w:val="auto"/>
              </w:rPr>
              <w:t>AP Gaming I, LLC</w:t>
            </w:r>
          </w:p>
        </w:tc>
        <w:tc>
          <w:tcPr>
            <w:tcW w:w="9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12/21/2020</w:t>
            </w:r>
          </w:p>
        </w:tc>
        <w:tc>
          <w:tcPr>
            <w:tcW w:w="154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4"/>
              </w:rPr>
              <w:t>Hotels, Motels, Inns</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9.25%</w:t>
            </w:r>
          </w:p>
        </w:tc>
        <w:tc>
          <w:tcPr>
            <w:tcW w:w="104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L+825</w:t>
            </w:r>
          </w:p>
        </w:tc>
        <w:tc>
          <w:tcPr>
            <w:tcW w:w="104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5,223,750</w:t>
            </w:r>
          </w:p>
        </w:tc>
        <w:tc>
          <w:tcPr>
            <w:tcW w:w="920" w:type="dxa"/>
            <w:vAlign w:val="bottom"/>
          </w:tcPr>
          <w:p>
            <w:pPr>
              <w:jc w:val="right"/>
              <w:spacing w:after="0" w:line="130" w:lineRule="exact"/>
              <w:rPr>
                <w:sz w:val="20"/>
                <w:szCs w:val="20"/>
                <w:color w:val="auto"/>
              </w:rPr>
            </w:pPr>
            <w:r>
              <w:rPr>
                <w:rFonts w:ascii="Arial" w:cs="Arial" w:eastAsia="Arial" w:hAnsi="Arial"/>
                <w:sz w:val="14"/>
                <w:szCs w:val="14"/>
                <w:color w:val="auto"/>
              </w:rPr>
              <w:t>5,076,593</w:t>
            </w:r>
          </w:p>
        </w:tc>
        <w:tc>
          <w:tcPr>
            <w:tcW w:w="26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5,275,988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and Gaming</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Fox US Bidco Corp.</w:t>
            </w:r>
          </w:p>
        </w:tc>
        <w:tc>
          <w:tcPr>
            <w:tcW w:w="9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06/17/2019</w:t>
            </w: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3"/>
              </w:rPr>
              <w:t>Electronics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9.00%</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L+750</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12,352,942</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12,229,592</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12,229,412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Fox US Bidco Corp.</w:t>
            </w:r>
            <w:r>
              <w:rPr>
                <w:rFonts w:ascii="Arial" w:cs="Arial" w:eastAsia="Arial" w:hAnsi="Arial"/>
                <w:sz w:val="12"/>
                <w:szCs w:val="12"/>
                <w:color w:val="auto"/>
              </w:rPr>
              <w:t>(9)</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06/17/2019</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Electronics</w:t>
            </w: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2,647,058</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2,647,058</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2,647,058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IDQ Holdings, Inc.</w:t>
            </w:r>
            <w:r>
              <w:rPr>
                <w:rFonts w:ascii="Arial" w:cs="Arial" w:eastAsia="Arial" w:hAnsi="Arial"/>
                <w:sz w:val="12"/>
                <w:szCs w:val="12"/>
                <w:color w:val="auto"/>
              </w:rPr>
              <w:t>(5)</w:t>
            </w:r>
          </w:p>
        </w:tc>
        <w:tc>
          <w:tcPr>
            <w:tcW w:w="9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03/30/2017</w:t>
            </w:r>
          </w:p>
        </w:tc>
        <w:tc>
          <w:tcPr>
            <w:tcW w:w="15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Auto Sector</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11,500,000</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11,359,159</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12,678,750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tcPr>
          <w:p>
            <w:pPr>
              <w:spacing w:after="0" w:line="130" w:lineRule="exact"/>
              <w:rPr>
                <w:sz w:val="20"/>
                <w:szCs w:val="20"/>
                <w:color w:val="auto"/>
              </w:rPr>
            </w:pPr>
            <w:r>
              <w:rPr>
                <w:rFonts w:ascii="Arial" w:cs="Arial" w:eastAsia="Arial" w:hAnsi="Arial"/>
                <w:sz w:val="14"/>
                <w:szCs w:val="14"/>
                <w:color w:val="auto"/>
              </w:rPr>
              <w:t>InfuSystem Holdings, Inc.</w:t>
            </w:r>
          </w:p>
        </w:tc>
        <w:tc>
          <w:tcPr>
            <w:tcW w:w="98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11/30/2016</w:t>
            </w:r>
          </w:p>
        </w:tc>
        <w:tc>
          <w:tcPr>
            <w:tcW w:w="154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13.07%</w:t>
            </w:r>
          </w:p>
        </w:tc>
        <w:tc>
          <w:tcPr>
            <w:tcW w:w="104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P+982</w:t>
            </w:r>
          </w:p>
        </w:tc>
        <w:tc>
          <w:tcPr>
            <w:tcW w:w="104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8,000,000</w:t>
            </w:r>
          </w:p>
        </w:tc>
        <w:tc>
          <w:tcPr>
            <w:tcW w:w="920" w:type="dxa"/>
            <w:vAlign w:val="bottom"/>
          </w:tcPr>
          <w:p>
            <w:pPr>
              <w:jc w:val="right"/>
              <w:spacing w:after="0" w:line="130" w:lineRule="exact"/>
              <w:rPr>
                <w:sz w:val="20"/>
                <w:szCs w:val="20"/>
                <w:color w:val="auto"/>
              </w:rPr>
            </w:pPr>
            <w:r>
              <w:rPr>
                <w:rFonts w:ascii="Arial" w:cs="Arial" w:eastAsia="Arial" w:hAnsi="Arial"/>
                <w:sz w:val="14"/>
                <w:szCs w:val="14"/>
                <w:color w:val="auto"/>
              </w:rPr>
              <w:t>8,000,000</w:t>
            </w:r>
          </w:p>
        </w:tc>
        <w:tc>
          <w:tcPr>
            <w:tcW w:w="26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8,225,976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Jackson Hewitt Tax Service Inc.</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10/16/2017</w:t>
            </w:r>
          </w:p>
        </w:tc>
        <w:tc>
          <w:tcPr>
            <w:tcW w:w="15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Personal, Food and</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10.00%</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L+850</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7,777,902</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7,777,902</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7,719,568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Miscellaneous Services</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tcPr>
          <w:p>
            <w:pPr>
              <w:spacing w:after="0" w:line="130" w:lineRule="exact"/>
              <w:rPr>
                <w:sz w:val="20"/>
                <w:szCs w:val="20"/>
                <w:color w:val="auto"/>
              </w:rPr>
            </w:pPr>
            <w:r>
              <w:rPr>
                <w:rFonts w:ascii="Arial" w:cs="Arial" w:eastAsia="Arial" w:hAnsi="Arial"/>
                <w:sz w:val="14"/>
                <w:szCs w:val="14"/>
                <w:color w:val="auto"/>
              </w:rPr>
              <w:t>K2 Pure Solutions NoCal, L.P.</w:t>
            </w:r>
          </w:p>
        </w:tc>
        <w:tc>
          <w:tcPr>
            <w:tcW w:w="9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08/19/2019</w:t>
            </w:r>
          </w:p>
        </w:tc>
        <w:tc>
          <w:tcPr>
            <w:tcW w:w="154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Chemicals, Plastics</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10.00%</w:t>
            </w:r>
          </w:p>
        </w:tc>
        <w:tc>
          <w:tcPr>
            <w:tcW w:w="104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L+900</w:t>
            </w:r>
          </w:p>
        </w:tc>
        <w:tc>
          <w:tcPr>
            <w:tcW w:w="104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w w:val="96"/>
              </w:rPr>
              <w:t>22,342,352</w:t>
            </w:r>
          </w:p>
        </w:tc>
        <w:tc>
          <w:tcPr>
            <w:tcW w:w="920" w:type="dxa"/>
            <w:vAlign w:val="bottom"/>
          </w:tcPr>
          <w:p>
            <w:pPr>
              <w:jc w:val="right"/>
              <w:spacing w:after="0" w:line="130" w:lineRule="exact"/>
              <w:rPr>
                <w:sz w:val="20"/>
                <w:szCs w:val="20"/>
                <w:color w:val="auto"/>
              </w:rPr>
            </w:pPr>
            <w:r>
              <w:rPr>
                <w:rFonts w:ascii="Arial" w:cs="Arial" w:eastAsia="Arial" w:hAnsi="Arial"/>
                <w:sz w:val="14"/>
                <w:szCs w:val="14"/>
                <w:color w:val="auto"/>
              </w:rPr>
              <w:t>21,947,354</w:t>
            </w:r>
          </w:p>
        </w:tc>
        <w:tc>
          <w:tcPr>
            <w:tcW w:w="26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22,133,375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and Rubber</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Old Guard Risk Services, Inc.</w:t>
            </w:r>
          </w:p>
        </w:tc>
        <w:tc>
          <w:tcPr>
            <w:tcW w:w="9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11/27/2018</w:t>
            </w: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Insurance</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L+1,150</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28,350,000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27,332,224</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28,633,500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tcPr>
          <w:p>
            <w:pPr>
              <w:spacing w:after="0" w:line="130" w:lineRule="exact"/>
              <w:rPr>
                <w:sz w:val="20"/>
                <w:szCs w:val="20"/>
                <w:color w:val="auto"/>
              </w:rPr>
            </w:pPr>
            <w:r>
              <w:rPr>
                <w:rFonts w:ascii="Arial" w:cs="Arial" w:eastAsia="Arial" w:hAnsi="Arial"/>
                <w:sz w:val="14"/>
                <w:szCs w:val="14"/>
                <w:color w:val="auto"/>
              </w:rPr>
              <w:t>Prince Mineral Holding Corp.</w:t>
            </w:r>
            <w:r>
              <w:rPr>
                <w:rFonts w:ascii="Arial" w:cs="Arial" w:eastAsia="Arial" w:hAnsi="Arial"/>
                <w:sz w:val="12"/>
                <w:szCs w:val="12"/>
                <w:color w:val="auto"/>
              </w:rPr>
              <w:t>(5)</w:t>
            </w:r>
          </w:p>
        </w:tc>
        <w:tc>
          <w:tcPr>
            <w:tcW w:w="9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12/16/2019</w:t>
            </w:r>
          </w:p>
        </w:tc>
        <w:tc>
          <w:tcPr>
            <w:tcW w:w="154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5"/>
              </w:rPr>
              <w:t>Mining, Steel, Iron and</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11.50%</w:t>
            </w:r>
          </w:p>
        </w:tc>
        <w:tc>
          <w:tcPr>
            <w:tcW w:w="1040" w:type="dxa"/>
            <w:vAlign w:val="bottom"/>
            <w:gridSpan w:val="2"/>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w w:val="96"/>
              </w:rPr>
              <w:t>14,250,000</w:t>
            </w:r>
          </w:p>
        </w:tc>
        <w:tc>
          <w:tcPr>
            <w:tcW w:w="118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14,113,310</w:t>
            </w: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16,066,875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Non-Precious Metals</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9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04/30/2018</w:t>
            </w: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L+1,050</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24,389,911</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24,068,498</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24,389,911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w:t>
            </w:r>
            <w:r>
              <w:rPr>
                <w:rFonts w:ascii="Arial" w:cs="Arial" w:eastAsia="Arial" w:hAnsi="Arial"/>
                <w:sz w:val="12"/>
                <w:szCs w:val="12"/>
                <w:color w:val="auto"/>
              </w:rPr>
              <w:t>(9)</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10/31/2017</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1,000,000</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985,000</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Trust Inns Limited</w:t>
            </w:r>
            <w:r>
              <w:rPr>
                <w:rFonts w:ascii="Arial" w:cs="Arial" w:eastAsia="Arial" w:hAnsi="Arial"/>
                <w:sz w:val="12"/>
                <w:szCs w:val="12"/>
                <w:color w:val="auto"/>
              </w:rPr>
              <w:t>(10),(12)</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02/12/2020</w:t>
            </w:r>
          </w:p>
        </w:tc>
        <w:tc>
          <w:tcPr>
            <w:tcW w:w="15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Buildings and Real</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11.05%</w:t>
            </w:r>
          </w:p>
        </w:tc>
        <w:tc>
          <w:tcPr>
            <w:tcW w:w="10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L+1,050</w:t>
            </w:r>
            <w:r>
              <w:rPr>
                <w:rFonts w:ascii="Arial" w:cs="Arial" w:eastAsia="Arial" w:hAnsi="Arial"/>
                <w:sz w:val="12"/>
                <w:szCs w:val="12"/>
                <w:color w:val="auto"/>
              </w:rPr>
              <w:t>(8)</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27,909,091</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43,963,551</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47,581,867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0"/>
              </w:rPr>
              <w:t>Estate</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U.S. Well Service, LLC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05/02/2019</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L+1,150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14,551,598</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14,198,694</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14,655,462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Well Service, LLC</w:t>
            </w:r>
            <w:r>
              <w:rPr>
                <w:rFonts w:ascii="Arial" w:cs="Arial" w:eastAsia="Arial" w:hAnsi="Arial"/>
                <w:sz w:val="12"/>
                <w:szCs w:val="12"/>
                <w:color w:val="auto"/>
              </w:rPr>
              <w:t>(9)</w:t>
            </w:r>
          </w:p>
        </w:tc>
        <w:tc>
          <w:tcPr>
            <w:tcW w:w="9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11/03/2014</w:t>
            </w: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1,889,205</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1,889,205</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1,902,689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Worley Claims Services, LLC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07/06/2017</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Insurance</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L+1,100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11,528,792</w:t>
            </w: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11,528,792</w:t>
            </w:r>
          </w:p>
        </w:tc>
        <w:tc>
          <w:tcPr>
            <w:tcW w:w="26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11,759,368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266,316,131</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279,278,810</w:t>
            </w:r>
          </w:p>
        </w:tc>
        <w:tc>
          <w:tcPr>
            <w:tcW w:w="0" w:type="dxa"/>
            <w:vAlign w:val="bottom"/>
          </w:tcPr>
          <w:p>
            <w:pPr>
              <w:spacing w:after="0"/>
              <w:rPr>
                <w:sz w:val="1"/>
                <w:szCs w:val="1"/>
                <w:color w:val="auto"/>
              </w:rPr>
            </w:pPr>
          </w:p>
        </w:tc>
      </w:tr>
      <w:tr>
        <w:trPr>
          <w:trHeight w:val="156"/>
        </w:trPr>
        <w:tc>
          <w:tcPr>
            <w:tcW w:w="35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Debt—63.2%</w:t>
            </w: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Gilsonite Company</w:t>
            </w:r>
            <w:r>
              <w:rPr>
                <w:rFonts w:ascii="Arial" w:cs="Arial" w:eastAsia="Arial" w:hAnsi="Arial"/>
                <w:sz w:val="12"/>
                <w:szCs w:val="12"/>
                <w:color w:val="auto"/>
              </w:rPr>
              <w:t>(5)</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09/01/2017</w:t>
            </w:r>
          </w:p>
        </w:tc>
        <w:tc>
          <w:tcPr>
            <w:tcW w:w="15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7"/>
              </w:rPr>
              <w:t>Diversified Natural</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25,400,000</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25,400,000</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27,432,000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9"/>
              </w:rPr>
              <w:t>Resources, Precious</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4"/>
              </w:rPr>
              <w:t>Metals and Minerals</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Arsloane Acquisition, LLC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10/01/2020</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11.75%</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L+1,050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20,625,000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20,334,545</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20,831,250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Ascensus, Inc.</w:t>
            </w:r>
          </w:p>
        </w:tc>
        <w:tc>
          <w:tcPr>
            <w:tcW w:w="9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12/02/2020</w:t>
            </w:r>
          </w:p>
        </w:tc>
        <w:tc>
          <w:tcPr>
            <w:tcW w:w="15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Financial Services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9.00%</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L+800</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15,500,000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15,288,541</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15,771,250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Bennu Oil &amp; Gas, LLC</w:t>
            </w: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11/01/2018</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8.75%</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L+750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19,799,984</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19,705,318</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20,031,050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Carolina Beverage Group, LLC</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08/01/2018</w:t>
            </w:r>
          </w:p>
        </w:tc>
        <w:tc>
          <w:tcPr>
            <w:tcW w:w="15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1"/>
              </w:rPr>
              <w:t>Beverage, Food and</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10.63%</w:t>
            </w:r>
          </w:p>
        </w:tc>
        <w:tc>
          <w:tcPr>
            <w:tcW w:w="104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13,125,000</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13,125,000</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14,142,187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89"/>
              </w:rPr>
              <w:t>Tobacco</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10/05/2020</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9.25%</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L+800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14,000,000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13,814,375</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14,052,500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Envision Acquisition Company, LLC</w:t>
            </w:r>
          </w:p>
        </w:tc>
        <w:tc>
          <w:tcPr>
            <w:tcW w:w="98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11/04/2021</w:t>
            </w:r>
          </w:p>
        </w:tc>
        <w:tc>
          <w:tcPr>
            <w:tcW w:w="15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9.75%</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L+875</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19,000,000</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18,641,623</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19,190,000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Foundation Building Materials, LLC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04/30/2019</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7"/>
              </w:rPr>
              <w:t>Building Materials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L+1,100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45,000,000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44,550,637</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45,077,918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Foundation Building Materials, LLC</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04/30/2019</w:t>
            </w:r>
          </w:p>
        </w:tc>
        <w:tc>
          <w:tcPr>
            <w:tcW w:w="15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7"/>
              </w:rPr>
              <w:t>Building Materials</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13.00%</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L+1,200</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32,692,664</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32,083,193</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32,749,272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(PIK 1.00%)</w:t>
            </w: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ILC Industries, LLC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06/14/2019</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Electronics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L+1,000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7,500,000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7,224,810</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7,350,000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Intermediate Transportation 100, LLC</w:t>
            </w:r>
            <w:r>
              <w:rPr>
                <w:rFonts w:ascii="Arial" w:cs="Arial" w:eastAsia="Arial" w:hAnsi="Arial"/>
                <w:sz w:val="12"/>
                <w:szCs w:val="12"/>
                <w:color w:val="auto"/>
              </w:rPr>
              <w:t>(5)</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03/01/2017</w:t>
            </w:r>
          </w:p>
        </w:tc>
        <w:tc>
          <w:tcPr>
            <w:tcW w:w="15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Cargo Transport</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11.00%</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L+700</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3,739,795</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3,739,797</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1,682,908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8"/>
              </w:rPr>
              <w:t>(PIK 11.00%)</w:t>
            </w: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J.A. Cosmetics Holdings, Inc.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07/31/2019</w:t>
            </w:r>
          </w:p>
        </w:tc>
        <w:tc>
          <w:tcPr>
            <w:tcW w:w="15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Consumer Products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11.00%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L+1,000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34,000,000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33,352,914</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33,951,852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Jacobs Entertainment, Inc.</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10/29/2019</w:t>
            </w:r>
          </w:p>
        </w:tc>
        <w:tc>
          <w:tcPr>
            <w:tcW w:w="15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4"/>
              </w:rPr>
              <w:t>Hotels, Motels, Inns</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13.00%</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L+1,175</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38,950,000</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38,364,591</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39,339,500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1"/>
              </w:rPr>
              <w:t>and Gaming</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KIK Custom Products Inc.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10/29/2019</w:t>
            </w:r>
          </w:p>
        </w:tc>
        <w:tc>
          <w:tcPr>
            <w:tcW w:w="15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Consumer Products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9.50%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L+825</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9,500,000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9,364,479</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9,606,875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Language Line, LLC</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12/20/2016</w:t>
            </w:r>
          </w:p>
        </w:tc>
        <w:tc>
          <w:tcPr>
            <w:tcW w:w="15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Personal, Food and</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10.50%</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L+875</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33,750,000</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33,356,570</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33,555,937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Miscellaneous Services</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Linc USA GP and Linc Energy Finance (USA), Inc.</w:t>
            </w:r>
            <w:r>
              <w:rPr>
                <w:rFonts w:ascii="Arial" w:cs="Arial" w:eastAsia="Arial" w:hAnsi="Arial"/>
                <w:sz w:val="12"/>
                <w:szCs w:val="12"/>
                <w:color w:val="auto"/>
              </w:rPr>
              <w:t>(5)</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10/31/2017</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11,875,000</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11,570,211</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13,359,375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Gulf Resources, LLC</w:t>
            </w:r>
            <w:r>
              <w:rPr>
                <w:rFonts w:ascii="Arial" w:cs="Arial" w:eastAsia="Arial" w:hAnsi="Arial"/>
                <w:sz w:val="12"/>
                <w:szCs w:val="12"/>
                <w:color w:val="auto"/>
              </w:rPr>
              <w:t>(5)</w:t>
            </w:r>
          </w:p>
        </w:tc>
        <w:tc>
          <w:tcPr>
            <w:tcW w:w="9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05/15/2019</w:t>
            </w: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11.75%</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45,000,000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44,595,002</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10/02/2020</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Media</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9.00%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L+775</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21,000,000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20,724,103</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21,140,070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07/01/2020</w:t>
            </w:r>
          </w:p>
        </w:tc>
        <w:tc>
          <w:tcPr>
            <w:tcW w:w="15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Personal, Food and</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9.75%</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L+850</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56,750,000</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55,992,623</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57,814,062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Miscellaneous Services</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12/15/2014</w:t>
            </w:r>
          </w:p>
        </w:tc>
        <w:tc>
          <w:tcPr>
            <w:tcW w:w="15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Other Media</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9.50%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P+550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2,179,297</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2,179,297</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2,179,297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Questex Media Group LLC, Term Loan B</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12/15/2015</w:t>
            </w:r>
          </w:p>
        </w:tc>
        <w:tc>
          <w:tcPr>
            <w:tcW w:w="15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6"/>
              </w:rPr>
              <w:t>Other Media</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P+750</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2,725,980</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2,725,980</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2,725,980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8"/>
              </w:rPr>
              <w:t>(PIK 11.50%)</w:t>
            </w: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466,133,609</w:t>
            </w:r>
          </w:p>
        </w:tc>
        <w:tc>
          <w:tcPr>
            <w:tcW w:w="26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476,983,283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Basis Point</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Maturity/</w:t>
            </w: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Current</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Spread</w:t>
            </w: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960" w:type="dxa"/>
            <w:vAlign w:val="bottom"/>
            <w:gridSpan w:val="2"/>
            <w:vMerge w:val="continue"/>
          </w:tcPr>
          <w:p>
            <w:pPr>
              <w:spacing w:after="0"/>
              <w:rPr>
                <w:sz w:val="12"/>
                <w:szCs w:val="12"/>
                <w:color w:val="auto"/>
              </w:rPr>
            </w:pP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Industry</w:t>
            </w:r>
          </w:p>
        </w:tc>
        <w:tc>
          <w:tcPr>
            <w:tcW w:w="1180" w:type="dxa"/>
            <w:vAlign w:val="bottom"/>
            <w:gridSpan w:val="2"/>
            <w:vMerge w:val="continue"/>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Above</w:t>
            </w: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10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580" w:type="dxa"/>
            <w:vAlign w:val="bottom"/>
            <w:gridSpan w:val="3"/>
            <w:vMerge w:val="continue"/>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Expiration</w:t>
            </w:r>
          </w:p>
        </w:tc>
        <w:tc>
          <w:tcPr>
            <w:tcW w:w="1460" w:type="dxa"/>
            <w:vAlign w:val="bottom"/>
            <w:gridSpan w:val="2"/>
            <w:vMerge w:val="continue"/>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Coupon</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Index</w:t>
            </w:r>
            <w:r>
              <w:rPr>
                <w:rFonts w:ascii="Arial" w:cs="Arial" w:eastAsia="Arial" w:hAnsi="Arial"/>
                <w:sz w:val="12"/>
                <w:szCs w:val="12"/>
                <w:b w:val="1"/>
                <w:bCs w:val="1"/>
                <w:color w:val="auto"/>
                <w:w w:val="97"/>
              </w:rPr>
              <w:t>(4)</w:t>
            </w: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1"/>
              </w:rPr>
              <w:t>Subordinated</w:t>
            </w:r>
          </w:p>
        </w:tc>
        <w:tc>
          <w:tcPr>
            <w:tcW w:w="280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4"/>
                <w:szCs w:val="14"/>
                <w:b w:val="1"/>
                <w:bCs w:val="1"/>
                <w:color w:val="auto"/>
              </w:rPr>
              <w:t>Debt/Corporate Notes—31.9%</w:t>
            </w:r>
          </w:p>
        </w:tc>
        <w:tc>
          <w:tcPr>
            <w:tcW w:w="7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Acentia, LLC</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10/02/2017</w:t>
            </w: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Electronics</w:t>
            </w: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14.00%</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4"/>
              </w:rPr>
              <w:t>19,000,000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18,677,529</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18,236,200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Affinion Group Holdings, Inc.</w:t>
            </w:r>
            <w:r>
              <w:rPr>
                <w:rFonts w:ascii="Arial" w:cs="Arial" w:eastAsia="Arial" w:hAnsi="Arial"/>
                <w:sz w:val="12"/>
                <w:szCs w:val="12"/>
                <w:color w:val="auto"/>
              </w:rPr>
              <w:t>(5)</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09/14/2018</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Consumer Products</w:t>
            </w:r>
          </w:p>
        </w:tc>
        <w:tc>
          <w:tcPr>
            <w:tcW w:w="11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14.50%</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4"/>
              </w:rPr>
              <w:t>32,418,500</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27,703,556</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32,094,315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(PIK 14.50%)</w:t>
            </w: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Affinion Investments LLC</w:t>
            </w:r>
            <w:r>
              <w:rPr>
                <w:rFonts w:ascii="Arial" w:cs="Arial" w:eastAsia="Arial" w:hAnsi="Arial"/>
                <w:sz w:val="12"/>
                <w:szCs w:val="12"/>
                <w:color w:val="auto"/>
              </w:rPr>
              <w:t>(5)</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08/15/2018</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Consumer Products</w:t>
            </w: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13.50%</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4"/>
              </w:rPr>
              <w:t>15,096,000</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15,096,000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15,699,840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Alegeus Technologies, LLC</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02/15/2019</w:t>
            </w:r>
          </w:p>
        </w:tc>
        <w:tc>
          <w:tcPr>
            <w:tcW w:w="14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Financial Services</w:t>
            </w: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12.00%</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8,930,000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8,787,424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7,842,939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Convergint Technologies LLC</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6"/>
              </w:rPr>
              <w:t>03/26/2018</w:t>
            </w: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3"/>
              </w:rPr>
              <w:t>Electronics</w:t>
            </w:r>
          </w:p>
        </w:tc>
        <w:tc>
          <w:tcPr>
            <w:tcW w:w="11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12.00%</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w w:val="94"/>
              </w:rPr>
              <w:t>23,693,263</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23,349,576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23,930,196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(PIK 1.00%)</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Credit Infonet, Inc.</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10/26/2018</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Personal, Food and</w:t>
            </w:r>
          </w:p>
        </w:tc>
        <w:tc>
          <w:tcPr>
            <w:tcW w:w="11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12.25%</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4"/>
              </w:rPr>
              <w:t>10,600,000</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10,421,429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10,311,509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Miscellaneous</w:t>
            </w: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89"/>
              </w:rPr>
              <w:t>Services</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JF Acquisition, LLC</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6"/>
              </w:rPr>
              <w:t>06/30/2017</w:t>
            </w:r>
          </w:p>
        </w:tc>
        <w:tc>
          <w:tcPr>
            <w:tcW w:w="14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9"/>
              </w:rPr>
              <w:t>Distribution</w:t>
            </w:r>
          </w:p>
        </w:tc>
        <w:tc>
          <w:tcPr>
            <w:tcW w:w="11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14.00%</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w w:val="94"/>
              </w:rPr>
              <w:t>19,781,463</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19,427,752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19,781,463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(PIK 2.00%)</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MSPark, Inc.</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06/15/2017</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Printing and</w:t>
            </w:r>
          </w:p>
        </w:tc>
        <w:tc>
          <w:tcPr>
            <w:tcW w:w="11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14.50%</w:t>
            </w:r>
            <w:r>
              <w:rPr>
                <w:rFonts w:ascii="Arial" w:cs="Arial" w:eastAsia="Arial" w:hAnsi="Arial"/>
                <w:sz w:val="12"/>
                <w:szCs w:val="12"/>
                <w:color w:val="auto"/>
              </w:rPr>
              <w:t>(7)</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4"/>
              </w:rPr>
              <w:t>15,000,000</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14,744,082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5"/>
              </w:rPr>
              <w:t>Publishing</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New Gulf Resources, LLC</w:t>
            </w:r>
            <w:r>
              <w:rPr>
                <w:rFonts w:ascii="Arial" w:cs="Arial" w:eastAsia="Arial" w:hAnsi="Arial"/>
                <w:sz w:val="12"/>
                <w:szCs w:val="12"/>
                <w:color w:val="auto"/>
              </w:rPr>
              <w:t>(5)</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6"/>
              </w:rPr>
              <w:t>11/15/2019</w:t>
            </w: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1"/>
              </w:rPr>
              <w:t>Oil and Gas</w:t>
            </w:r>
          </w:p>
        </w:tc>
        <w:tc>
          <w:tcPr>
            <w:tcW w:w="11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12.00%</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w w:val="94"/>
              </w:rPr>
              <w:t>13,500,000</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13,017,947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11,745,000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(PIK 12.00%)</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Power Products, LLC</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12/11/2020</w:t>
            </w:r>
          </w:p>
        </w:tc>
        <w:tc>
          <w:tcPr>
            <w:tcW w:w="14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3"/>
              </w:rPr>
              <w:t>Electronics</w:t>
            </w:r>
          </w:p>
        </w:tc>
        <w:tc>
          <w:tcPr>
            <w:tcW w:w="11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12.75%</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4"/>
              </w:rPr>
              <w:t>15,000,000</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14,777,756</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15,141,884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(PIK 2.00%)</w:t>
            </w: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Randall-Reilly Publishing Company, LLC</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04/15/2019</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Other Media</w:t>
            </w: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12.50%</w:t>
            </w:r>
            <w:r>
              <w:rPr>
                <w:rFonts w:ascii="Arial" w:cs="Arial" w:eastAsia="Arial" w:hAnsi="Arial"/>
                <w:sz w:val="12"/>
                <w:szCs w:val="12"/>
                <w:color w:val="auto"/>
              </w:rPr>
              <w:t>(7)</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4"/>
              </w:rPr>
              <w:t>30,400,000</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29,838,372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30,604,892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Vestcom International, Inc.</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06/27/2019</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Printing and</w:t>
            </w:r>
          </w:p>
        </w:tc>
        <w:tc>
          <w:tcPr>
            <w:tcW w:w="11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12.00%</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4"/>
              </w:rPr>
              <w:t>39,892,933</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39,218,167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40,491,327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5"/>
              </w:rPr>
              <w:t>Publishing</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235,059,590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240,879,565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Preferred Equity/Partnership Interests—1.7%</w:t>
            </w:r>
            <w:r>
              <w:rPr>
                <w:rFonts w:ascii="Arial" w:cs="Arial" w:eastAsia="Arial" w:hAnsi="Arial"/>
                <w:sz w:val="12"/>
                <w:szCs w:val="12"/>
                <w:b w:val="1"/>
                <w:bCs w:val="1"/>
                <w:color w:val="auto"/>
              </w:rPr>
              <w:t>(6)</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AH Holdings, Inc.</w:t>
            </w:r>
          </w:p>
        </w:tc>
        <w:tc>
          <w:tcPr>
            <w:tcW w:w="96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11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6.00%</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211</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500,000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AHC Mezzanine, LLC</w:t>
            </w:r>
          </w:p>
        </w:tc>
        <w:tc>
          <w:tcPr>
            <w:tcW w:w="96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Other Media</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7,505</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318,896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Alegeus Technologies Holdings Corp. (Alegeus</w:t>
            </w:r>
          </w:p>
        </w:tc>
        <w:tc>
          <w:tcPr>
            <w:tcW w:w="96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3"/>
              </w:rPr>
              <w:t>Financial Services</w:t>
            </w:r>
          </w:p>
        </w:tc>
        <w:tc>
          <w:tcPr>
            <w:tcW w:w="1180" w:type="dxa"/>
            <w:vAlign w:val="bottom"/>
            <w:gridSpan w:val="2"/>
          </w:tcPr>
          <w:p>
            <w:pPr>
              <w:jc w:val="right"/>
              <w:ind w:right="5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949</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949,050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166,701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gridSpan w:val="2"/>
          </w:tcPr>
          <w:p>
            <w:pPr>
              <w:ind w:left="140"/>
              <w:spacing w:after="0"/>
              <w:rPr>
                <w:sz w:val="20"/>
                <w:szCs w:val="20"/>
                <w:color w:val="auto"/>
              </w:rPr>
            </w:pPr>
            <w:r>
              <w:rPr>
                <w:rFonts w:ascii="Arial" w:cs="Arial" w:eastAsia="Arial" w:hAnsi="Arial"/>
                <w:sz w:val="14"/>
                <w:szCs w:val="14"/>
                <w:color w:val="auto"/>
              </w:rPr>
              <w:t>Technologies, LLC)</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 (IHS) Investment Holdings, LLC</w:t>
            </w:r>
          </w:p>
        </w:tc>
        <w:tc>
          <w:tcPr>
            <w:tcW w:w="9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11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8.00%</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76,357</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765,307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1,762,472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CI (IHS) Investment Holdings, LLC</w:t>
            </w:r>
            <w:r>
              <w:rPr>
                <w:rFonts w:ascii="Arial" w:cs="Arial" w:eastAsia="Arial" w:hAnsi="Arial"/>
                <w:sz w:val="12"/>
                <w:szCs w:val="12"/>
                <w:color w:val="auto"/>
              </w:rPr>
              <w:t>(9)</w:t>
            </w:r>
          </w:p>
        </w:tc>
        <w:tc>
          <w:tcPr>
            <w:tcW w:w="96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1180" w:type="dxa"/>
            <w:vAlign w:val="bottom"/>
            <w:gridSpan w:val="2"/>
          </w:tcPr>
          <w:p>
            <w:pPr>
              <w:jc w:val="right"/>
              <w:ind w:right="5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38,179</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382,654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881,236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Holdings, LLC (Convergint</w:t>
            </w:r>
          </w:p>
        </w:tc>
        <w:tc>
          <w:tcPr>
            <w:tcW w:w="9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3"/>
              </w:rPr>
              <w:t>Electronics</w:t>
            </w:r>
          </w:p>
        </w:tc>
        <w:tc>
          <w:tcPr>
            <w:tcW w:w="11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8.00%</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2,375</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2,375,000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2,737,419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Technologies LLC)</w:t>
            </w: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J.A. Cosmetics US, Inc. (J.A. Cosmetics Holdings, Inc.)</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Consumer Products</w:t>
            </w: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8.00%</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3,397</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3,397,484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3,912,260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Red Point, LLC (f/k/a Hanley-Wood Holdings, LLC)</w:t>
            </w:r>
          </w:p>
        </w:tc>
        <w:tc>
          <w:tcPr>
            <w:tcW w:w="96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Other Media</w:t>
            </w: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8.00%</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3,591</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21,727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40,583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Ride Holdings, Inc. (f/k/a VRide Holdings, Inc.)</w:t>
            </w:r>
          </w:p>
        </w:tc>
        <w:tc>
          <w:tcPr>
            <w:tcW w:w="96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0"/>
              </w:rPr>
              <w:t>Personal</w:t>
            </w:r>
          </w:p>
        </w:tc>
        <w:tc>
          <w:tcPr>
            <w:tcW w:w="11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8.00%</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1,966,667</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2,251,667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1,029,295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Transportation</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A</w:t>
            </w:r>
          </w:p>
        </w:tc>
        <w:tc>
          <w:tcPr>
            <w:tcW w:w="96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Insurance</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686</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685,820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Series B</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Insurance</w:t>
            </w: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6.50%</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1,312</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1,312,006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1,799,366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12,959,611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13,015,152</w:t>
            </w:r>
          </w:p>
        </w:tc>
        <w:tc>
          <w:tcPr>
            <w:tcW w:w="0" w:type="dxa"/>
            <w:vAlign w:val="bottom"/>
          </w:tcPr>
          <w:p>
            <w:pPr>
              <w:spacing w:after="0"/>
              <w:rPr>
                <w:sz w:val="1"/>
                <w:szCs w:val="1"/>
                <w:color w:val="auto"/>
              </w:rPr>
            </w:pPr>
          </w:p>
        </w:tc>
      </w:tr>
      <w:tr>
        <w:trPr>
          <w:trHeight w:val="156"/>
        </w:trPr>
        <w:tc>
          <w:tcPr>
            <w:tcW w:w="454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Common Equity/Partnership Interests/Warrants—10.5%</w:t>
            </w:r>
            <w:r>
              <w:rPr>
                <w:rFonts w:ascii="Arial" w:cs="Arial" w:eastAsia="Arial" w:hAnsi="Arial"/>
                <w:sz w:val="12"/>
                <w:szCs w:val="12"/>
                <w:b w:val="1"/>
                <w:bCs w:val="1"/>
                <w:color w:val="auto"/>
              </w:rPr>
              <w:t>(6)</w:t>
            </w: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Acentia, LLC, Class A Units</w:t>
            </w:r>
            <w:r>
              <w:rPr>
                <w:rFonts w:ascii="Arial" w:cs="Arial" w:eastAsia="Arial" w:hAnsi="Arial"/>
                <w:sz w:val="12"/>
                <w:szCs w:val="12"/>
                <w:color w:val="auto"/>
              </w:rPr>
              <w:t>(11)</w:t>
            </w:r>
          </w:p>
        </w:tc>
        <w:tc>
          <w:tcPr>
            <w:tcW w:w="96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3"/>
              </w:rPr>
              <w:t>Electronics</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1,998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2,000,000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902,828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 Series A (Warrants)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12/12/2023</w:t>
            </w:r>
          </w:p>
        </w:tc>
        <w:tc>
          <w:tcPr>
            <w:tcW w:w="26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Consumer Products</w:t>
            </w: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4,798,624</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10,265,972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12,716,355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 Series B (Warrants)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12/12/2023</w:t>
            </w:r>
          </w:p>
        </w:tc>
        <w:tc>
          <w:tcPr>
            <w:tcW w:w="2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Consumer Products</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9,822,196</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196,444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AH Holdings, Inc. (Warrants)</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03/23/2021</w:t>
            </w:r>
          </w:p>
        </w:tc>
        <w:tc>
          <w:tcPr>
            <w:tcW w:w="260" w:type="dxa"/>
            <w:vAlign w:val="bottom"/>
          </w:tcPr>
          <w:p>
            <w:pPr>
              <w:spacing w:after="0"/>
              <w:rPr>
                <w:sz w:val="11"/>
                <w:szCs w:val="11"/>
                <w:color w:val="auto"/>
              </w:rPr>
            </w:pP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1180" w:type="dxa"/>
            <w:vAlign w:val="bottom"/>
            <w:gridSpan w:val="2"/>
          </w:tcPr>
          <w:p>
            <w:pPr>
              <w:jc w:val="right"/>
              <w:ind w:right="5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753</w:t>
            </w:r>
          </w:p>
        </w:tc>
        <w:tc>
          <w:tcPr>
            <w:tcW w:w="140" w:type="dxa"/>
            <w:vAlign w:val="bottom"/>
          </w:tcPr>
          <w:p>
            <w:pPr>
              <w:spacing w:after="0"/>
              <w:rPr>
                <w:sz w:val="11"/>
                <w:szCs w:val="11"/>
                <w:color w:val="auto"/>
              </w:rPr>
            </w:pPr>
          </w:p>
        </w:tc>
        <w:tc>
          <w:tcPr>
            <w:tcW w:w="9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Alegeus Technologies Holding Corp. (Alegeus</w:t>
            </w:r>
          </w:p>
        </w:tc>
        <w:tc>
          <w:tcPr>
            <w:tcW w:w="9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Financial Services</w:t>
            </w:r>
          </w:p>
        </w:tc>
        <w:tc>
          <w:tcPr>
            <w:tcW w:w="1180" w:type="dxa"/>
            <w:vAlign w:val="bottom"/>
            <w:gridSpan w:val="2"/>
            <w:shd w:val="clear" w:color="auto" w:fill="CCEEFF"/>
          </w:tcPr>
          <w:p>
            <w:pPr>
              <w:jc w:val="right"/>
              <w:ind w:right="5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950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Technologies, LLC)</w:t>
            </w: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ASP LCG Holdings, Inc. (f/k/a Learning Care Group (US)</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05/05/2026</w:t>
            </w:r>
          </w:p>
        </w:tc>
        <w:tc>
          <w:tcPr>
            <w:tcW w:w="260" w:type="dxa"/>
            <w:vAlign w:val="bottom"/>
          </w:tcPr>
          <w:p>
            <w:pPr>
              <w:spacing w:after="0"/>
              <w:rPr>
                <w:sz w:val="11"/>
                <w:szCs w:val="11"/>
                <w:color w:val="auto"/>
              </w:rPr>
            </w:pPr>
          </w:p>
        </w:tc>
        <w:tc>
          <w:tcPr>
            <w:tcW w:w="14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3"/>
              </w:rPr>
              <w:t>Education</w:t>
            </w:r>
          </w:p>
        </w:tc>
        <w:tc>
          <w:tcPr>
            <w:tcW w:w="1180" w:type="dxa"/>
            <w:vAlign w:val="bottom"/>
            <w:gridSpan w:val="2"/>
          </w:tcPr>
          <w:p>
            <w:pPr>
              <w:jc w:val="right"/>
              <w:ind w:right="5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933</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586,975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545,114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60" w:type="dxa"/>
            <w:vAlign w:val="bottom"/>
            <w:gridSpan w:val="2"/>
          </w:tcPr>
          <w:p>
            <w:pPr>
              <w:ind w:left="140"/>
              <w:spacing w:after="0"/>
              <w:rPr>
                <w:sz w:val="20"/>
                <w:szCs w:val="20"/>
                <w:color w:val="auto"/>
              </w:rPr>
            </w:pPr>
            <w:r>
              <w:rPr>
                <w:rFonts w:ascii="Arial" w:cs="Arial" w:eastAsia="Arial" w:hAnsi="Arial"/>
                <w:sz w:val="14"/>
                <w:szCs w:val="14"/>
                <w:color w:val="auto"/>
              </w:rPr>
              <w:t>Inc.) (Warrants)</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Basis Point</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Current</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Spread</w:t>
            </w: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Par/</w:t>
            </w: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80" w:type="dxa"/>
            <w:vAlign w:val="bottom"/>
            <w:gridSpan w:val="2"/>
            <w:vMerge w:val="continue"/>
          </w:tcPr>
          <w:p>
            <w:pPr>
              <w:spacing w:after="0"/>
              <w:rPr>
                <w:sz w:val="12"/>
                <w:szCs w:val="12"/>
                <w:color w:val="auto"/>
              </w:rPr>
            </w:pP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Industry</w:t>
            </w:r>
          </w:p>
        </w:tc>
        <w:tc>
          <w:tcPr>
            <w:tcW w:w="800" w:type="dxa"/>
            <w:vAlign w:val="bottom"/>
            <w:gridSpan w:val="2"/>
            <w:vMerge w:val="continue"/>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Above</w:t>
            </w:r>
          </w:p>
        </w:tc>
        <w:tc>
          <w:tcPr>
            <w:tcW w:w="900" w:type="dxa"/>
            <w:vAlign w:val="bottom"/>
            <w:gridSpan w:val="2"/>
            <w:vMerge w:val="continue"/>
          </w:tcPr>
          <w:p>
            <w:pPr>
              <w:spacing w:after="0"/>
              <w:rPr>
                <w:sz w:val="12"/>
                <w:szCs w:val="12"/>
                <w:color w:val="auto"/>
              </w:rPr>
            </w:pPr>
          </w:p>
        </w:tc>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4280" w:type="dxa"/>
            <w:vAlign w:val="bottom"/>
            <w:gridSpan w:val="3"/>
            <w:vMerge w:val="continue"/>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Expiration</w:t>
            </w:r>
          </w:p>
        </w:tc>
        <w:tc>
          <w:tcPr>
            <w:tcW w:w="1460" w:type="dxa"/>
            <w:vAlign w:val="bottom"/>
            <w:gridSpan w:val="2"/>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Coupon</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Index</w:t>
            </w:r>
            <w:r>
              <w:rPr>
                <w:rFonts w:ascii="Arial" w:cs="Arial" w:eastAsia="Arial" w:hAnsi="Arial"/>
                <w:sz w:val="12"/>
                <w:szCs w:val="12"/>
                <w:b w:val="1"/>
                <w:bCs w:val="1"/>
                <w:color w:val="auto"/>
                <w:w w:val="97"/>
              </w:rPr>
              <w:t>(4)</w:t>
            </w: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11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426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Autumn Games, LLC</w:t>
            </w:r>
          </w:p>
        </w:tc>
        <w:tc>
          <w:tcPr>
            <w:tcW w:w="680" w:type="dxa"/>
            <w:vAlign w:val="bottom"/>
            <w:shd w:val="clear" w:color="auto" w:fill="CCEEFF"/>
          </w:tcPr>
          <w:p>
            <w:pPr>
              <w:ind w:left="240"/>
              <w:spacing w:after="0" w:line="123" w:lineRule="exact"/>
              <w:rPr>
                <w:sz w:val="20"/>
                <w:szCs w:val="20"/>
                <w:color w:val="auto"/>
              </w:rPr>
            </w:pPr>
            <w:r>
              <w:rPr>
                <w:rFonts w:ascii="Arial" w:cs="Arial" w:eastAsia="Arial" w:hAnsi="Arial"/>
                <w:sz w:val="14"/>
                <w:szCs w:val="14"/>
                <w:color w:val="auto"/>
              </w:rPr>
              <w:t>—</w:t>
            </w:r>
          </w:p>
        </w:tc>
        <w:tc>
          <w:tcPr>
            <w:tcW w:w="200" w:type="dxa"/>
            <w:vAlign w:val="bottom"/>
            <w:vMerge w:val="continue"/>
            <w:shd w:val="clear" w:color="auto" w:fill="CCEEFF"/>
          </w:tcPr>
          <w:p>
            <w:pPr>
              <w:spacing w:after="0"/>
              <w:rPr>
                <w:sz w:val="10"/>
                <w:szCs w:val="10"/>
                <w:color w:val="auto"/>
              </w:rPr>
            </w:pPr>
          </w:p>
        </w:tc>
        <w:tc>
          <w:tcPr>
            <w:tcW w:w="128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1"/>
              </w:rPr>
              <w:t>Broadcasting and</w:t>
            </w:r>
          </w:p>
        </w:tc>
        <w:tc>
          <w:tcPr>
            <w:tcW w:w="180" w:type="dxa"/>
            <w:vAlign w:val="bottom"/>
            <w:vMerge w:val="continue"/>
            <w:shd w:val="clear" w:color="auto" w:fill="CCEEFF"/>
          </w:tcPr>
          <w:p>
            <w:pPr>
              <w:spacing w:after="0"/>
              <w:rPr>
                <w:sz w:val="10"/>
                <w:szCs w:val="10"/>
                <w:color w:val="auto"/>
              </w:rPr>
            </w:pPr>
          </w:p>
        </w:tc>
        <w:tc>
          <w:tcPr>
            <w:tcW w:w="520" w:type="dxa"/>
            <w:vAlign w:val="bottom"/>
            <w:shd w:val="clear" w:color="auto" w:fill="CCEEFF"/>
          </w:tcPr>
          <w:p>
            <w:pPr>
              <w:ind w:left="300"/>
              <w:spacing w:after="0" w:line="123" w:lineRule="exact"/>
              <w:rPr>
                <w:sz w:val="20"/>
                <w:szCs w:val="20"/>
                <w:color w:val="auto"/>
              </w:rPr>
            </w:pPr>
            <w:r>
              <w:rPr>
                <w:rFonts w:ascii="Arial" w:cs="Arial" w:eastAsia="Arial" w:hAnsi="Arial"/>
                <w:sz w:val="14"/>
                <w:szCs w:val="14"/>
                <w:color w:val="auto"/>
              </w:rPr>
              <w:t>—</w:t>
            </w:r>
          </w:p>
        </w:tc>
        <w:tc>
          <w:tcPr>
            <w:tcW w:w="280" w:type="dxa"/>
            <w:vAlign w:val="bottom"/>
            <w:vMerge w:val="continue"/>
            <w:shd w:val="clear" w:color="auto" w:fill="CCEEFF"/>
          </w:tcPr>
          <w:p>
            <w:pPr>
              <w:spacing w:after="0"/>
              <w:rPr>
                <w:sz w:val="10"/>
                <w:szCs w:val="10"/>
                <w:color w:val="auto"/>
              </w:rPr>
            </w:pPr>
          </w:p>
        </w:tc>
        <w:tc>
          <w:tcPr>
            <w:tcW w:w="700" w:type="dxa"/>
            <w:vAlign w:val="bottom"/>
            <w:shd w:val="clear" w:color="auto" w:fill="CCEEFF"/>
          </w:tcPr>
          <w:p>
            <w:pPr>
              <w:ind w:left="480"/>
              <w:spacing w:after="0" w:line="123" w:lineRule="exact"/>
              <w:rPr>
                <w:sz w:val="20"/>
                <w:szCs w:val="20"/>
                <w:color w:val="auto"/>
              </w:rPr>
            </w:pPr>
            <w:r>
              <w:rPr>
                <w:rFonts w:ascii="Arial" w:cs="Arial" w:eastAsia="Arial" w:hAnsi="Arial"/>
                <w:sz w:val="14"/>
                <w:szCs w:val="14"/>
                <w:color w:val="auto"/>
              </w:rPr>
              <w:t>—</w:t>
            </w:r>
          </w:p>
        </w:tc>
        <w:tc>
          <w:tcPr>
            <w:tcW w:w="280" w:type="dxa"/>
            <w:vAlign w:val="bottom"/>
            <w:vMerge w:val="continue"/>
            <w:shd w:val="clear" w:color="auto" w:fill="CCEEFF"/>
          </w:tcPr>
          <w:p>
            <w:pPr>
              <w:spacing w:after="0"/>
              <w:rPr>
                <w:sz w:val="10"/>
                <w:szCs w:val="10"/>
                <w:color w:val="auto"/>
              </w:rPr>
            </w:pP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w w:val="96"/>
              </w:rPr>
              <w:t>1,333,330</w:t>
            </w:r>
          </w:p>
        </w:tc>
        <w:tc>
          <w:tcPr>
            <w:tcW w:w="280" w:type="dxa"/>
            <w:vAlign w:val="bottom"/>
            <w:vMerge w:val="continue"/>
            <w:shd w:val="clear" w:color="auto" w:fill="CCEEFF"/>
          </w:tcPr>
          <w:p>
            <w:pPr>
              <w:spacing w:after="0"/>
              <w:rPr>
                <w:sz w:val="10"/>
                <w:szCs w:val="10"/>
                <w:color w:val="auto"/>
              </w:rPr>
            </w:pPr>
          </w:p>
        </w:tc>
        <w:tc>
          <w:tcPr>
            <w:tcW w:w="88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3,000,000</w:t>
            </w:r>
          </w:p>
        </w:tc>
        <w:tc>
          <w:tcPr>
            <w:tcW w:w="280" w:type="dxa"/>
            <w:vAlign w:val="bottom"/>
            <w:vMerge w:val="continue"/>
            <w:shd w:val="clear" w:color="auto" w:fill="CCEEFF"/>
          </w:tcPr>
          <w:p>
            <w:pPr>
              <w:spacing w:after="0"/>
              <w:rPr>
                <w:sz w:val="10"/>
                <w:szCs w:val="10"/>
                <w:color w:val="auto"/>
              </w:rPr>
            </w:pPr>
          </w:p>
        </w:tc>
        <w:tc>
          <w:tcPr>
            <w:tcW w:w="880" w:type="dxa"/>
            <w:vAlign w:val="bottom"/>
            <w:shd w:val="clear" w:color="auto" w:fill="CCEEFF"/>
          </w:tcPr>
          <w:p>
            <w:pPr>
              <w:jc w:val="right"/>
              <w:ind w:right="8"/>
              <w:spacing w:after="0" w:line="123" w:lineRule="exact"/>
              <w:rPr>
                <w:sz w:val="20"/>
                <w:szCs w:val="20"/>
                <w:color w:val="auto"/>
              </w:rPr>
            </w:pPr>
            <w:r>
              <w:rPr>
                <w:rFonts w:ascii="Arial" w:cs="Arial" w:eastAsia="Arial" w:hAnsi="Arial"/>
                <w:sz w:val="14"/>
                <w:szCs w:val="14"/>
                <w:color w:val="auto"/>
              </w:rPr>
              <w:t>—</w:t>
            </w:r>
          </w:p>
        </w:tc>
        <w:tc>
          <w:tcPr>
            <w:tcW w:w="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4"/>
              </w:rPr>
              <w:t>Entertainment</w:t>
            </w: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CI (FBM) Holdings, LLC</w:t>
            </w:r>
            <w:r>
              <w:rPr>
                <w:rFonts w:ascii="Arial" w:cs="Arial" w:eastAsia="Arial" w:hAnsi="Arial"/>
                <w:sz w:val="12"/>
                <w:szCs w:val="12"/>
                <w:color w:val="auto"/>
              </w:rPr>
              <w:t>(11)</w:t>
            </w:r>
            <w:r>
              <w:rPr>
                <w:rFonts w:ascii="Arial" w:cs="Arial" w:eastAsia="Arial" w:hAnsi="Arial"/>
                <w:sz w:val="14"/>
                <w:szCs w:val="14"/>
                <w:color w:val="auto"/>
              </w:rPr>
              <w:t xml:space="preserve"> (Foundation Building Materials, LLC)</w:t>
            </w:r>
          </w:p>
        </w:tc>
        <w:tc>
          <w:tcPr>
            <w:tcW w:w="8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7"/>
              </w:rPr>
              <w:t>Building Materials</w:t>
            </w:r>
          </w:p>
        </w:tc>
        <w:tc>
          <w:tcPr>
            <w:tcW w:w="8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207,242</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2,250,000</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2,608,001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 (FBM) Holdings, LLC</w:t>
            </w:r>
            <w:r>
              <w:rPr>
                <w:rFonts w:ascii="Arial" w:cs="Arial" w:eastAsia="Arial" w:hAnsi="Arial"/>
                <w:sz w:val="12"/>
                <w:szCs w:val="12"/>
                <w:color w:val="auto"/>
              </w:rPr>
              <w:t>(9),(11)</w:t>
            </w:r>
            <w:r>
              <w:rPr>
                <w:rFonts w:ascii="Arial" w:cs="Arial" w:eastAsia="Arial" w:hAnsi="Arial"/>
                <w:sz w:val="14"/>
                <w:szCs w:val="14"/>
                <w:color w:val="auto"/>
              </w:rPr>
              <w:t xml:space="preserve"> (Foundation Building Materials,</w:t>
            </w:r>
          </w:p>
        </w:tc>
        <w:tc>
          <w:tcPr>
            <w:tcW w:w="88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7"/>
              </w:rPr>
              <w:t>Building Materials</w:t>
            </w:r>
          </w:p>
        </w:tc>
        <w:tc>
          <w:tcPr>
            <w:tcW w:w="80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103,621</w:t>
            </w: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1,125,000</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1,304,001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LLC)</w:t>
            </w: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CI (Galls) Prime Investment Holdings, LLC</w:t>
            </w:r>
            <w:r>
              <w:rPr>
                <w:rFonts w:ascii="Arial" w:cs="Arial" w:eastAsia="Arial" w:hAnsi="Arial"/>
                <w:sz w:val="12"/>
                <w:szCs w:val="12"/>
                <w:color w:val="auto"/>
              </w:rPr>
              <w:t>(11)</w:t>
            </w:r>
          </w:p>
        </w:tc>
        <w:tc>
          <w:tcPr>
            <w:tcW w:w="8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Distribution</w:t>
            </w:r>
          </w:p>
        </w:tc>
        <w:tc>
          <w:tcPr>
            <w:tcW w:w="8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1,505,000</w:t>
            </w:r>
          </w:p>
        </w:tc>
        <w:tc>
          <w:tcPr>
            <w:tcW w:w="280" w:type="dxa"/>
            <w:vAlign w:val="bottom"/>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1,505,000</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1,913,376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 (IHS) Investment Holdings, LLC</w:t>
            </w:r>
          </w:p>
        </w:tc>
        <w:tc>
          <w:tcPr>
            <w:tcW w:w="88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80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23,416</w:t>
            </w: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234,693</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539,257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tcPr>
          <w:p>
            <w:pPr>
              <w:spacing w:after="0" w:line="130" w:lineRule="exact"/>
              <w:rPr>
                <w:sz w:val="20"/>
                <w:szCs w:val="20"/>
                <w:color w:val="auto"/>
              </w:rPr>
            </w:pPr>
            <w:r>
              <w:rPr>
                <w:rFonts w:ascii="Arial" w:cs="Arial" w:eastAsia="Arial" w:hAnsi="Arial"/>
                <w:sz w:val="14"/>
                <w:szCs w:val="14"/>
                <w:color w:val="auto"/>
              </w:rPr>
              <w:t>CI (IHS) Investment Holdings, LLC</w:t>
            </w:r>
            <w:r>
              <w:rPr>
                <w:rFonts w:ascii="Arial" w:cs="Arial" w:eastAsia="Arial" w:hAnsi="Arial"/>
                <w:sz w:val="12"/>
                <w:szCs w:val="12"/>
                <w:color w:val="auto"/>
              </w:rPr>
              <w:t>(9)</w:t>
            </w:r>
          </w:p>
        </w:tc>
        <w:tc>
          <w:tcPr>
            <w:tcW w:w="880" w:type="dxa"/>
            <w:vAlign w:val="bottom"/>
            <w:gridSpan w:val="2"/>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80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30" w:lineRule="exact"/>
              <w:rPr>
                <w:sz w:val="20"/>
                <w:szCs w:val="20"/>
                <w:color w:val="auto"/>
              </w:rPr>
            </w:pPr>
            <w:r>
              <w:rPr>
                <w:rFonts w:ascii="Arial" w:cs="Arial" w:eastAsia="Arial" w:hAnsi="Arial"/>
                <w:sz w:val="14"/>
                <w:szCs w:val="14"/>
                <w:color w:val="auto"/>
              </w:rPr>
              <w:t>11,708</w:t>
            </w:r>
          </w:p>
        </w:tc>
        <w:tc>
          <w:tcPr>
            <w:tcW w:w="280" w:type="dxa"/>
            <w:vAlign w:val="bottom"/>
          </w:tcPr>
          <w:p>
            <w:pPr>
              <w:spacing w:after="0"/>
              <w:rPr>
                <w:sz w:val="11"/>
                <w:szCs w:val="11"/>
                <w:color w:val="auto"/>
              </w:rPr>
            </w:pP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117,346</w:t>
            </w: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269,629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Holdings, LLC (Convergint Technologies</w:t>
            </w:r>
          </w:p>
        </w:tc>
        <w:tc>
          <w:tcPr>
            <w:tcW w:w="88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3"/>
              </w:rPr>
              <w:t>Electronics</w:t>
            </w:r>
          </w:p>
        </w:tc>
        <w:tc>
          <w:tcPr>
            <w:tcW w:w="80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2,375</w:t>
            </w:r>
          </w:p>
        </w:tc>
        <w:tc>
          <w:tcPr>
            <w:tcW w:w="1160" w:type="dxa"/>
            <w:vAlign w:val="bottom"/>
            <w:gridSpan w:val="2"/>
            <w:shd w:val="clear" w:color="auto" w:fill="CCEEFF"/>
          </w:tcPr>
          <w:p>
            <w:pPr>
              <w:ind w:left="6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686,666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LLC)</w:t>
            </w: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tcPr>
          <w:p>
            <w:pPr>
              <w:spacing w:after="0" w:line="130" w:lineRule="exact"/>
              <w:rPr>
                <w:sz w:val="20"/>
                <w:szCs w:val="20"/>
                <w:color w:val="auto"/>
              </w:rPr>
            </w:pPr>
            <w:r>
              <w:rPr>
                <w:rFonts w:ascii="Arial" w:cs="Arial" w:eastAsia="Arial" w:hAnsi="Arial"/>
                <w:sz w:val="14"/>
                <w:szCs w:val="14"/>
                <w:color w:val="auto"/>
              </w:rPr>
              <w:t>CT Technologies Holdings, LLC (CT Technologies Intermediate</w:t>
            </w:r>
          </w:p>
        </w:tc>
        <w:tc>
          <w:tcPr>
            <w:tcW w:w="880" w:type="dxa"/>
            <w:vAlign w:val="bottom"/>
            <w:gridSpan w:val="2"/>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0"/>
              </w:rPr>
              <w:t>Business Services</w:t>
            </w:r>
          </w:p>
        </w:tc>
        <w:tc>
          <w:tcPr>
            <w:tcW w:w="80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5,556</w:t>
            </w: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545,887</w:t>
            </w: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4,210,946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gridSpan w:val="2"/>
          </w:tcPr>
          <w:p>
            <w:pPr>
              <w:ind w:left="140"/>
              <w:spacing w:after="0"/>
              <w:rPr>
                <w:sz w:val="20"/>
                <w:szCs w:val="20"/>
                <w:color w:val="auto"/>
              </w:rPr>
            </w:pPr>
            <w:r>
              <w:rPr>
                <w:rFonts w:ascii="Arial" w:cs="Arial" w:eastAsia="Arial" w:hAnsi="Arial"/>
                <w:sz w:val="14"/>
                <w:szCs w:val="14"/>
                <w:color w:val="auto"/>
              </w:rPr>
              <w:t>Holdings, Inc.)</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 Cosmetics US, Inc. (J.A. Cosmetics Holdings, Inc.)</w:t>
            </w:r>
          </w:p>
        </w:tc>
        <w:tc>
          <w:tcPr>
            <w:tcW w:w="8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Consumer Products</w:t>
            </w:r>
          </w:p>
        </w:tc>
        <w:tc>
          <w:tcPr>
            <w:tcW w:w="8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w:t>
            </w: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2,516</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204,342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tcPr>
          <w:p>
            <w:pPr>
              <w:spacing w:after="0" w:line="130" w:lineRule="exact"/>
              <w:rPr>
                <w:sz w:val="20"/>
                <w:szCs w:val="20"/>
                <w:color w:val="auto"/>
              </w:rPr>
            </w:pPr>
            <w:r>
              <w:rPr>
                <w:rFonts w:ascii="Arial" w:cs="Arial" w:eastAsia="Arial" w:hAnsi="Arial"/>
                <w:sz w:val="14"/>
                <w:szCs w:val="14"/>
                <w:color w:val="auto"/>
              </w:rPr>
              <w:t>Kadmon Holdings, LLC, Class A</w:t>
            </w:r>
          </w:p>
        </w:tc>
        <w:tc>
          <w:tcPr>
            <w:tcW w:w="880" w:type="dxa"/>
            <w:vAlign w:val="bottom"/>
            <w:gridSpan w:val="2"/>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80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30" w:lineRule="exact"/>
              <w:rPr>
                <w:sz w:val="20"/>
                <w:szCs w:val="20"/>
                <w:color w:val="auto"/>
              </w:rPr>
            </w:pPr>
            <w:r>
              <w:rPr>
                <w:rFonts w:ascii="Arial" w:cs="Arial" w:eastAsia="Arial" w:hAnsi="Arial"/>
                <w:sz w:val="14"/>
                <w:szCs w:val="14"/>
                <w:color w:val="auto"/>
                <w:w w:val="96"/>
              </w:rPr>
              <w:t>1,079,920</w:t>
            </w:r>
          </w:p>
        </w:tc>
        <w:tc>
          <w:tcPr>
            <w:tcW w:w="280" w:type="dxa"/>
            <w:vAlign w:val="bottom"/>
          </w:tcPr>
          <w:p>
            <w:pPr>
              <w:spacing w:after="0"/>
              <w:rPr>
                <w:sz w:val="11"/>
                <w:szCs w:val="11"/>
                <w:color w:val="auto"/>
              </w:rPr>
            </w:pP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1,236,832</w:t>
            </w: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10,056,948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Kadmon Holdings, LLC, Class D</w:t>
            </w:r>
          </w:p>
        </w:tc>
        <w:tc>
          <w:tcPr>
            <w:tcW w:w="88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80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1,079,920</w:t>
            </w:r>
          </w:p>
        </w:tc>
        <w:tc>
          <w:tcPr>
            <w:tcW w:w="2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1,028,807</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1,028,807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tcPr>
          <w:p>
            <w:pPr>
              <w:spacing w:after="0" w:line="130" w:lineRule="exact"/>
              <w:rPr>
                <w:sz w:val="20"/>
                <w:szCs w:val="20"/>
                <w:color w:val="auto"/>
              </w:rPr>
            </w:pPr>
            <w:r>
              <w:rPr>
                <w:rFonts w:ascii="Arial" w:cs="Arial" w:eastAsia="Arial" w:hAnsi="Arial"/>
                <w:sz w:val="14"/>
                <w:szCs w:val="14"/>
                <w:color w:val="auto"/>
              </w:rPr>
              <w:t>Lariat ecoserv Co-Invest Holdings, LLC</w:t>
            </w:r>
          </w:p>
        </w:tc>
        <w:tc>
          <w:tcPr>
            <w:tcW w:w="880" w:type="dxa"/>
            <w:vAlign w:val="bottom"/>
            <w:gridSpan w:val="2"/>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6"/>
              </w:rPr>
              <w:t>Environmental</w:t>
            </w:r>
          </w:p>
        </w:tc>
        <w:tc>
          <w:tcPr>
            <w:tcW w:w="80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30" w:lineRule="exact"/>
              <w:rPr>
                <w:sz w:val="20"/>
                <w:szCs w:val="20"/>
                <w:color w:val="auto"/>
              </w:rPr>
            </w:pPr>
            <w:r>
              <w:rPr>
                <w:rFonts w:ascii="Arial" w:cs="Arial" w:eastAsia="Arial" w:hAnsi="Arial"/>
                <w:sz w:val="14"/>
                <w:szCs w:val="14"/>
                <w:color w:val="auto"/>
                <w:w w:val="96"/>
              </w:rPr>
              <w:t>1,000,000</w:t>
            </w:r>
          </w:p>
        </w:tc>
        <w:tc>
          <w:tcPr>
            <w:tcW w:w="280" w:type="dxa"/>
            <w:vAlign w:val="bottom"/>
          </w:tcPr>
          <w:p>
            <w:pPr>
              <w:spacing w:after="0"/>
              <w:rPr>
                <w:sz w:val="11"/>
                <w:szCs w:val="11"/>
                <w:color w:val="auto"/>
              </w:rPr>
            </w:pP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1,000,000</w:t>
            </w: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Services</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Magnum Hunter Resources Corporation (Warrants)</w:t>
            </w:r>
          </w:p>
        </w:tc>
        <w:tc>
          <w:tcPr>
            <w:tcW w:w="6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1"/>
              </w:rPr>
              <w:t>04/16/2016</w:t>
            </w:r>
          </w:p>
        </w:tc>
        <w:tc>
          <w:tcPr>
            <w:tcW w:w="2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Oil and Gas</w:t>
            </w:r>
          </w:p>
        </w:tc>
        <w:tc>
          <w:tcPr>
            <w:tcW w:w="8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122,192</w:t>
            </w: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182,498</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277,379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MidOcean JF Holdings Corp. (JF Acquisitions, LLC)</w:t>
            </w:r>
          </w:p>
        </w:tc>
        <w:tc>
          <w:tcPr>
            <w:tcW w:w="8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Distribution</w:t>
            </w:r>
          </w:p>
        </w:tc>
        <w:tc>
          <w:tcPr>
            <w:tcW w:w="8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1,850</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1,850,294</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881,603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MidOcean PPL Holdings, Corp. (Pre-Paid Legal Services, Inc.)</w:t>
            </w:r>
          </w:p>
        </w:tc>
        <w:tc>
          <w:tcPr>
            <w:tcW w:w="88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Personal, Food and</w:t>
            </w:r>
          </w:p>
        </w:tc>
        <w:tc>
          <w:tcPr>
            <w:tcW w:w="80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3,000</w:t>
            </w: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3,000,000</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5,997,138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Miscellaneous</w:t>
            </w: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89"/>
              </w:rPr>
              <w:t>Services</w:t>
            </w: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New Gulf Resources, LLC (Warrants)</w:t>
            </w:r>
          </w:p>
        </w:tc>
        <w:tc>
          <w:tcPr>
            <w:tcW w:w="680" w:type="dxa"/>
            <w:vAlign w:val="bottom"/>
          </w:tcPr>
          <w:p>
            <w:pPr>
              <w:ind w:left="20"/>
              <w:spacing w:after="0" w:line="149" w:lineRule="exact"/>
              <w:rPr>
                <w:sz w:val="20"/>
                <w:szCs w:val="20"/>
                <w:color w:val="auto"/>
              </w:rPr>
            </w:pPr>
            <w:r>
              <w:rPr>
                <w:rFonts w:ascii="Arial" w:cs="Arial" w:eastAsia="Arial" w:hAnsi="Arial"/>
                <w:sz w:val="14"/>
                <w:szCs w:val="14"/>
                <w:color w:val="auto"/>
                <w:w w:val="91"/>
              </w:rPr>
              <w:t>05/09/2024</w:t>
            </w:r>
          </w:p>
        </w:tc>
        <w:tc>
          <w:tcPr>
            <w:tcW w:w="20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Oil and Gas</w:t>
            </w:r>
          </w:p>
        </w:tc>
        <w:tc>
          <w:tcPr>
            <w:tcW w:w="8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13,500</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495,000</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1,687,355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Old Guard Risk Services, Inc. (Warrants)</w:t>
            </w:r>
          </w:p>
        </w:tc>
        <w:tc>
          <w:tcPr>
            <w:tcW w:w="6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1"/>
              </w:rPr>
              <w:t>11/27/2023</w:t>
            </w:r>
          </w:p>
        </w:tc>
        <w:tc>
          <w:tcPr>
            <w:tcW w:w="2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Insurance</w:t>
            </w:r>
          </w:p>
        </w:tc>
        <w:tc>
          <w:tcPr>
            <w:tcW w:w="8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35,490</w:t>
            </w: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495,086</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876,364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tcPr>
          <w:p>
            <w:pPr>
              <w:spacing w:after="0" w:line="130" w:lineRule="exact"/>
              <w:rPr>
                <w:sz w:val="20"/>
                <w:szCs w:val="20"/>
                <w:color w:val="auto"/>
              </w:rPr>
            </w:pPr>
            <w:r>
              <w:rPr>
                <w:rFonts w:ascii="Arial" w:cs="Arial" w:eastAsia="Arial" w:hAnsi="Arial"/>
                <w:sz w:val="14"/>
                <w:szCs w:val="14"/>
                <w:color w:val="auto"/>
              </w:rPr>
              <w:t>Paradigm Acquisition Corp.</w:t>
            </w:r>
          </w:p>
        </w:tc>
        <w:tc>
          <w:tcPr>
            <w:tcW w:w="880" w:type="dxa"/>
            <w:vAlign w:val="bottom"/>
            <w:gridSpan w:val="2"/>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80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20,000</w:t>
            </w: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1,171,851</w:t>
            </w: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2,817,200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Power Products Holdings, LLC, Class A Units</w:t>
            </w:r>
            <w:r>
              <w:rPr>
                <w:rFonts w:ascii="Arial" w:cs="Arial" w:eastAsia="Arial" w:hAnsi="Arial"/>
                <w:sz w:val="12"/>
                <w:szCs w:val="12"/>
                <w:color w:val="auto"/>
              </w:rPr>
              <w:t>(11)</w:t>
            </w:r>
            <w:r>
              <w:rPr>
                <w:rFonts w:ascii="Arial" w:cs="Arial" w:eastAsia="Arial" w:hAnsi="Arial"/>
                <w:sz w:val="14"/>
                <w:szCs w:val="14"/>
                <w:color w:val="auto"/>
              </w:rPr>
              <w:t xml:space="preserve"> (Power Products,</w:t>
            </w:r>
          </w:p>
        </w:tc>
        <w:tc>
          <w:tcPr>
            <w:tcW w:w="88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3"/>
              </w:rPr>
              <w:t>Electronics</w:t>
            </w:r>
          </w:p>
        </w:tc>
        <w:tc>
          <w:tcPr>
            <w:tcW w:w="80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1,350,000</w:t>
            </w:r>
          </w:p>
        </w:tc>
        <w:tc>
          <w:tcPr>
            <w:tcW w:w="2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1,350,000</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1,289,705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LLC)</w:t>
            </w: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tcPr>
          <w:p>
            <w:pPr>
              <w:spacing w:after="0" w:line="130" w:lineRule="exact"/>
              <w:rPr>
                <w:sz w:val="20"/>
                <w:szCs w:val="20"/>
                <w:color w:val="auto"/>
              </w:rPr>
            </w:pPr>
            <w:r>
              <w:rPr>
                <w:rFonts w:ascii="Arial" w:cs="Arial" w:eastAsia="Arial" w:hAnsi="Arial"/>
                <w:sz w:val="14"/>
                <w:szCs w:val="14"/>
                <w:color w:val="auto"/>
              </w:rPr>
              <w:t>Power Products Holdings, LLC, Class B Units</w:t>
            </w:r>
            <w:r>
              <w:rPr>
                <w:rFonts w:ascii="Arial" w:cs="Arial" w:eastAsia="Arial" w:hAnsi="Arial"/>
                <w:sz w:val="12"/>
                <w:szCs w:val="12"/>
                <w:color w:val="auto"/>
              </w:rPr>
              <w:t>(11)</w:t>
            </w:r>
            <w:r>
              <w:rPr>
                <w:rFonts w:ascii="Arial" w:cs="Arial" w:eastAsia="Arial" w:hAnsi="Arial"/>
                <w:sz w:val="14"/>
                <w:szCs w:val="14"/>
                <w:color w:val="auto"/>
              </w:rPr>
              <w:t xml:space="preserve"> (Power Products,</w:t>
            </w:r>
          </w:p>
        </w:tc>
        <w:tc>
          <w:tcPr>
            <w:tcW w:w="880" w:type="dxa"/>
            <w:vAlign w:val="bottom"/>
            <w:gridSpan w:val="2"/>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3"/>
              </w:rPr>
              <w:t>Electronics</w:t>
            </w:r>
          </w:p>
        </w:tc>
        <w:tc>
          <w:tcPr>
            <w:tcW w:w="80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150,000</w:t>
            </w: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150,000</w:t>
            </w: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143,301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gridSpan w:val="2"/>
          </w:tcPr>
          <w:p>
            <w:pPr>
              <w:ind w:left="140"/>
              <w:spacing w:after="0"/>
              <w:rPr>
                <w:sz w:val="20"/>
                <w:szCs w:val="20"/>
                <w:color w:val="auto"/>
              </w:rPr>
            </w:pPr>
            <w:r>
              <w:rPr>
                <w:rFonts w:ascii="Arial" w:cs="Arial" w:eastAsia="Arial" w:hAnsi="Arial"/>
                <w:sz w:val="14"/>
                <w:szCs w:val="14"/>
                <w:color w:val="auto"/>
              </w:rPr>
              <w:t>LLC)</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QMG HoldCo, LLC, Class A (Questex Media Group, LLC)</w:t>
            </w:r>
          </w:p>
        </w:tc>
        <w:tc>
          <w:tcPr>
            <w:tcW w:w="8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Other Media</w:t>
            </w:r>
          </w:p>
        </w:tc>
        <w:tc>
          <w:tcPr>
            <w:tcW w:w="8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4,325</w:t>
            </w: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1,306,167</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2,743,823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QMG HoldCo, LLC, Class B (Questex Media Group, LLC)</w:t>
            </w:r>
          </w:p>
        </w:tc>
        <w:tc>
          <w:tcPr>
            <w:tcW w:w="8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Other Media</w:t>
            </w:r>
          </w:p>
        </w:tc>
        <w:tc>
          <w:tcPr>
            <w:tcW w:w="8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531</w:t>
            </w:r>
          </w:p>
        </w:tc>
        <w:tc>
          <w:tcPr>
            <w:tcW w:w="280" w:type="dxa"/>
            <w:vAlign w:val="bottom"/>
          </w:tcPr>
          <w:p>
            <w:pPr>
              <w:spacing w:after="0"/>
              <w:rPr>
                <w:sz w:val="12"/>
                <w:szCs w:val="12"/>
                <w:color w:val="auto"/>
              </w:rPr>
            </w:pPr>
          </w:p>
        </w:tc>
        <w:tc>
          <w:tcPr>
            <w:tcW w:w="11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336,872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Red Point, LLC (f/k/a Hanley-Wood Holdings, LLC)</w:t>
            </w:r>
          </w:p>
        </w:tc>
        <w:tc>
          <w:tcPr>
            <w:tcW w:w="8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Other Media</w:t>
            </w:r>
          </w:p>
        </w:tc>
        <w:tc>
          <w:tcPr>
            <w:tcW w:w="8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388,378</w:t>
            </w: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1,629,791</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3,810,570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tcPr>
          <w:p>
            <w:pPr>
              <w:spacing w:after="0" w:line="130" w:lineRule="exact"/>
              <w:rPr>
                <w:sz w:val="20"/>
                <w:szCs w:val="20"/>
                <w:color w:val="auto"/>
              </w:rPr>
            </w:pPr>
            <w:r>
              <w:rPr>
                <w:rFonts w:ascii="Arial" w:cs="Arial" w:eastAsia="Arial" w:hAnsi="Arial"/>
                <w:sz w:val="14"/>
                <w:szCs w:val="14"/>
                <w:color w:val="auto"/>
              </w:rPr>
              <w:t>Ride Holdings, Inc. (f/k/a VRide Holdings, Inc.)</w:t>
            </w:r>
          </w:p>
        </w:tc>
        <w:tc>
          <w:tcPr>
            <w:tcW w:w="880" w:type="dxa"/>
            <w:vAlign w:val="bottom"/>
            <w:gridSpan w:val="2"/>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0"/>
              </w:rPr>
              <w:t>Personal</w:t>
            </w:r>
          </w:p>
        </w:tc>
        <w:tc>
          <w:tcPr>
            <w:tcW w:w="80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9,882</w:t>
            </w: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11,314</w:t>
            </w:r>
          </w:p>
        </w:tc>
        <w:tc>
          <w:tcPr>
            <w:tcW w:w="9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Transportation</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SPG Boyd Holdings Corp.</w:t>
            </w:r>
          </w:p>
        </w:tc>
        <w:tc>
          <w:tcPr>
            <w:tcW w:w="88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Chemical, Plastic and</w:t>
            </w:r>
          </w:p>
        </w:tc>
        <w:tc>
          <w:tcPr>
            <w:tcW w:w="80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3,000</w:t>
            </w: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2,419,203</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8,115,035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1"/>
              </w:rPr>
              <w:t>Rubber</w:t>
            </w: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680" w:type="dxa"/>
            <w:vAlign w:val="bottom"/>
          </w:tcPr>
          <w:p>
            <w:pPr>
              <w:ind w:left="20"/>
              <w:spacing w:after="0" w:line="149" w:lineRule="exact"/>
              <w:rPr>
                <w:sz w:val="20"/>
                <w:szCs w:val="20"/>
                <w:color w:val="auto"/>
              </w:rPr>
            </w:pPr>
            <w:r>
              <w:rPr>
                <w:rFonts w:ascii="Arial" w:cs="Arial" w:eastAsia="Arial" w:hAnsi="Arial"/>
                <w:sz w:val="14"/>
                <w:szCs w:val="14"/>
                <w:color w:val="auto"/>
                <w:w w:val="91"/>
              </w:rPr>
              <w:t>12/29/2019</w:t>
            </w:r>
          </w:p>
        </w:tc>
        <w:tc>
          <w:tcPr>
            <w:tcW w:w="20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8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3,500</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29,400</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660,380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Transportation 100 Holdco, L.L.C.</w:t>
            </w:r>
            <w:r>
              <w:rPr>
                <w:rFonts w:ascii="Arial" w:cs="Arial" w:eastAsia="Arial" w:hAnsi="Arial"/>
                <w:sz w:val="12"/>
                <w:szCs w:val="12"/>
                <w:color w:val="auto"/>
              </w:rPr>
              <w:t>(11)</w:t>
            </w:r>
          </w:p>
        </w:tc>
        <w:tc>
          <w:tcPr>
            <w:tcW w:w="88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Cargo Transport</w:t>
            </w:r>
          </w:p>
        </w:tc>
        <w:tc>
          <w:tcPr>
            <w:tcW w:w="80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137,923</w:t>
            </w: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2,111,588</w:t>
            </w:r>
          </w:p>
        </w:tc>
        <w:tc>
          <w:tcPr>
            <w:tcW w:w="9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(Intermediate Transportation 100, L.L.C.)</w:t>
            </w: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w:t>
            </w:r>
          </w:p>
        </w:tc>
        <w:tc>
          <w:tcPr>
            <w:tcW w:w="8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Insurance</w:t>
            </w:r>
          </w:p>
        </w:tc>
        <w:tc>
          <w:tcPr>
            <w:tcW w:w="8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9,567</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486,865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Vestcom Parent Holdings, Inc. (Vestcom International, Inc.)</w:t>
            </w:r>
          </w:p>
        </w:tc>
        <w:tc>
          <w:tcPr>
            <w:tcW w:w="88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Printing and</w:t>
            </w:r>
          </w:p>
        </w:tc>
        <w:tc>
          <w:tcPr>
            <w:tcW w:w="80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211,797</w:t>
            </w:r>
          </w:p>
        </w:tc>
        <w:tc>
          <w:tcPr>
            <w:tcW w:w="2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2,325,555</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5,878,900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5"/>
              </w:rPr>
              <w:t>Publishing</w:t>
            </w: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VText Holdings, Inc.</w:t>
            </w:r>
          </w:p>
        </w:tc>
        <w:tc>
          <w:tcPr>
            <w:tcW w:w="8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8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35,526</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4,050,000</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4,897,658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Z Wireless Holdings, Inc. (Warrants)</w:t>
            </w:r>
          </w:p>
        </w:tc>
        <w:tc>
          <w:tcPr>
            <w:tcW w:w="6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1"/>
              </w:rPr>
              <w:t>10/21/2021</w:t>
            </w:r>
          </w:p>
        </w:tc>
        <w:tc>
          <w:tcPr>
            <w:tcW w:w="2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Retail</w:t>
            </w:r>
          </w:p>
        </w:tc>
        <w:tc>
          <w:tcPr>
            <w:tcW w:w="8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1,736</w:t>
            </w: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168,799</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236,890</w:t>
            </w:r>
          </w:p>
        </w:tc>
        <w:tc>
          <w:tcPr>
            <w:tcW w:w="0" w:type="dxa"/>
            <w:vAlign w:val="bottom"/>
          </w:tcPr>
          <w:p>
            <w:pPr>
              <w:spacing w:after="0"/>
              <w:rPr>
                <w:sz w:val="1"/>
                <w:szCs w:val="1"/>
                <w:color w:val="auto"/>
              </w:rPr>
            </w:pPr>
          </w:p>
        </w:tc>
      </w:tr>
      <w:tr>
        <w:trPr>
          <w:trHeight w:val="163"/>
        </w:trPr>
        <w:tc>
          <w:tcPr>
            <w:tcW w:w="42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Equity/Partnership Interests/Warrants</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47,656,091</w:t>
            </w:r>
          </w:p>
        </w:tc>
        <w:tc>
          <w:tcPr>
            <w:tcW w:w="28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79,319,919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in Non-Controlled, Non-Affiliated Portfolio Companies</w:t>
            </w:r>
          </w:p>
        </w:tc>
        <w:tc>
          <w:tcPr>
            <w:tcW w:w="1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1,028,125,032</w:t>
            </w:r>
          </w:p>
        </w:tc>
        <w:tc>
          <w:tcPr>
            <w:tcW w:w="28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1,089,476,729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Basis Point</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Current</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Spread</w:t>
            </w: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Par/</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780" w:type="dxa"/>
            <w:vAlign w:val="bottom"/>
            <w:gridSpan w:val="2"/>
            <w:vMerge w:val="continue"/>
          </w:tcPr>
          <w:p>
            <w:pPr>
              <w:spacing w:after="0"/>
              <w:rPr>
                <w:sz w:val="12"/>
                <w:szCs w:val="12"/>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100" w:type="dxa"/>
            <w:vAlign w:val="bottom"/>
            <w:gridSpan w:val="2"/>
            <w:vMerge w:val="continue"/>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Above</w:t>
            </w: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0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4160" w:type="dxa"/>
            <w:vAlign w:val="bottom"/>
            <w:gridSpan w:val="3"/>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Expiration</w:t>
            </w:r>
          </w:p>
        </w:tc>
        <w:tc>
          <w:tcPr>
            <w:tcW w:w="1480" w:type="dxa"/>
            <w:vAlign w:val="bottom"/>
            <w:gridSpan w:val="2"/>
            <w:vMerge w:val="continue"/>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Coupon</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Index</w:t>
            </w:r>
            <w:r>
              <w:rPr>
                <w:rFonts w:ascii="Arial" w:cs="Arial" w:eastAsia="Arial" w:hAnsi="Arial"/>
                <w:sz w:val="12"/>
                <w:szCs w:val="12"/>
                <w:b w:val="1"/>
                <w:bCs w:val="1"/>
                <w:color w:val="auto"/>
                <w:w w:val="93"/>
              </w:rPr>
              <w:t>(4)</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w:t>
            </w:r>
          </w:p>
        </w:tc>
        <w:tc>
          <w:tcPr>
            <w:tcW w:w="33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 Non-Controlled, Affiliated Portfolio Companies—9.5%</w:t>
            </w:r>
          </w:p>
        </w:tc>
        <w:tc>
          <w:tcPr>
            <w:tcW w:w="6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b w:val="1"/>
                <w:bCs w:val="1"/>
                <w:color w:val="auto"/>
                <w:w w:val="94"/>
              </w:rPr>
              <w:t>(1), (2)</w:t>
            </w:r>
          </w:p>
        </w:tc>
        <w:tc>
          <w:tcPr>
            <w:tcW w:w="10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Second Lien Secured Debt—1.2%</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Real Property Holdings, Inc.</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12/26/2017</w:t>
            </w:r>
          </w:p>
        </w:tc>
        <w:tc>
          <w:tcPr>
            <w:tcW w:w="1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3"/>
              </w:rPr>
              <w:t>Environmental Services</w:t>
            </w: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9.00%</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L+800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9,409,740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9,154,475</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9,127,448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Notes—5.2%</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DirectBuy Holdings, Inc.</w:t>
            </w:r>
          </w:p>
        </w:tc>
        <w:tc>
          <w:tcPr>
            <w:tcW w:w="6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11/05/2019</w:t>
            </w:r>
          </w:p>
        </w:tc>
        <w:tc>
          <w:tcPr>
            <w:tcW w:w="10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Consumer Products</w:t>
            </w:r>
          </w:p>
        </w:tc>
        <w:tc>
          <w:tcPr>
            <w:tcW w:w="11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12.00%</w:t>
            </w:r>
          </w:p>
        </w:tc>
        <w:tc>
          <w:tcPr>
            <w:tcW w:w="8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6"/>
              </w:rPr>
              <w:t>11,293,336</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11,293,337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11,293,336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(PIK 12.00%)</w:t>
            </w: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Service Champ, Inc.</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4"/>
              </w:rPr>
              <w:t>10/02/2017</w:t>
            </w:r>
          </w:p>
        </w:tc>
        <w:tc>
          <w:tcPr>
            <w:tcW w:w="100" w:type="dxa"/>
            <w:vAlign w:val="bottom"/>
          </w:tcPr>
          <w:p>
            <w:pPr>
              <w:spacing w:after="0"/>
              <w:rPr>
                <w:sz w:val="13"/>
                <w:szCs w:val="13"/>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Auto Sector</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28,000,000</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27,553,644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28,280,000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38,846,981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39,573,336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Preferred Equity –0.1%</w:t>
            </w:r>
            <w:r>
              <w:rPr>
                <w:rFonts w:ascii="Arial" w:cs="Arial" w:eastAsia="Arial" w:hAnsi="Arial"/>
                <w:sz w:val="12"/>
                <w:szCs w:val="12"/>
                <w:b w:val="1"/>
                <w:bCs w:val="1"/>
                <w:color w:val="auto"/>
              </w:rPr>
              <w:t>(6)</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7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0"/>
              </w:rPr>
              <w:t>Aerospace and Defense</w:t>
            </w: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53,071</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20,059,340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806,679</w:t>
            </w:r>
          </w:p>
        </w:tc>
        <w:tc>
          <w:tcPr>
            <w:tcW w:w="0" w:type="dxa"/>
            <w:vAlign w:val="bottom"/>
          </w:tcPr>
          <w:p>
            <w:pPr>
              <w:spacing w:after="0"/>
              <w:rPr>
                <w:sz w:val="1"/>
                <w:szCs w:val="1"/>
                <w:color w:val="auto"/>
              </w:rPr>
            </w:pPr>
          </w:p>
        </w:tc>
      </w:tr>
      <w:tr>
        <w:trPr>
          <w:trHeight w:val="156"/>
        </w:trPr>
        <w:tc>
          <w:tcPr>
            <w:tcW w:w="4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Common Equity/Partnership Interest/Warrants—3.0%</w:t>
            </w:r>
            <w:r>
              <w:rPr>
                <w:rFonts w:ascii="Arial" w:cs="Arial" w:eastAsia="Arial" w:hAnsi="Arial"/>
                <w:sz w:val="12"/>
                <w:szCs w:val="12"/>
                <w:b w:val="1"/>
                <w:bCs w:val="1"/>
                <w:color w:val="auto"/>
              </w:rPr>
              <w:t>(6)</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DirectBuy Holdings, Inc.</w:t>
            </w:r>
          </w:p>
        </w:tc>
        <w:tc>
          <w:tcPr>
            <w:tcW w:w="7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2"/>
              </w:rPr>
              <w:t>Consumer Products</w:t>
            </w: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104,719</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21,492,822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1,275,305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DirectBuy Holdings, Inc. (Warrants)</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4"/>
              </w:rPr>
              <w:t>11/05/2022</w:t>
            </w: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Consumer Products</w:t>
            </w: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15,486</w:t>
            </w:r>
          </w:p>
        </w:tc>
        <w:tc>
          <w:tcPr>
            <w:tcW w:w="80" w:type="dxa"/>
            <w:vAlign w:val="bottom"/>
          </w:tcPr>
          <w:p>
            <w:pPr>
              <w:spacing w:after="0"/>
              <w:rPr>
                <w:sz w:val="12"/>
                <w:szCs w:val="12"/>
                <w:color w:val="auto"/>
              </w:rPr>
            </w:pPr>
          </w:p>
        </w:tc>
        <w:tc>
          <w:tcPr>
            <w:tcW w:w="92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188,439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EnviroSolutions Holdings, Inc.</w:t>
            </w:r>
          </w:p>
        </w:tc>
        <w:tc>
          <w:tcPr>
            <w:tcW w:w="78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Environmental Services</w:t>
            </w:r>
          </w:p>
        </w:tc>
        <w:tc>
          <w:tcPr>
            <w:tcW w:w="1100" w:type="dxa"/>
            <w:vAlign w:val="bottom"/>
            <w:gridSpan w:val="2"/>
            <w:shd w:val="clear" w:color="auto" w:fill="CCEEFF"/>
          </w:tcPr>
          <w:p>
            <w:pPr>
              <w:jc w:val="right"/>
              <w:ind w:right="48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143,668</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11,960,702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15,435,690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(EnviroSolutions Real Property Holdings, Inc.)</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40" w:type="dxa"/>
            <w:vAlign w:val="bottom"/>
            <w:gridSpan w:val="2"/>
          </w:tcPr>
          <w:p>
            <w:pPr>
              <w:spacing w:after="0" w:line="130" w:lineRule="exact"/>
              <w:rPr>
                <w:sz w:val="20"/>
                <w:szCs w:val="20"/>
                <w:color w:val="auto"/>
              </w:rPr>
            </w:pPr>
            <w:r>
              <w:rPr>
                <w:rFonts w:ascii="Arial" w:cs="Arial" w:eastAsia="Arial" w:hAnsi="Arial"/>
                <w:sz w:val="14"/>
                <w:szCs w:val="14"/>
                <w:color w:val="auto"/>
              </w:rPr>
              <w:t>NCP-Performance, L.P.</w:t>
            </w:r>
          </w:p>
        </w:tc>
        <w:tc>
          <w:tcPr>
            <w:tcW w:w="780" w:type="dxa"/>
            <w:vAlign w:val="bottom"/>
            <w:gridSpan w:val="2"/>
          </w:tcPr>
          <w:p>
            <w:pPr>
              <w:ind w:left="24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80"/>
              <w:spacing w:after="0" w:line="130" w:lineRule="exact"/>
              <w:rPr>
                <w:sz w:val="20"/>
                <w:szCs w:val="20"/>
                <w:color w:val="auto"/>
              </w:rPr>
            </w:pPr>
            <w:r>
              <w:rPr>
                <w:rFonts w:ascii="Arial" w:cs="Arial" w:eastAsia="Arial" w:hAnsi="Arial"/>
                <w:sz w:val="14"/>
                <w:szCs w:val="14"/>
                <w:color w:val="auto"/>
                <w:w w:val="93"/>
              </w:rPr>
              <w:t>Leisure, Amusement,</w:t>
            </w:r>
          </w:p>
        </w:tc>
        <w:tc>
          <w:tcPr>
            <w:tcW w:w="1100" w:type="dxa"/>
            <w:vAlign w:val="bottom"/>
            <w:gridSpan w:val="2"/>
          </w:tcPr>
          <w:p>
            <w:pPr>
              <w:jc w:val="right"/>
              <w:ind w:right="48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375,000</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3,750,000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157,518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Motion Pictures and</w:t>
            </w: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Entertainment</w:t>
            </w: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Service Champ Holdings, Inc. (Service Champ, Inc.)</w:t>
            </w:r>
          </w:p>
        </w:tc>
        <w:tc>
          <w:tcPr>
            <w:tcW w:w="7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5"/>
              </w:rPr>
              <w:t>Auto Sector</w:t>
            </w: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16,800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2,721,600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5,375,320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7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Aerospace and Defense</w:t>
            </w: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53,071</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202,620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Interest/Warrants</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40,127,744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22,432,272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94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Total Investments in Non-Controlled, Affiliated Portfolio Companies</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108,188,540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71,939,735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Controlled, Affiliated Portfolio Companies—5.0%</w:t>
            </w:r>
            <w:r>
              <w:rPr>
                <w:rFonts w:ascii="Arial" w:cs="Arial" w:eastAsia="Arial" w:hAnsi="Arial"/>
                <w:sz w:val="12"/>
                <w:szCs w:val="12"/>
                <w:b w:val="1"/>
                <w:bCs w:val="1"/>
                <w:color w:val="auto"/>
              </w:rPr>
              <w:t>(1),(2)</w:t>
            </w: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Debt—4.1%</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Superior Digital Displays, LLC</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12/31/2018</w:t>
            </w:r>
          </w:p>
        </w:tc>
        <w:tc>
          <w:tcPr>
            <w:tcW w:w="1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Media</w:t>
            </w: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13.50%</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L+1,250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19,250,000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17,236,708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16,461,023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Superior Digital Displays, LLC</w:t>
            </w:r>
            <w:r>
              <w:rPr>
                <w:rFonts w:ascii="Arial" w:cs="Arial" w:eastAsia="Arial" w:hAnsi="Arial"/>
                <w:sz w:val="12"/>
                <w:szCs w:val="12"/>
                <w:color w:val="auto"/>
              </w:rPr>
              <w:t>(9)</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4"/>
              </w:rPr>
              <w:t>12/31/2018</w:t>
            </w: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Media</w:t>
            </w: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5,750,000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5,159,437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4,916,929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06/30/2020</w:t>
            </w:r>
          </w:p>
        </w:tc>
        <w:tc>
          <w:tcPr>
            <w:tcW w:w="1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0"/>
              </w:rPr>
              <w:t>Business Services</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9,250,000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9,250,000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9,534,077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31,646,145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30,912,029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Notes—0.3%</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3"/>
              </w:rPr>
              <w:t>6/30/2020</w:t>
            </w:r>
          </w:p>
        </w:tc>
        <w:tc>
          <w:tcPr>
            <w:tcW w:w="100" w:type="dxa"/>
            <w:vAlign w:val="bottom"/>
          </w:tcPr>
          <w:p>
            <w:pPr>
              <w:spacing w:after="0"/>
              <w:rPr>
                <w:sz w:val="13"/>
                <w:szCs w:val="13"/>
                <w:color w:val="auto"/>
              </w:rPr>
            </w:pPr>
          </w:p>
        </w:tc>
        <w:tc>
          <w:tcPr>
            <w:tcW w:w="14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Business Services</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2,250,000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2,250,000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1,979,975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Preferred Equity—0.3%</w:t>
            </w:r>
            <w:r>
              <w:rPr>
                <w:rFonts w:ascii="Arial" w:cs="Arial" w:eastAsia="Arial" w:hAnsi="Arial"/>
                <w:sz w:val="12"/>
                <w:szCs w:val="12"/>
                <w:b w:val="1"/>
                <w:bCs w:val="1"/>
                <w:color w:val="auto"/>
              </w:rPr>
              <w:t>(6)</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7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Business Services</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14.00%</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2,000</w:t>
            </w:r>
          </w:p>
        </w:tc>
        <w:tc>
          <w:tcPr>
            <w:tcW w:w="80" w:type="dxa"/>
            <w:vAlign w:val="bottom"/>
          </w:tcPr>
          <w:p>
            <w:pPr>
              <w:spacing w:after="0"/>
              <w:rPr>
                <w:sz w:val="13"/>
                <w:szCs w:val="13"/>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2,000,000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1,985,947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Common Equity—0.3%</w:t>
            </w:r>
            <w:r>
              <w:rPr>
                <w:rFonts w:ascii="Arial" w:cs="Arial" w:eastAsia="Arial" w:hAnsi="Arial"/>
                <w:sz w:val="12"/>
                <w:szCs w:val="12"/>
                <w:b w:val="1"/>
                <w:bCs w:val="1"/>
                <w:color w:val="auto"/>
              </w:rPr>
              <w:t>(6)</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40" w:type="dxa"/>
            <w:vAlign w:val="bottom"/>
            <w:gridSpan w:val="2"/>
          </w:tcPr>
          <w:p>
            <w:pPr>
              <w:spacing w:after="0" w:line="130" w:lineRule="exact"/>
              <w:rPr>
                <w:sz w:val="20"/>
                <w:szCs w:val="20"/>
                <w:color w:val="auto"/>
              </w:rPr>
            </w:pPr>
            <w:r>
              <w:rPr>
                <w:rFonts w:ascii="Arial" w:cs="Arial" w:eastAsia="Arial" w:hAnsi="Arial"/>
                <w:sz w:val="14"/>
                <w:szCs w:val="14"/>
                <w:color w:val="auto"/>
              </w:rPr>
              <w:t>Superior Digital Displays Holdings, Inc.</w:t>
            </w:r>
          </w:p>
        </w:tc>
        <w:tc>
          <w:tcPr>
            <w:tcW w:w="780" w:type="dxa"/>
            <w:vAlign w:val="bottom"/>
            <w:gridSpan w:val="2"/>
          </w:tcPr>
          <w:p>
            <w:pPr>
              <w:ind w:left="24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9"/>
              </w:rPr>
              <w:t>Media</w:t>
            </w:r>
          </w:p>
        </w:tc>
        <w:tc>
          <w:tcPr>
            <w:tcW w:w="1100" w:type="dxa"/>
            <w:vAlign w:val="bottom"/>
            <w:gridSpan w:val="2"/>
          </w:tcPr>
          <w:p>
            <w:pPr>
              <w:jc w:val="right"/>
              <w:ind w:right="48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4,750</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2,211,000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2,113,140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40" w:type="dxa"/>
            <w:vAlign w:val="bottom"/>
            <w:gridSpan w:val="2"/>
          </w:tcPr>
          <w:p>
            <w:pPr>
              <w:ind w:left="140"/>
              <w:spacing w:after="0"/>
              <w:rPr>
                <w:sz w:val="20"/>
                <w:szCs w:val="20"/>
                <w:color w:val="auto"/>
              </w:rPr>
            </w:pPr>
            <w:r>
              <w:rPr>
                <w:rFonts w:ascii="Arial" w:cs="Arial" w:eastAsia="Arial" w:hAnsi="Arial"/>
                <w:sz w:val="14"/>
                <w:szCs w:val="14"/>
                <w:color w:val="auto"/>
              </w:rPr>
              <w:t>(Superior Digital Displays, LLC)</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0"/>
              </w:rPr>
              <w:t>Business Services</w:t>
            </w: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2,211,100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2,113,140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Total Investments in Controlled, Affiliated Portfolio Companies</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38,107,245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36,991,091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Investments—158.8%</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1,174,420,817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1,198,407,555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Equivalents—8.6%</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BlackRock Liquidity Funds, Temp Cash, Institutional Shares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1,186,186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1,186,186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BNY Mellon Cash Reserve and Cash</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63,163,423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63,204,601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Cash and Cash Equivalents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64,349,609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64,390,787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Equivalents—167.4%</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1,238,770,426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1,262,798,342</w:t>
            </w:r>
          </w:p>
        </w:tc>
        <w:tc>
          <w:tcPr>
            <w:tcW w:w="0" w:type="dxa"/>
            <w:vAlign w:val="bottom"/>
          </w:tcPr>
          <w:p>
            <w:pPr>
              <w:spacing w:after="0"/>
              <w:rPr>
                <w:sz w:val="1"/>
                <w:szCs w:val="1"/>
                <w:color w:val="auto"/>
              </w:rPr>
            </w:pPr>
          </w:p>
        </w:tc>
      </w:tr>
      <w:tr>
        <w:trPr>
          <w:trHeight w:val="20"/>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Assets—(67.4%)</w:t>
            </w: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6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w w:val="94"/>
              </w:rPr>
              <w:t>(508,325,549)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754,472,793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40" w:hanging="332"/>
        <w:spacing w:after="0" w:line="248" w:lineRule="auto"/>
        <w:tabs>
          <w:tab w:leader="none" w:pos="3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28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8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Offered Rate, or LIBOR, or “L” or Prime, or “P” rate. The spread provided includes payment-in-kind, or PIK, interest and other fee rates, if any.</w:t>
      </w:r>
    </w:p>
    <w:p>
      <w:pPr>
        <w:ind w:left="340" w:right="32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Coupon is payable in cash and/or PIK.</w:t>
      </w:r>
    </w:p>
    <w:p>
      <w:pPr>
        <w:ind w:left="34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ind w:left="340" w:right="20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or a revolving line of credit that is currently an unfunded investment. This security does not earn a basis point spread above an index while it is unfunded.</w:t>
      </w:r>
    </w:p>
    <w:p>
      <w:pPr>
        <w:ind w:left="34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U.S.</w:t>
      </w:r>
    </w:p>
    <w:p>
      <w:pPr>
        <w:ind w:left="34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Investment is held through a consolidated taxable subsidiary (See Note 1).</w:t>
      </w: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Par amount is denominated in British Pound.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2013</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Basis Point</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Current</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Spread</w:t>
            </w: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Par /</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Maturity</w:t>
            </w:r>
          </w:p>
        </w:tc>
        <w:tc>
          <w:tcPr>
            <w:tcW w:w="2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Industry</w:t>
            </w:r>
          </w:p>
        </w:tc>
        <w:tc>
          <w:tcPr>
            <w:tcW w:w="1000" w:type="dxa"/>
            <w:vAlign w:val="bottom"/>
            <w:gridSpan w:val="2"/>
            <w:vMerge w:val="continue"/>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Above</w:t>
            </w: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34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Coupon</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Index</w:t>
            </w:r>
            <w:r>
              <w:rPr>
                <w:rFonts w:ascii="Arial" w:cs="Arial" w:eastAsia="Arial" w:hAnsi="Arial"/>
                <w:sz w:val="12"/>
                <w:szCs w:val="12"/>
                <w:b w:val="1"/>
                <w:bCs w:val="1"/>
                <w:color w:val="auto"/>
                <w:w w:val="93"/>
              </w:rPr>
              <w:t>(4)</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w:t>
            </w:r>
          </w:p>
        </w:tc>
        <w:tc>
          <w:tcPr>
            <w:tcW w:w="550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 Non-Controlled, Non-Affiliated Portfolio Companies—138.9%</w:t>
            </w:r>
            <w:r>
              <w:rPr>
                <w:rFonts w:ascii="Arial" w:cs="Arial" w:eastAsia="Arial" w:hAnsi="Arial"/>
                <w:sz w:val="12"/>
                <w:szCs w:val="12"/>
                <w:b w:val="1"/>
                <w:bCs w:val="1"/>
                <w:color w:val="auto"/>
              </w:rPr>
              <w:t>(1),(2)</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Debt—41.3%</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Aircell Business Aviation Services LLC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06/21/2017</w:t>
            </w:r>
          </w:p>
        </w:tc>
        <w:tc>
          <w:tcPr>
            <w:tcW w:w="2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3"/>
              </w:rPr>
              <w:t>Communications</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11.25%</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L+975</w:t>
            </w:r>
            <w:r>
              <w:rPr>
                <w:rFonts w:ascii="Arial" w:cs="Arial" w:eastAsia="Arial" w:hAnsi="Arial"/>
                <w:sz w:val="12"/>
                <w:szCs w:val="12"/>
                <w:color w:val="auto"/>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23,912,894</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23,012,057</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25,347,668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tcPr>
          <w:p>
            <w:pPr>
              <w:spacing w:after="0" w:line="130" w:lineRule="exact"/>
              <w:rPr>
                <w:sz w:val="20"/>
                <w:szCs w:val="20"/>
                <w:color w:val="auto"/>
              </w:rPr>
            </w:pPr>
            <w:r>
              <w:rPr>
                <w:rFonts w:ascii="Arial" w:cs="Arial" w:eastAsia="Arial" w:hAnsi="Arial"/>
                <w:sz w:val="14"/>
                <w:szCs w:val="14"/>
                <w:color w:val="auto"/>
              </w:rPr>
              <w:t>AKA Diversified Holdings, Inc.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12/21/2016</w:t>
            </w:r>
          </w:p>
        </w:tc>
        <w:tc>
          <w:tcPr>
            <w:tcW w:w="240" w:type="dxa"/>
            <w:vAlign w:val="bottom"/>
          </w:tcPr>
          <w:p>
            <w:pPr>
              <w:spacing w:after="0"/>
              <w:rPr>
                <w:sz w:val="11"/>
                <w:szCs w:val="11"/>
                <w:color w:val="auto"/>
              </w:rPr>
            </w:pPr>
          </w:p>
        </w:tc>
        <w:tc>
          <w:tcPr>
            <w:tcW w:w="2080" w:type="dxa"/>
            <w:vAlign w:val="bottom"/>
            <w:gridSpan w:val="2"/>
          </w:tcPr>
          <w:p>
            <w:pPr>
              <w:jc w:val="center"/>
              <w:ind w:right="60"/>
              <w:spacing w:after="0" w:line="130" w:lineRule="exact"/>
              <w:rPr>
                <w:sz w:val="20"/>
                <w:szCs w:val="20"/>
                <w:color w:val="auto"/>
              </w:rPr>
            </w:pPr>
            <w:r>
              <w:rPr>
                <w:rFonts w:ascii="Arial" w:cs="Arial" w:eastAsia="Arial" w:hAnsi="Arial"/>
                <w:sz w:val="14"/>
                <w:szCs w:val="14"/>
                <w:color w:val="auto"/>
                <w:w w:val="94"/>
              </w:rPr>
              <w:t>Retail</w:t>
            </w:r>
          </w:p>
        </w:tc>
        <w:tc>
          <w:tcPr>
            <w:tcW w:w="100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12.50%</w:t>
            </w:r>
          </w:p>
        </w:tc>
        <w:tc>
          <w:tcPr>
            <w:tcW w:w="9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L+1,225</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14,550,084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14,310,552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14,694,828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(PIK 1.50%)</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CEVA Group PLC</w:t>
            </w:r>
            <w:r>
              <w:rPr>
                <w:rFonts w:ascii="Arial" w:cs="Arial" w:eastAsia="Arial" w:hAnsi="Arial"/>
                <w:sz w:val="12"/>
                <w:szCs w:val="12"/>
                <w:color w:val="auto"/>
              </w:rPr>
              <w:t>(5),(10)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10/01/2016</w:t>
            </w:r>
          </w:p>
        </w:tc>
        <w:tc>
          <w:tcPr>
            <w:tcW w:w="2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2"/>
              </w:rPr>
              <w:t>Cargo Transport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11.63%</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7,385,251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7,725,000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Columbus International, Inc.</w:t>
            </w:r>
            <w:r>
              <w:rPr>
                <w:rFonts w:ascii="Arial" w:cs="Arial" w:eastAsia="Arial" w:hAnsi="Arial"/>
                <w:sz w:val="12"/>
                <w:szCs w:val="12"/>
                <w:color w:val="auto"/>
              </w:rPr>
              <w:t>(5),(10)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11/20/2014</w:t>
            </w:r>
          </w:p>
        </w:tc>
        <w:tc>
          <w:tcPr>
            <w:tcW w:w="240" w:type="dxa"/>
            <w:vAlign w:val="bottom"/>
          </w:tcPr>
          <w:p>
            <w:pPr>
              <w:spacing w:after="0"/>
              <w:rPr>
                <w:sz w:val="12"/>
                <w:szCs w:val="12"/>
                <w:color w:val="auto"/>
              </w:rPr>
            </w:pPr>
          </w:p>
        </w:tc>
        <w:tc>
          <w:tcPr>
            <w:tcW w:w="20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3"/>
              </w:rPr>
              <w:t>Communications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Cydcor LLC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06/12/2017</w:t>
            </w:r>
          </w:p>
        </w:tc>
        <w:tc>
          <w:tcPr>
            <w:tcW w:w="2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0"/>
              </w:rPr>
              <w:t>Business Services</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9.75%</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L+725</w:t>
            </w:r>
            <w:r>
              <w:rPr>
                <w:rFonts w:ascii="Arial" w:cs="Arial" w:eastAsia="Arial" w:hAnsi="Arial"/>
                <w:sz w:val="12"/>
                <w:szCs w:val="12"/>
                <w:color w:val="auto"/>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7,342,967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7,342,967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7,342,967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Good Sam Enterprises, LLC</w:t>
            </w:r>
            <w:r>
              <w:rPr>
                <w:rFonts w:ascii="Arial" w:cs="Arial" w:eastAsia="Arial" w:hAnsi="Arial"/>
                <w:sz w:val="12"/>
                <w:szCs w:val="12"/>
                <w:color w:val="auto"/>
              </w:rPr>
              <w:t>(5)</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12/01/2016</w:t>
            </w:r>
          </w:p>
        </w:tc>
        <w:tc>
          <w:tcPr>
            <w:tcW w:w="240" w:type="dxa"/>
            <w:vAlign w:val="bottom"/>
          </w:tcPr>
          <w:p>
            <w:pPr>
              <w:spacing w:after="0"/>
              <w:rPr>
                <w:sz w:val="12"/>
                <w:szCs w:val="12"/>
                <w:color w:val="auto"/>
              </w:rPr>
            </w:pPr>
          </w:p>
        </w:tc>
        <w:tc>
          <w:tcPr>
            <w:tcW w:w="20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Consumer Products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12,000,000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11,835,907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12,900,000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IDQ Holdings, Inc.</w:t>
            </w:r>
            <w:r>
              <w:rPr>
                <w:rFonts w:ascii="Arial" w:cs="Arial" w:eastAsia="Arial" w:hAnsi="Arial"/>
                <w:sz w:val="12"/>
                <w:szCs w:val="12"/>
                <w:color w:val="auto"/>
              </w:rPr>
              <w:t>(5)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03/30/2017</w:t>
            </w:r>
          </w:p>
        </w:tc>
        <w:tc>
          <w:tcPr>
            <w:tcW w:w="2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2"/>
              </w:rPr>
              <w:t>Auto Sector</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11,500,000</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11,326,110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12,391,250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tcPr>
          <w:p>
            <w:pPr>
              <w:spacing w:after="0" w:line="130" w:lineRule="exact"/>
              <w:rPr>
                <w:sz w:val="20"/>
                <w:szCs w:val="20"/>
                <w:color w:val="auto"/>
              </w:rPr>
            </w:pPr>
            <w:r>
              <w:rPr>
                <w:rFonts w:ascii="Arial" w:cs="Arial" w:eastAsia="Arial" w:hAnsi="Arial"/>
                <w:sz w:val="14"/>
                <w:szCs w:val="14"/>
                <w:color w:val="auto"/>
              </w:rPr>
              <w:t>InfuSystem Holdings, Inc.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11/30/2016</w:t>
            </w:r>
          </w:p>
        </w:tc>
        <w:tc>
          <w:tcPr>
            <w:tcW w:w="240" w:type="dxa"/>
            <w:vAlign w:val="bottom"/>
          </w:tcPr>
          <w:p>
            <w:pPr>
              <w:spacing w:after="0"/>
              <w:rPr>
                <w:sz w:val="11"/>
                <w:szCs w:val="11"/>
                <w:color w:val="auto"/>
              </w:rPr>
            </w:pPr>
          </w:p>
        </w:tc>
        <w:tc>
          <w:tcPr>
            <w:tcW w:w="2080" w:type="dxa"/>
            <w:vAlign w:val="bottom"/>
            <w:gridSpan w:val="2"/>
          </w:tcPr>
          <w:p>
            <w:pPr>
              <w:jc w:val="center"/>
              <w:ind w:right="80"/>
              <w:spacing w:after="0" w:line="130" w:lineRule="exact"/>
              <w:rPr>
                <w:sz w:val="20"/>
                <w:szCs w:val="20"/>
                <w:color w:val="auto"/>
              </w:rPr>
            </w:pPr>
            <w:r>
              <w:rPr>
                <w:rFonts w:ascii="Arial" w:cs="Arial" w:eastAsia="Arial" w:hAnsi="Arial"/>
                <w:sz w:val="14"/>
                <w:szCs w:val="14"/>
                <w:color w:val="auto"/>
                <w:w w:val="92"/>
              </w:rPr>
              <w:t>Healthcare, Education and</w:t>
            </w:r>
          </w:p>
        </w:tc>
        <w:tc>
          <w:tcPr>
            <w:tcW w:w="100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11.95%</w:t>
            </w:r>
          </w:p>
        </w:tc>
        <w:tc>
          <w:tcPr>
            <w:tcW w:w="9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P+625</w:t>
            </w:r>
            <w:r>
              <w:rPr>
                <w:rFonts w:ascii="Arial" w:cs="Arial" w:eastAsia="Arial" w:hAnsi="Arial"/>
                <w:sz w:val="12"/>
                <w:szCs w:val="12"/>
                <w:color w:val="auto"/>
              </w:rPr>
              <w:t>(8)</w:t>
            </w:r>
          </w:p>
        </w:tc>
        <w:tc>
          <w:tcPr>
            <w:tcW w:w="9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6"/>
              </w:rPr>
              <w:t>11,600,000</w:t>
            </w:r>
          </w:p>
        </w:tc>
        <w:tc>
          <w:tcPr>
            <w:tcW w:w="140" w:type="dxa"/>
            <w:vAlign w:val="bottom"/>
          </w:tcPr>
          <w:p>
            <w:pPr>
              <w:spacing w:after="0"/>
              <w:rPr>
                <w:sz w:val="11"/>
                <w:szCs w:val="11"/>
                <w:color w:val="auto"/>
              </w:rPr>
            </w:pPr>
          </w:p>
        </w:tc>
        <w:tc>
          <w:tcPr>
            <w:tcW w:w="8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11,600,000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11,708,430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Childcare</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08/07/2014</w:t>
            </w:r>
          </w:p>
        </w:tc>
        <w:tc>
          <w:tcPr>
            <w:tcW w:w="2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4"/>
              </w:rPr>
              <w:t>Printing and Publishing</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14.50%</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L+950</w:t>
            </w:r>
            <w:r>
              <w:rPr>
                <w:rFonts w:ascii="Arial" w:cs="Arial" w:eastAsia="Arial" w:hAnsi="Arial"/>
                <w:sz w:val="12"/>
                <w:szCs w:val="12"/>
                <w:color w:val="auto"/>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23,934,268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23,788,980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22,976,897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Instant Web, Inc.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08/07/2014</w:t>
            </w:r>
          </w:p>
        </w:tc>
        <w:tc>
          <w:tcPr>
            <w:tcW w:w="240" w:type="dxa"/>
            <w:vAlign w:val="bottom"/>
          </w:tcPr>
          <w:p>
            <w:pPr>
              <w:spacing w:after="0"/>
              <w:rPr>
                <w:sz w:val="12"/>
                <w:szCs w:val="12"/>
                <w:color w:val="auto"/>
              </w:rPr>
            </w:pPr>
          </w:p>
        </w:tc>
        <w:tc>
          <w:tcPr>
            <w:tcW w:w="20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Printing and Publishing</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3.55%</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L+338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18,199,679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13,917,288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14,559,743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Interactive Health Solutions, Inc.</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10/04/2016</w:t>
            </w:r>
          </w:p>
        </w:tc>
        <w:tc>
          <w:tcPr>
            <w:tcW w:w="240" w:type="dxa"/>
            <w:vAlign w:val="bottom"/>
            <w:shd w:val="clear" w:color="auto" w:fill="CCEEFF"/>
          </w:tcPr>
          <w:p>
            <w:pPr>
              <w:spacing w:after="0"/>
              <w:rPr>
                <w:sz w:val="11"/>
                <w:szCs w:val="11"/>
                <w:color w:val="auto"/>
              </w:rPr>
            </w:pPr>
          </w:p>
        </w:tc>
        <w:tc>
          <w:tcPr>
            <w:tcW w:w="2080" w:type="dxa"/>
            <w:vAlign w:val="bottom"/>
            <w:gridSpan w:val="2"/>
            <w:shd w:val="clear" w:color="auto" w:fill="CCEEFF"/>
          </w:tcPr>
          <w:p>
            <w:pPr>
              <w:jc w:val="center"/>
              <w:ind w:right="80"/>
              <w:spacing w:after="0" w:line="130" w:lineRule="exact"/>
              <w:rPr>
                <w:sz w:val="20"/>
                <w:szCs w:val="20"/>
                <w:color w:val="auto"/>
              </w:rPr>
            </w:pPr>
            <w:r>
              <w:rPr>
                <w:rFonts w:ascii="Arial" w:cs="Arial" w:eastAsia="Arial" w:hAnsi="Arial"/>
                <w:sz w:val="14"/>
                <w:szCs w:val="14"/>
                <w:color w:val="auto"/>
                <w:w w:val="92"/>
              </w:rPr>
              <w:t>Healthcare, Education and</w:t>
            </w:r>
          </w:p>
        </w:tc>
        <w:tc>
          <w:tcPr>
            <w:tcW w:w="10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11.50%</w:t>
            </w:r>
          </w:p>
        </w:tc>
        <w:tc>
          <w:tcPr>
            <w:tcW w:w="9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L+950</w:t>
            </w:r>
            <w:r>
              <w:rPr>
                <w:rFonts w:ascii="Arial" w:cs="Arial" w:eastAsia="Arial" w:hAnsi="Arial"/>
                <w:sz w:val="12"/>
                <w:szCs w:val="12"/>
                <w:color w:val="auto"/>
              </w:rPr>
              <w:t>(8)</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18,050,000</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17,770,705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18,050,000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Childcare</w:t>
            </w: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tcPr>
          <w:p>
            <w:pPr>
              <w:spacing w:after="0" w:line="130" w:lineRule="exact"/>
              <w:rPr>
                <w:sz w:val="20"/>
                <w:szCs w:val="20"/>
                <w:color w:val="auto"/>
              </w:rPr>
            </w:pPr>
            <w:r>
              <w:rPr>
                <w:rFonts w:ascii="Arial" w:cs="Arial" w:eastAsia="Arial" w:hAnsi="Arial"/>
                <w:sz w:val="14"/>
                <w:szCs w:val="14"/>
                <w:color w:val="auto"/>
              </w:rPr>
              <w:t>Jackson Hewitt Tax Service Inc.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10/16/2017</w:t>
            </w:r>
          </w:p>
        </w:tc>
        <w:tc>
          <w:tcPr>
            <w:tcW w:w="240" w:type="dxa"/>
            <w:vAlign w:val="bottom"/>
          </w:tcPr>
          <w:p>
            <w:pPr>
              <w:spacing w:after="0"/>
              <w:rPr>
                <w:sz w:val="11"/>
                <w:szCs w:val="11"/>
                <w:color w:val="auto"/>
              </w:rPr>
            </w:pPr>
          </w:p>
        </w:tc>
        <w:tc>
          <w:tcPr>
            <w:tcW w:w="2080" w:type="dxa"/>
            <w:vAlign w:val="bottom"/>
            <w:gridSpan w:val="2"/>
          </w:tcPr>
          <w:p>
            <w:pPr>
              <w:jc w:val="center"/>
              <w:ind w:right="80"/>
              <w:spacing w:after="0" w:line="130" w:lineRule="exact"/>
              <w:rPr>
                <w:sz w:val="20"/>
                <w:szCs w:val="20"/>
                <w:color w:val="auto"/>
              </w:rPr>
            </w:pPr>
            <w:r>
              <w:rPr>
                <w:rFonts w:ascii="Arial" w:cs="Arial" w:eastAsia="Arial" w:hAnsi="Arial"/>
                <w:sz w:val="14"/>
                <w:szCs w:val="14"/>
                <w:color w:val="auto"/>
                <w:w w:val="91"/>
              </w:rPr>
              <w:t>Personal, Food and Miscellaneous</w:t>
            </w:r>
          </w:p>
        </w:tc>
        <w:tc>
          <w:tcPr>
            <w:tcW w:w="100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10.00%</w:t>
            </w:r>
          </w:p>
        </w:tc>
        <w:tc>
          <w:tcPr>
            <w:tcW w:w="9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L+850</w:t>
            </w:r>
            <w:r>
              <w:rPr>
                <w:rFonts w:ascii="Arial" w:cs="Arial" w:eastAsia="Arial" w:hAnsi="Arial"/>
                <w:sz w:val="12"/>
                <w:szCs w:val="12"/>
                <w:color w:val="auto"/>
              </w:rPr>
              <w:t>(8)</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rPr>
              <w:t>8,355,469</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8,349,704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8,230,137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Services</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08/19/2019</w:t>
            </w:r>
          </w:p>
        </w:tc>
        <w:tc>
          <w:tcPr>
            <w:tcW w:w="2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1"/>
              </w:rPr>
              <w:t>Chemicals, Plastics and Rubber</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10.00%</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L+900</w:t>
            </w:r>
            <w:r>
              <w:rPr>
                <w:rFonts w:ascii="Arial" w:cs="Arial" w:eastAsia="Arial" w:hAnsi="Arial"/>
                <w:sz w:val="12"/>
                <w:szCs w:val="12"/>
                <w:color w:val="auto"/>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22,342,352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21,899,258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22,007,217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tcPr>
          <w:p>
            <w:pPr>
              <w:spacing w:after="0" w:line="130" w:lineRule="exact"/>
              <w:rPr>
                <w:sz w:val="20"/>
                <w:szCs w:val="20"/>
                <w:color w:val="auto"/>
              </w:rPr>
            </w:pPr>
            <w:r>
              <w:rPr>
                <w:rFonts w:ascii="Arial" w:cs="Arial" w:eastAsia="Arial" w:hAnsi="Arial"/>
                <w:sz w:val="14"/>
                <w:szCs w:val="14"/>
                <w:color w:val="auto"/>
              </w:rPr>
              <w:t>Penton Media, Inc.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08/01/2014</w:t>
            </w:r>
          </w:p>
        </w:tc>
        <w:tc>
          <w:tcPr>
            <w:tcW w:w="240" w:type="dxa"/>
            <w:vAlign w:val="bottom"/>
          </w:tcPr>
          <w:p>
            <w:pPr>
              <w:spacing w:after="0"/>
              <w:rPr>
                <w:sz w:val="11"/>
                <w:szCs w:val="11"/>
                <w:color w:val="auto"/>
              </w:rPr>
            </w:pPr>
          </w:p>
        </w:tc>
        <w:tc>
          <w:tcPr>
            <w:tcW w:w="2080" w:type="dxa"/>
            <w:vAlign w:val="bottom"/>
            <w:gridSpan w:val="2"/>
          </w:tcPr>
          <w:p>
            <w:pPr>
              <w:jc w:val="center"/>
              <w:ind w:right="80"/>
              <w:spacing w:after="0" w:line="130" w:lineRule="exact"/>
              <w:rPr>
                <w:sz w:val="20"/>
                <w:szCs w:val="20"/>
                <w:color w:val="auto"/>
              </w:rPr>
            </w:pPr>
            <w:r>
              <w:rPr>
                <w:rFonts w:ascii="Arial" w:cs="Arial" w:eastAsia="Arial" w:hAnsi="Arial"/>
                <w:sz w:val="14"/>
                <w:szCs w:val="14"/>
                <w:color w:val="auto"/>
                <w:w w:val="93"/>
              </w:rPr>
              <w:t>Other Media</w:t>
            </w:r>
          </w:p>
        </w:tc>
        <w:tc>
          <w:tcPr>
            <w:tcW w:w="100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6.00%</w:t>
            </w:r>
          </w:p>
        </w:tc>
        <w:tc>
          <w:tcPr>
            <w:tcW w:w="9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L+500</w:t>
            </w:r>
            <w:r>
              <w:rPr>
                <w:rFonts w:ascii="Arial" w:cs="Arial" w:eastAsia="Arial" w:hAnsi="Arial"/>
                <w:sz w:val="12"/>
                <w:szCs w:val="12"/>
                <w:color w:val="auto"/>
              </w:rPr>
              <w:t>(8)</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37,950,152</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36,110,124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37,523,212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(PIK 2.00%)</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Prince Mineral Holding Corp.</w:t>
            </w:r>
            <w:r>
              <w:rPr>
                <w:rFonts w:ascii="Arial" w:cs="Arial" w:eastAsia="Arial" w:hAnsi="Arial"/>
                <w:sz w:val="12"/>
                <w:szCs w:val="12"/>
                <w:color w:val="auto"/>
              </w:rPr>
              <w:t>(5)</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12/16/2019</w:t>
            </w:r>
          </w:p>
        </w:tc>
        <w:tc>
          <w:tcPr>
            <w:tcW w:w="240" w:type="dxa"/>
            <w:vAlign w:val="bottom"/>
            <w:shd w:val="clear" w:color="auto" w:fill="CCEEFF"/>
          </w:tcPr>
          <w:p>
            <w:pPr>
              <w:spacing w:after="0"/>
              <w:rPr>
                <w:sz w:val="11"/>
                <w:szCs w:val="11"/>
                <w:color w:val="auto"/>
              </w:rPr>
            </w:pPr>
          </w:p>
        </w:tc>
        <w:tc>
          <w:tcPr>
            <w:tcW w:w="2080" w:type="dxa"/>
            <w:vAlign w:val="bottom"/>
            <w:gridSpan w:val="2"/>
            <w:shd w:val="clear" w:color="auto" w:fill="CCEEFF"/>
          </w:tcPr>
          <w:p>
            <w:pPr>
              <w:jc w:val="center"/>
              <w:ind w:right="80"/>
              <w:spacing w:after="0" w:line="130" w:lineRule="exact"/>
              <w:rPr>
                <w:sz w:val="20"/>
                <w:szCs w:val="20"/>
                <w:color w:val="auto"/>
              </w:rPr>
            </w:pPr>
            <w:r>
              <w:rPr>
                <w:rFonts w:ascii="Arial" w:cs="Arial" w:eastAsia="Arial" w:hAnsi="Arial"/>
                <w:sz w:val="14"/>
                <w:szCs w:val="14"/>
                <w:color w:val="auto"/>
                <w:w w:val="96"/>
              </w:rPr>
              <w:t>Mining, Steel, Iron and Non-</w:t>
            </w:r>
          </w:p>
        </w:tc>
        <w:tc>
          <w:tcPr>
            <w:tcW w:w="10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11.50%</w:t>
            </w:r>
          </w:p>
        </w:tc>
        <w:tc>
          <w:tcPr>
            <w:tcW w:w="9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14,250,000</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14,096,169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15,176,250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Precious Metals</w:t>
            </w: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04/30/2018</w:t>
            </w:r>
          </w:p>
        </w:tc>
        <w:tc>
          <w:tcPr>
            <w:tcW w:w="240" w:type="dxa"/>
            <w:vAlign w:val="bottom"/>
          </w:tcPr>
          <w:p>
            <w:pPr>
              <w:spacing w:after="0"/>
              <w:rPr>
                <w:sz w:val="12"/>
                <w:szCs w:val="12"/>
                <w:color w:val="auto"/>
              </w:rPr>
            </w:pPr>
          </w:p>
        </w:tc>
        <w:tc>
          <w:tcPr>
            <w:tcW w:w="20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Business Services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12.00%</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L+1,050</w:t>
            </w:r>
            <w:r>
              <w:rPr>
                <w:rFonts w:ascii="Arial" w:cs="Arial" w:eastAsia="Arial" w:hAnsi="Arial"/>
                <w:sz w:val="12"/>
                <w:szCs w:val="12"/>
                <w:color w:val="auto"/>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34,270,800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33,766,321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34,270,800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Worley Claims Services, LLC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07/06/2017</w:t>
            </w:r>
          </w:p>
        </w:tc>
        <w:tc>
          <w:tcPr>
            <w:tcW w:w="2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1"/>
              </w:rPr>
              <w:t>Insurance</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12.50%</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L+1,100</w:t>
            </w:r>
            <w:r>
              <w:rPr>
                <w:rFonts w:ascii="Arial" w:cs="Arial" w:eastAsia="Arial" w:hAnsi="Arial"/>
                <w:sz w:val="12"/>
                <w:szCs w:val="12"/>
                <w:color w:val="auto"/>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12,451,096</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12,451,096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12,388,840</w:t>
            </w:r>
          </w:p>
        </w:tc>
        <w:tc>
          <w:tcPr>
            <w:tcW w:w="0" w:type="dxa"/>
            <w:vAlign w:val="bottom"/>
          </w:tcPr>
          <w:p>
            <w:pPr>
              <w:spacing w:after="0"/>
              <w:rPr>
                <w:sz w:val="1"/>
                <w:szCs w:val="1"/>
                <w:color w:val="auto"/>
              </w:rPr>
            </w:pPr>
          </w:p>
        </w:tc>
      </w:tr>
      <w:tr>
        <w:trPr>
          <w:trHeight w:val="163"/>
        </w:trPr>
        <w:tc>
          <w:tcPr>
            <w:tcW w:w="33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278,962,489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288,043,239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Debt—48.9%</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tcPr>
          <w:p>
            <w:pPr>
              <w:spacing w:after="0" w:line="130" w:lineRule="exact"/>
              <w:rPr>
                <w:sz w:val="20"/>
                <w:szCs w:val="20"/>
                <w:color w:val="auto"/>
              </w:rPr>
            </w:pPr>
            <w:r>
              <w:rPr>
                <w:rFonts w:ascii="Arial" w:cs="Arial" w:eastAsia="Arial" w:hAnsi="Arial"/>
                <w:sz w:val="14"/>
                <w:szCs w:val="14"/>
                <w:color w:val="auto"/>
              </w:rPr>
              <w:t>American Gilsonite Company</w:t>
            </w:r>
            <w:r>
              <w:rPr>
                <w:rFonts w:ascii="Arial" w:cs="Arial" w:eastAsia="Arial" w:hAnsi="Arial"/>
                <w:sz w:val="12"/>
                <w:szCs w:val="12"/>
                <w:color w:val="auto"/>
              </w:rPr>
              <w:t>(5)</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09/01/2017</w:t>
            </w:r>
          </w:p>
        </w:tc>
        <w:tc>
          <w:tcPr>
            <w:tcW w:w="240" w:type="dxa"/>
            <w:vAlign w:val="bottom"/>
          </w:tcPr>
          <w:p>
            <w:pPr>
              <w:spacing w:after="0"/>
              <w:rPr>
                <w:sz w:val="11"/>
                <w:szCs w:val="11"/>
                <w:color w:val="auto"/>
              </w:rPr>
            </w:pPr>
          </w:p>
        </w:tc>
        <w:tc>
          <w:tcPr>
            <w:tcW w:w="2080" w:type="dxa"/>
            <w:vAlign w:val="bottom"/>
            <w:gridSpan w:val="2"/>
          </w:tcPr>
          <w:p>
            <w:pPr>
              <w:jc w:val="center"/>
              <w:ind w:right="60"/>
              <w:spacing w:after="0" w:line="130" w:lineRule="exact"/>
              <w:rPr>
                <w:sz w:val="20"/>
                <w:szCs w:val="20"/>
                <w:color w:val="auto"/>
              </w:rPr>
            </w:pPr>
            <w:r>
              <w:rPr>
                <w:rFonts w:ascii="Arial" w:cs="Arial" w:eastAsia="Arial" w:hAnsi="Arial"/>
                <w:sz w:val="14"/>
                <w:szCs w:val="14"/>
                <w:color w:val="auto"/>
                <w:w w:val="94"/>
              </w:rPr>
              <w:t>Diversified Natural Resources,</w:t>
            </w:r>
          </w:p>
        </w:tc>
        <w:tc>
          <w:tcPr>
            <w:tcW w:w="100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11.50%</w:t>
            </w:r>
          </w:p>
        </w:tc>
        <w:tc>
          <w:tcPr>
            <w:tcW w:w="9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25,400,000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25,400,000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25,971,500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Precious Metals and Minerals</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Arsloane Acquisition, LLC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10/01/2020</w:t>
            </w:r>
          </w:p>
        </w:tc>
        <w:tc>
          <w:tcPr>
            <w:tcW w:w="2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0"/>
              </w:rPr>
              <w:t>Business Services</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11.75%</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L+1,050</w:t>
            </w:r>
            <w:r>
              <w:rPr>
                <w:rFonts w:ascii="Arial" w:cs="Arial" w:eastAsia="Arial" w:hAnsi="Arial"/>
                <w:sz w:val="12"/>
                <w:szCs w:val="12"/>
                <w:color w:val="auto"/>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18,750,000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18,375,000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18,687,563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10/23/2019</w:t>
            </w:r>
          </w:p>
        </w:tc>
        <w:tc>
          <w:tcPr>
            <w:tcW w:w="240" w:type="dxa"/>
            <w:vAlign w:val="bottom"/>
          </w:tcPr>
          <w:p>
            <w:pPr>
              <w:spacing w:after="0"/>
              <w:rPr>
                <w:sz w:val="12"/>
                <w:szCs w:val="12"/>
                <w:color w:val="auto"/>
              </w:rPr>
            </w:pPr>
          </w:p>
        </w:tc>
        <w:tc>
          <w:tcPr>
            <w:tcW w:w="20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Energy / Utilities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11.00%</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L+975</w:t>
            </w:r>
            <w:r>
              <w:rPr>
                <w:rFonts w:ascii="Arial" w:cs="Arial" w:eastAsia="Arial" w:hAnsi="Arial"/>
                <w:sz w:val="12"/>
                <w:szCs w:val="12"/>
                <w:color w:val="auto"/>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42,278,570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41,471,524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43,159,233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Carolina Beverage Group, LLC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08/01/2018</w:t>
            </w:r>
          </w:p>
        </w:tc>
        <w:tc>
          <w:tcPr>
            <w:tcW w:w="2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1"/>
              </w:rPr>
              <w:t>Beverage, Food and Tobacco</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10.63%</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13,125,000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13,125,000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13,420,313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tcPr>
          <w:p>
            <w:pPr>
              <w:spacing w:after="0" w:line="130" w:lineRule="exact"/>
              <w:rPr>
                <w:sz w:val="20"/>
                <w:szCs w:val="20"/>
                <w:color w:val="auto"/>
              </w:rPr>
            </w:pPr>
            <w:r>
              <w:rPr>
                <w:rFonts w:ascii="Arial" w:cs="Arial" w:eastAsia="Arial" w:hAnsi="Arial"/>
                <w:sz w:val="14"/>
                <w:szCs w:val="14"/>
                <w:color w:val="auto"/>
              </w:rPr>
              <w:t>Envision Acquisition Company, LLC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11/04/2021</w:t>
            </w:r>
          </w:p>
        </w:tc>
        <w:tc>
          <w:tcPr>
            <w:tcW w:w="240" w:type="dxa"/>
            <w:vAlign w:val="bottom"/>
          </w:tcPr>
          <w:p>
            <w:pPr>
              <w:spacing w:after="0"/>
              <w:rPr>
                <w:sz w:val="11"/>
                <w:szCs w:val="11"/>
                <w:color w:val="auto"/>
              </w:rPr>
            </w:pPr>
          </w:p>
        </w:tc>
        <w:tc>
          <w:tcPr>
            <w:tcW w:w="2080" w:type="dxa"/>
            <w:vAlign w:val="bottom"/>
            <w:gridSpan w:val="2"/>
          </w:tcPr>
          <w:p>
            <w:pPr>
              <w:jc w:val="center"/>
              <w:ind w:right="80"/>
              <w:spacing w:after="0" w:line="130" w:lineRule="exact"/>
              <w:rPr>
                <w:sz w:val="20"/>
                <w:szCs w:val="20"/>
                <w:color w:val="auto"/>
              </w:rPr>
            </w:pPr>
            <w:r>
              <w:rPr>
                <w:rFonts w:ascii="Arial" w:cs="Arial" w:eastAsia="Arial" w:hAnsi="Arial"/>
                <w:sz w:val="14"/>
                <w:szCs w:val="14"/>
                <w:color w:val="auto"/>
                <w:w w:val="92"/>
              </w:rPr>
              <w:t>Healthcare, Education and</w:t>
            </w:r>
          </w:p>
        </w:tc>
        <w:tc>
          <w:tcPr>
            <w:tcW w:w="100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9.75%</w:t>
            </w:r>
          </w:p>
        </w:tc>
        <w:tc>
          <w:tcPr>
            <w:tcW w:w="9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L+875</w:t>
            </w:r>
            <w:r>
              <w:rPr>
                <w:rFonts w:ascii="Arial" w:cs="Arial" w:eastAsia="Arial" w:hAnsi="Arial"/>
                <w:sz w:val="12"/>
                <w:szCs w:val="12"/>
                <w:color w:val="auto"/>
              </w:rPr>
              <w:t>(8)</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19,000,000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18,620,000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18,905,000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Childcare</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Eureka Hunter Pipeline, LLC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08/16/2018</w:t>
            </w:r>
          </w:p>
        </w:tc>
        <w:tc>
          <w:tcPr>
            <w:tcW w:w="2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Energy / Utilities</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12.50%</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45,000,000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44,599,796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46,575,000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ILC Industries, LLC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06/14/2019</w:t>
            </w:r>
          </w:p>
        </w:tc>
        <w:tc>
          <w:tcPr>
            <w:tcW w:w="240" w:type="dxa"/>
            <w:vAlign w:val="bottom"/>
          </w:tcPr>
          <w:p>
            <w:pPr>
              <w:spacing w:after="0"/>
              <w:rPr>
                <w:sz w:val="12"/>
                <w:szCs w:val="12"/>
                <w:color w:val="auto"/>
              </w:rPr>
            </w:pPr>
          </w:p>
        </w:tc>
        <w:tc>
          <w:tcPr>
            <w:tcW w:w="20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Electronics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L+1,000</w:t>
            </w:r>
            <w:r>
              <w:rPr>
                <w:rFonts w:ascii="Arial" w:cs="Arial" w:eastAsia="Arial" w:hAnsi="Arial"/>
                <w:sz w:val="12"/>
                <w:szCs w:val="12"/>
                <w:color w:val="auto"/>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7,500,000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7,200,000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6,900,000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Intermediate Transportation 100, L.L.C.</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03/01/2017</w:t>
            </w:r>
          </w:p>
        </w:tc>
        <w:tc>
          <w:tcPr>
            <w:tcW w:w="240" w:type="dxa"/>
            <w:vAlign w:val="bottom"/>
            <w:shd w:val="clear" w:color="auto" w:fill="CCEEFF"/>
          </w:tcPr>
          <w:p>
            <w:pPr>
              <w:spacing w:after="0"/>
              <w:rPr>
                <w:sz w:val="11"/>
                <w:szCs w:val="11"/>
                <w:color w:val="auto"/>
              </w:rPr>
            </w:pPr>
          </w:p>
        </w:tc>
        <w:tc>
          <w:tcPr>
            <w:tcW w:w="2080" w:type="dxa"/>
            <w:vAlign w:val="bottom"/>
            <w:gridSpan w:val="2"/>
            <w:shd w:val="clear" w:color="auto" w:fill="CCEEFF"/>
          </w:tcPr>
          <w:p>
            <w:pPr>
              <w:jc w:val="center"/>
              <w:ind w:right="60"/>
              <w:spacing w:after="0" w:line="130" w:lineRule="exact"/>
              <w:rPr>
                <w:sz w:val="20"/>
                <w:szCs w:val="20"/>
                <w:color w:val="auto"/>
              </w:rPr>
            </w:pPr>
            <w:r>
              <w:rPr>
                <w:rFonts w:ascii="Arial" w:cs="Arial" w:eastAsia="Arial" w:hAnsi="Arial"/>
                <w:sz w:val="14"/>
                <w:szCs w:val="14"/>
                <w:color w:val="auto"/>
                <w:w w:val="92"/>
              </w:rPr>
              <w:t>Cargo Transport</w:t>
            </w:r>
          </w:p>
        </w:tc>
        <w:tc>
          <w:tcPr>
            <w:tcW w:w="10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11.00%</w:t>
            </w:r>
          </w:p>
        </w:tc>
        <w:tc>
          <w:tcPr>
            <w:tcW w:w="9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L+700</w:t>
            </w:r>
            <w:r>
              <w:rPr>
                <w:rFonts w:ascii="Arial" w:cs="Arial" w:eastAsia="Arial" w:hAnsi="Arial"/>
                <w:sz w:val="12"/>
                <w:szCs w:val="12"/>
                <w:color w:val="auto"/>
              </w:rPr>
              <w:t>(8)</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3,544,833</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3,544,836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3,544,833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(PIK 11.00%)</w:t>
            </w: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Jacobs Entertainment, Inc.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10/29/2019</w:t>
            </w:r>
          </w:p>
        </w:tc>
        <w:tc>
          <w:tcPr>
            <w:tcW w:w="240" w:type="dxa"/>
            <w:vAlign w:val="bottom"/>
          </w:tcPr>
          <w:p>
            <w:pPr>
              <w:spacing w:after="0"/>
              <w:rPr>
                <w:sz w:val="12"/>
                <w:szCs w:val="12"/>
                <w:color w:val="auto"/>
              </w:rPr>
            </w:pPr>
          </w:p>
        </w:tc>
        <w:tc>
          <w:tcPr>
            <w:tcW w:w="20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Hotels, Motels, Inns and Gaming</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13.00%</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L+1,175</w:t>
            </w:r>
            <w:r>
              <w:rPr>
                <w:rFonts w:ascii="Arial" w:cs="Arial" w:eastAsia="Arial" w:hAnsi="Arial"/>
                <w:sz w:val="12"/>
                <w:szCs w:val="12"/>
                <w:color w:val="auto"/>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38,950,000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38,287,499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39,096,063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Language Line, LLC</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12/20/2016</w:t>
            </w:r>
          </w:p>
        </w:tc>
        <w:tc>
          <w:tcPr>
            <w:tcW w:w="240" w:type="dxa"/>
            <w:vAlign w:val="bottom"/>
            <w:shd w:val="clear" w:color="auto" w:fill="CCEEFF"/>
          </w:tcPr>
          <w:p>
            <w:pPr>
              <w:spacing w:after="0"/>
              <w:rPr>
                <w:sz w:val="11"/>
                <w:szCs w:val="11"/>
                <w:color w:val="auto"/>
              </w:rPr>
            </w:pPr>
          </w:p>
        </w:tc>
        <w:tc>
          <w:tcPr>
            <w:tcW w:w="2080" w:type="dxa"/>
            <w:vAlign w:val="bottom"/>
            <w:gridSpan w:val="2"/>
            <w:shd w:val="clear" w:color="auto" w:fill="CCEEFF"/>
          </w:tcPr>
          <w:p>
            <w:pPr>
              <w:jc w:val="center"/>
              <w:ind w:right="80"/>
              <w:spacing w:after="0" w:line="130" w:lineRule="exact"/>
              <w:rPr>
                <w:sz w:val="20"/>
                <w:szCs w:val="20"/>
                <w:color w:val="auto"/>
              </w:rPr>
            </w:pPr>
            <w:r>
              <w:rPr>
                <w:rFonts w:ascii="Arial" w:cs="Arial" w:eastAsia="Arial" w:hAnsi="Arial"/>
                <w:sz w:val="14"/>
                <w:szCs w:val="14"/>
                <w:color w:val="auto"/>
                <w:w w:val="91"/>
              </w:rPr>
              <w:t>Personal, Food and Miscellaneous</w:t>
            </w:r>
          </w:p>
        </w:tc>
        <w:tc>
          <w:tcPr>
            <w:tcW w:w="10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10.50%</w:t>
            </w:r>
          </w:p>
        </w:tc>
        <w:tc>
          <w:tcPr>
            <w:tcW w:w="9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L+875</w:t>
            </w:r>
            <w:r>
              <w:rPr>
                <w:rFonts w:ascii="Arial" w:cs="Arial" w:eastAsia="Arial" w:hAnsi="Arial"/>
                <w:sz w:val="12"/>
                <w:szCs w:val="12"/>
                <w:color w:val="auto"/>
              </w:rPr>
              <w:t>(8)</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33,750,000</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33,265,829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33,187,388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Services</w:t>
            </w: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Linc USA GP and Linc Energy Finance (USA), Inc.</w:t>
            </w:r>
            <w:r>
              <w:rPr>
                <w:rFonts w:ascii="Arial" w:cs="Arial" w:eastAsia="Arial" w:hAnsi="Arial"/>
                <w:sz w:val="12"/>
                <w:szCs w:val="12"/>
                <w:color w:val="auto"/>
              </w:rPr>
              <w:t>(5)</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10/31/2017</w:t>
            </w:r>
          </w:p>
        </w:tc>
        <w:tc>
          <w:tcPr>
            <w:tcW w:w="240" w:type="dxa"/>
            <w:vAlign w:val="bottom"/>
          </w:tcPr>
          <w:p>
            <w:pPr>
              <w:spacing w:after="0"/>
              <w:rPr>
                <w:sz w:val="12"/>
                <w:szCs w:val="12"/>
                <w:color w:val="auto"/>
              </w:rPr>
            </w:pPr>
          </w:p>
        </w:tc>
        <w:tc>
          <w:tcPr>
            <w:tcW w:w="20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Oil and Gas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12.50%</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11,875,000</w:t>
            </w: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11,511,878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13,062,500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07/01/2020</w:t>
            </w:r>
          </w:p>
        </w:tc>
        <w:tc>
          <w:tcPr>
            <w:tcW w:w="240" w:type="dxa"/>
            <w:vAlign w:val="bottom"/>
            <w:shd w:val="clear" w:color="auto" w:fill="CCEEFF"/>
          </w:tcPr>
          <w:p>
            <w:pPr>
              <w:spacing w:after="0"/>
              <w:rPr>
                <w:sz w:val="11"/>
                <w:szCs w:val="11"/>
                <w:color w:val="auto"/>
              </w:rPr>
            </w:pPr>
          </w:p>
        </w:tc>
        <w:tc>
          <w:tcPr>
            <w:tcW w:w="2080" w:type="dxa"/>
            <w:vAlign w:val="bottom"/>
            <w:gridSpan w:val="2"/>
            <w:shd w:val="clear" w:color="auto" w:fill="CCEEFF"/>
          </w:tcPr>
          <w:p>
            <w:pPr>
              <w:jc w:val="center"/>
              <w:ind w:right="80"/>
              <w:spacing w:after="0" w:line="130" w:lineRule="exact"/>
              <w:rPr>
                <w:sz w:val="20"/>
                <w:szCs w:val="20"/>
                <w:color w:val="auto"/>
              </w:rPr>
            </w:pPr>
            <w:r>
              <w:rPr>
                <w:rFonts w:ascii="Arial" w:cs="Arial" w:eastAsia="Arial" w:hAnsi="Arial"/>
                <w:sz w:val="14"/>
                <w:szCs w:val="14"/>
                <w:color w:val="auto"/>
                <w:w w:val="91"/>
              </w:rPr>
              <w:t>Personal, Food and Miscellaneous</w:t>
            </w:r>
          </w:p>
        </w:tc>
        <w:tc>
          <w:tcPr>
            <w:tcW w:w="10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9.75%</w:t>
            </w:r>
          </w:p>
        </w:tc>
        <w:tc>
          <w:tcPr>
            <w:tcW w:w="9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L+850</w:t>
            </w:r>
            <w:r>
              <w:rPr>
                <w:rFonts w:ascii="Arial" w:cs="Arial" w:eastAsia="Arial" w:hAnsi="Arial"/>
                <w:sz w:val="12"/>
                <w:szCs w:val="12"/>
                <w:color w:val="auto"/>
              </w:rPr>
              <w:t>(8)</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56,750,000</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55,923,621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56,040,625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Services</w:t>
            </w: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12/15/2014</w:t>
            </w:r>
          </w:p>
        </w:tc>
        <w:tc>
          <w:tcPr>
            <w:tcW w:w="240" w:type="dxa"/>
            <w:vAlign w:val="bottom"/>
          </w:tcPr>
          <w:p>
            <w:pPr>
              <w:spacing w:after="0"/>
              <w:rPr>
                <w:sz w:val="12"/>
                <w:szCs w:val="12"/>
                <w:color w:val="auto"/>
              </w:rPr>
            </w:pPr>
          </w:p>
        </w:tc>
        <w:tc>
          <w:tcPr>
            <w:tcW w:w="20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Other Media</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9.50%</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L+550</w:t>
            </w:r>
            <w:r>
              <w:rPr>
                <w:rFonts w:ascii="Arial" w:cs="Arial" w:eastAsia="Arial" w:hAnsi="Arial"/>
                <w:sz w:val="12"/>
                <w:szCs w:val="12"/>
                <w:color w:val="auto"/>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2,395,378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2,395,378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2,371,424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Questex Media Group LLC, Term Loan B</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12/15/2015</w:t>
            </w:r>
          </w:p>
        </w:tc>
        <w:tc>
          <w:tcPr>
            <w:tcW w:w="240" w:type="dxa"/>
            <w:vAlign w:val="bottom"/>
            <w:shd w:val="clear" w:color="auto" w:fill="CCEEFF"/>
          </w:tcPr>
          <w:p>
            <w:pPr>
              <w:spacing w:after="0"/>
              <w:rPr>
                <w:sz w:val="11"/>
                <w:szCs w:val="11"/>
                <w:color w:val="auto"/>
              </w:rPr>
            </w:pPr>
          </w:p>
        </w:tc>
        <w:tc>
          <w:tcPr>
            <w:tcW w:w="2080" w:type="dxa"/>
            <w:vAlign w:val="bottom"/>
            <w:gridSpan w:val="2"/>
            <w:shd w:val="clear" w:color="auto" w:fill="CCEEFF"/>
          </w:tcPr>
          <w:p>
            <w:pPr>
              <w:jc w:val="center"/>
              <w:ind w:right="80"/>
              <w:spacing w:after="0" w:line="130" w:lineRule="exact"/>
              <w:rPr>
                <w:sz w:val="20"/>
                <w:szCs w:val="20"/>
                <w:color w:val="auto"/>
              </w:rPr>
            </w:pPr>
            <w:r>
              <w:rPr>
                <w:rFonts w:ascii="Arial" w:cs="Arial" w:eastAsia="Arial" w:hAnsi="Arial"/>
                <w:sz w:val="14"/>
                <w:szCs w:val="14"/>
                <w:color w:val="auto"/>
                <w:w w:val="93"/>
              </w:rPr>
              <w:t>Other Media</w:t>
            </w:r>
          </w:p>
        </w:tc>
        <w:tc>
          <w:tcPr>
            <w:tcW w:w="10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11.50%</w:t>
            </w:r>
          </w:p>
        </w:tc>
        <w:tc>
          <w:tcPr>
            <w:tcW w:w="9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P+750</w:t>
            </w:r>
            <w:r>
              <w:rPr>
                <w:rFonts w:ascii="Arial" w:cs="Arial" w:eastAsia="Arial" w:hAnsi="Arial"/>
                <w:sz w:val="12"/>
                <w:szCs w:val="12"/>
                <w:color w:val="auto"/>
              </w:rPr>
              <w:t>(8)</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2,502,333</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2,502,333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2,452,286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(PIK 11.50%)</w:t>
            </w: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ROC Finance LLC and ROC Finance 1 Corp.</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08/31/2018</w:t>
            </w:r>
          </w:p>
        </w:tc>
        <w:tc>
          <w:tcPr>
            <w:tcW w:w="240" w:type="dxa"/>
            <w:vAlign w:val="bottom"/>
          </w:tcPr>
          <w:p>
            <w:pPr>
              <w:spacing w:after="0"/>
              <w:rPr>
                <w:sz w:val="13"/>
                <w:szCs w:val="13"/>
                <w:color w:val="auto"/>
              </w:rPr>
            </w:pPr>
          </w:p>
        </w:tc>
        <w:tc>
          <w:tcPr>
            <w:tcW w:w="20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Hotels, Motels, Inns and Gaming</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12.13%</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16,000,000</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15,785,252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17,720,000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332,007,946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341,093,728</w:t>
            </w:r>
          </w:p>
        </w:tc>
        <w:tc>
          <w:tcPr>
            <w:tcW w:w="0" w:type="dxa"/>
            <w:vAlign w:val="bottom"/>
          </w:tcPr>
          <w:p>
            <w:pPr>
              <w:spacing w:after="0"/>
              <w:rPr>
                <w:sz w:val="1"/>
                <w:szCs w:val="1"/>
                <w:color w:val="auto"/>
              </w:rPr>
            </w:pPr>
          </w:p>
        </w:tc>
      </w:tr>
      <w:tr>
        <w:trPr>
          <w:trHeight w:val="156"/>
        </w:trPr>
        <w:tc>
          <w:tcPr>
            <w:tcW w:w="33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Notes—37.4%</w:t>
            </w: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Acentia, LLC</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10/02/2017</w:t>
            </w:r>
          </w:p>
        </w:tc>
        <w:tc>
          <w:tcPr>
            <w:tcW w:w="20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3"/>
              </w:rPr>
              <w:t>Electronics</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13.75%</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19,000,000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18,629,082</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18,879,139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11/15/2015</w:t>
            </w:r>
          </w:p>
        </w:tc>
        <w:tc>
          <w:tcPr>
            <w:tcW w:w="20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Consumer Products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11.63%</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35,552,000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34,570,664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20,442,400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Alegeus Technologies, LLC</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02/15/2019</w:t>
            </w:r>
          </w:p>
        </w:tc>
        <w:tc>
          <w:tcPr>
            <w:tcW w:w="208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3"/>
              </w:rPr>
              <w:t>Financial Services</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12.00%</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8,930,000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8,773,751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8,888,617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tcPr>
          <w:p>
            <w:pPr>
              <w:spacing w:after="0" w:line="130" w:lineRule="exact"/>
              <w:rPr>
                <w:sz w:val="20"/>
                <w:szCs w:val="20"/>
                <w:color w:val="auto"/>
              </w:rPr>
            </w:pPr>
            <w:r>
              <w:rPr>
                <w:rFonts w:ascii="Arial" w:cs="Arial" w:eastAsia="Arial" w:hAnsi="Arial"/>
                <w:sz w:val="14"/>
                <w:szCs w:val="14"/>
                <w:color w:val="auto"/>
              </w:rPr>
              <w:t>Convergint Technologies LLC</w:t>
            </w:r>
          </w:p>
        </w:tc>
        <w:tc>
          <w:tcPr>
            <w:tcW w:w="9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6"/>
              </w:rPr>
              <w:t>03/26/2018</w:t>
            </w:r>
          </w:p>
        </w:tc>
        <w:tc>
          <w:tcPr>
            <w:tcW w:w="2080" w:type="dxa"/>
            <w:vAlign w:val="bottom"/>
            <w:gridSpan w:val="2"/>
          </w:tcPr>
          <w:p>
            <w:pPr>
              <w:jc w:val="center"/>
              <w:ind w:right="80"/>
              <w:spacing w:after="0" w:line="130" w:lineRule="exact"/>
              <w:rPr>
                <w:sz w:val="20"/>
                <w:szCs w:val="20"/>
                <w:color w:val="auto"/>
              </w:rPr>
            </w:pPr>
            <w:r>
              <w:rPr>
                <w:rFonts w:ascii="Arial" w:cs="Arial" w:eastAsia="Arial" w:hAnsi="Arial"/>
                <w:sz w:val="14"/>
                <w:szCs w:val="14"/>
                <w:color w:val="auto"/>
                <w:w w:val="93"/>
              </w:rPr>
              <w:t>Electronics</w:t>
            </w:r>
          </w:p>
        </w:tc>
        <w:tc>
          <w:tcPr>
            <w:tcW w:w="100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12.00%</w:t>
            </w:r>
          </w:p>
        </w:tc>
        <w:tc>
          <w:tcPr>
            <w:tcW w:w="9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23,514,494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23,114,286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23,867,211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(PIK 1.00 %)</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Basis Point</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right"/>
              <w:ind w:right="488"/>
              <w:spacing w:after="0"/>
              <w:rPr>
                <w:sz w:val="20"/>
                <w:szCs w:val="20"/>
                <w:color w:val="auto"/>
              </w:rPr>
            </w:pPr>
            <w:r>
              <w:rPr>
                <w:rFonts w:ascii="Arial" w:cs="Arial" w:eastAsia="Arial" w:hAnsi="Arial"/>
                <w:sz w:val="14"/>
                <w:szCs w:val="14"/>
                <w:b w:val="1"/>
                <w:bCs w:val="1"/>
                <w:color w:val="auto"/>
              </w:rPr>
              <w:t>Current</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Spread</w:t>
            </w: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Par /</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Maturity</w:t>
            </w:r>
          </w:p>
        </w:tc>
        <w:tc>
          <w:tcPr>
            <w:tcW w:w="22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Industry</w:t>
            </w:r>
          </w:p>
        </w:tc>
        <w:tc>
          <w:tcPr>
            <w:tcW w:w="1160" w:type="dxa"/>
            <w:vAlign w:val="bottom"/>
            <w:gridSpan w:val="2"/>
            <w:vMerge w:val="continue"/>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Above</w:t>
            </w: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200" w:type="dxa"/>
            <w:vAlign w:val="bottom"/>
            <w:gridSpan w:val="3"/>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116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Coupon</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Index</w:t>
            </w:r>
            <w:r>
              <w:rPr>
                <w:rFonts w:ascii="Arial" w:cs="Arial" w:eastAsia="Arial" w:hAnsi="Arial"/>
                <w:sz w:val="12"/>
                <w:szCs w:val="12"/>
                <w:b w:val="1"/>
                <w:bCs w:val="1"/>
                <w:color w:val="auto"/>
                <w:w w:val="93"/>
              </w:rPr>
              <w:t>(4)</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84"/>
              </w:rPr>
              <w:t>Credit Infonet,</w:t>
            </w:r>
          </w:p>
        </w:tc>
        <w:tc>
          <w:tcPr>
            <w:tcW w:w="2420" w:type="dxa"/>
            <w:vAlign w:val="bottom"/>
            <w:tcBorders>
              <w:top w:val="single" w:sz="8" w:color="CCEEFF"/>
            </w:tcBorders>
            <w:shd w:val="clear" w:color="auto" w:fill="CCEEFF"/>
          </w:tcPr>
          <w:p>
            <w:pPr>
              <w:ind w:left="120"/>
              <w:spacing w:after="0" w:line="123" w:lineRule="exact"/>
              <w:rPr>
                <w:sz w:val="20"/>
                <w:szCs w:val="20"/>
                <w:color w:val="auto"/>
              </w:rPr>
            </w:pPr>
            <w:r>
              <w:rPr>
                <w:rFonts w:ascii="Arial" w:cs="Arial" w:eastAsia="Arial" w:hAnsi="Arial"/>
                <w:sz w:val="14"/>
                <w:szCs w:val="14"/>
                <w:color w:val="auto"/>
              </w:rPr>
              <w:t>Inc.</w:t>
            </w:r>
          </w:p>
        </w:tc>
        <w:tc>
          <w:tcPr>
            <w:tcW w:w="7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9"/>
              </w:rPr>
              <w:t>10/26/2018</w:t>
            </w:r>
          </w:p>
        </w:tc>
        <w:tc>
          <w:tcPr>
            <w:tcW w:w="240" w:type="dxa"/>
            <w:vAlign w:val="bottom"/>
            <w:tcBorders>
              <w:top w:val="single" w:sz="8" w:color="CCEEFF"/>
            </w:tcBorders>
            <w:shd w:val="clear" w:color="auto" w:fill="CCEEFF"/>
          </w:tcPr>
          <w:p>
            <w:pPr>
              <w:spacing w:after="0"/>
              <w:rPr>
                <w:sz w:val="10"/>
                <w:szCs w:val="10"/>
                <w:color w:val="auto"/>
              </w:rPr>
            </w:pPr>
          </w:p>
        </w:tc>
        <w:tc>
          <w:tcPr>
            <w:tcW w:w="212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89"/>
              </w:rPr>
              <w:t>Personal, Food and</w:t>
            </w: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12.25</w:t>
            </w:r>
          </w:p>
        </w:tc>
        <w:tc>
          <w:tcPr>
            <w:tcW w:w="480" w:type="dxa"/>
            <w:vAlign w:val="bottom"/>
            <w:tcBorders>
              <w:top w:val="single" w:sz="8" w:color="CCEEFF"/>
            </w:tcBorders>
            <w:shd w:val="clear" w:color="auto" w:fill="CCEEFF"/>
          </w:tcPr>
          <w:p>
            <w:pPr>
              <w:jc w:val="right"/>
              <w:ind w:right="288"/>
              <w:spacing w:after="0" w:line="123" w:lineRule="exact"/>
              <w:rPr>
                <w:sz w:val="20"/>
                <w:szCs w:val="20"/>
                <w:color w:val="auto"/>
              </w:rPr>
            </w:pPr>
            <w:r>
              <w:rPr>
                <w:rFonts w:ascii="Arial" w:cs="Arial" w:eastAsia="Arial" w:hAnsi="Arial"/>
                <w:sz w:val="14"/>
                <w:szCs w:val="14"/>
                <w:color w:val="auto"/>
                <w:w w:val="79"/>
              </w:rPr>
              <w:t>%</w:t>
            </w:r>
          </w:p>
        </w:tc>
        <w:tc>
          <w:tcPr>
            <w:tcW w:w="680" w:type="dxa"/>
            <w:vAlign w:val="bottom"/>
            <w:tcBorders>
              <w:top w:val="single" w:sz="8" w:color="auto"/>
            </w:tcBorders>
            <w:shd w:val="clear" w:color="auto" w:fill="CCEEFF"/>
          </w:tcPr>
          <w:p>
            <w:pPr>
              <w:ind w:left="480"/>
              <w:spacing w:after="0" w:line="123"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6"/>
              </w:rPr>
              <w:t>10,600,000</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10,399,101</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10,653,423</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8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Miscellaneous Services</w:t>
            </w:r>
          </w:p>
        </w:tc>
        <w:tc>
          <w:tcPr>
            <w:tcW w:w="6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tcPr>
          <w:p>
            <w:pPr>
              <w:spacing w:after="0" w:line="130" w:lineRule="exact"/>
              <w:rPr>
                <w:sz w:val="20"/>
                <w:szCs w:val="20"/>
                <w:color w:val="auto"/>
              </w:rPr>
            </w:pPr>
            <w:r>
              <w:rPr>
                <w:rFonts w:ascii="Arial" w:cs="Arial" w:eastAsia="Arial" w:hAnsi="Arial"/>
                <w:sz w:val="14"/>
                <w:szCs w:val="14"/>
                <w:color w:val="auto"/>
              </w:rPr>
              <w:t>Escort, Inc.</w:t>
            </w: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9"/>
              </w:rPr>
              <w:t>06/01/2016</w:t>
            </w:r>
          </w:p>
        </w:tc>
        <w:tc>
          <w:tcPr>
            <w:tcW w:w="228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tcPr>
          <w:p>
            <w:pPr>
              <w:jc w:val="right"/>
              <w:ind w:right="288"/>
              <w:spacing w:after="0" w:line="130" w:lineRule="exact"/>
              <w:rPr>
                <w:sz w:val="20"/>
                <w:szCs w:val="20"/>
                <w:color w:val="auto"/>
              </w:rPr>
            </w:pPr>
            <w:r>
              <w:rPr>
                <w:rFonts w:ascii="Arial" w:cs="Arial" w:eastAsia="Arial" w:hAnsi="Arial"/>
                <w:sz w:val="14"/>
                <w:szCs w:val="14"/>
                <w:color w:val="auto"/>
              </w:rPr>
              <w:t>14.75%</w:t>
            </w:r>
          </w:p>
        </w:tc>
        <w:tc>
          <w:tcPr>
            <w:tcW w:w="92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25,965,563</w:t>
            </w:r>
          </w:p>
        </w:tc>
        <w:tc>
          <w:tcPr>
            <w:tcW w:w="120" w:type="dxa"/>
            <w:vAlign w:val="bottom"/>
          </w:tcPr>
          <w:p>
            <w:pPr>
              <w:spacing w:after="0"/>
              <w:rPr>
                <w:sz w:val="11"/>
                <w:szCs w:val="11"/>
                <w:color w:val="auto"/>
              </w:rPr>
            </w:pPr>
          </w:p>
        </w:tc>
        <w:tc>
          <w:tcPr>
            <w:tcW w:w="9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25,579,621</w:t>
            </w:r>
          </w:p>
        </w:tc>
        <w:tc>
          <w:tcPr>
            <w:tcW w:w="120" w:type="dxa"/>
            <w:vAlign w:val="bottom"/>
          </w:tcPr>
          <w:p>
            <w:pPr>
              <w:spacing w:after="0"/>
              <w:rPr>
                <w:sz w:val="11"/>
                <w:szCs w:val="11"/>
                <w:color w:val="auto"/>
              </w:rPr>
            </w:pPr>
          </w:p>
        </w:tc>
        <w:tc>
          <w:tcPr>
            <w:tcW w:w="102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26,484,875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2.75 %)</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JF Acquisition, LLC</w:t>
            </w: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88"/>
              <w:spacing w:after="0" w:line="130" w:lineRule="exact"/>
              <w:rPr>
                <w:sz w:val="20"/>
                <w:szCs w:val="20"/>
                <w:color w:val="auto"/>
              </w:rPr>
            </w:pPr>
            <w:r>
              <w:rPr>
                <w:rFonts w:ascii="Arial" w:cs="Arial" w:eastAsia="Arial" w:hAnsi="Arial"/>
                <w:sz w:val="14"/>
                <w:szCs w:val="14"/>
                <w:color w:val="auto"/>
              </w:rPr>
              <w:t>14.00%</w:t>
            </w:r>
          </w:p>
        </w:tc>
        <w:tc>
          <w:tcPr>
            <w:tcW w:w="92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17,517,386</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17,160,955</w:t>
            </w:r>
          </w:p>
        </w:tc>
        <w:tc>
          <w:tcPr>
            <w:tcW w:w="120" w:type="dxa"/>
            <w:vAlign w:val="bottom"/>
            <w:shd w:val="clear" w:color="auto" w:fill="CCEEFF"/>
          </w:tcPr>
          <w:p>
            <w:pPr>
              <w:spacing w:after="0"/>
              <w:rPr>
                <w:sz w:val="11"/>
                <w:szCs w:val="11"/>
                <w:color w:val="auto"/>
              </w:rPr>
            </w:pPr>
          </w:p>
        </w:tc>
        <w:tc>
          <w:tcPr>
            <w:tcW w:w="1020" w:type="dxa"/>
            <w:vAlign w:val="bottom"/>
            <w:gridSpan w:val="3"/>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17,517,386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06/30/2017</w:t>
            </w:r>
          </w:p>
        </w:tc>
        <w:tc>
          <w:tcPr>
            <w:tcW w:w="22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9"/>
              </w:rPr>
              <w:t>Distribution</w:t>
            </w: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(PIK 2.00 %)</w:t>
            </w: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tcPr>
          <w:p>
            <w:pPr>
              <w:spacing w:after="0" w:line="130" w:lineRule="exact"/>
              <w:rPr>
                <w:sz w:val="20"/>
                <w:szCs w:val="20"/>
                <w:color w:val="auto"/>
              </w:rPr>
            </w:pPr>
            <w:r>
              <w:rPr>
                <w:rFonts w:ascii="Arial" w:cs="Arial" w:eastAsia="Arial" w:hAnsi="Arial"/>
                <w:sz w:val="14"/>
                <w:szCs w:val="14"/>
                <w:color w:val="auto"/>
              </w:rPr>
              <w:t>Learning Care Group (US) Inc.</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right"/>
              <w:ind w:right="288"/>
              <w:spacing w:after="0" w:line="130" w:lineRule="exact"/>
              <w:rPr>
                <w:sz w:val="20"/>
                <w:szCs w:val="20"/>
                <w:color w:val="auto"/>
              </w:rPr>
            </w:pPr>
            <w:r>
              <w:rPr>
                <w:rFonts w:ascii="Arial" w:cs="Arial" w:eastAsia="Arial" w:hAnsi="Arial"/>
                <w:sz w:val="14"/>
                <w:szCs w:val="14"/>
                <w:color w:val="auto"/>
              </w:rPr>
              <w:t>15.00%</w:t>
            </w:r>
          </w:p>
        </w:tc>
        <w:tc>
          <w:tcPr>
            <w:tcW w:w="92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rPr>
              <w:t>7,215,989</w:t>
            </w:r>
          </w:p>
        </w:tc>
        <w:tc>
          <w:tcPr>
            <w:tcW w:w="120" w:type="dxa"/>
            <w:vAlign w:val="bottom"/>
          </w:tcPr>
          <w:p>
            <w:pPr>
              <w:spacing w:after="0"/>
              <w:rPr>
                <w:sz w:val="11"/>
                <w:szCs w:val="11"/>
                <w:color w:val="auto"/>
              </w:rPr>
            </w:pPr>
          </w:p>
        </w:tc>
        <w:tc>
          <w:tcPr>
            <w:tcW w:w="9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6,754,246</w:t>
            </w:r>
          </w:p>
        </w:tc>
        <w:tc>
          <w:tcPr>
            <w:tcW w:w="120" w:type="dxa"/>
            <w:vAlign w:val="bottom"/>
          </w:tcPr>
          <w:p>
            <w:pPr>
              <w:spacing w:after="0"/>
              <w:rPr>
                <w:sz w:val="11"/>
                <w:szCs w:val="11"/>
                <w:color w:val="auto"/>
              </w:rPr>
            </w:pPr>
          </w:p>
        </w:tc>
        <w:tc>
          <w:tcPr>
            <w:tcW w:w="102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7,215,989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05/08/2020</w:t>
            </w:r>
          </w:p>
        </w:tc>
        <w:tc>
          <w:tcPr>
            <w:tcW w:w="228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Education</w:t>
            </w: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15.00%)</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LTI Flexible Products, Inc.</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01/19/2019</w:t>
            </w: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Chemicals, Plastics and Rubber</w:t>
            </w:r>
          </w:p>
        </w:tc>
        <w:tc>
          <w:tcPr>
            <w:tcW w:w="116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12.50%</w:t>
            </w:r>
          </w:p>
        </w:tc>
        <w:tc>
          <w:tcPr>
            <w:tcW w:w="9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30,000,000</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30,000,000</w:t>
            </w:r>
          </w:p>
        </w:tc>
        <w:tc>
          <w:tcPr>
            <w:tcW w:w="1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30,525,000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LTI Flexible Products, Inc.</w:t>
            </w:r>
            <w:r>
              <w:rPr>
                <w:rFonts w:ascii="Arial" w:cs="Arial" w:eastAsia="Arial" w:hAnsi="Arial"/>
                <w:sz w:val="12"/>
                <w:szCs w:val="12"/>
                <w:color w:val="auto"/>
              </w:rPr>
              <w:t>(9)</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01/11/2014</w:t>
            </w: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Chemicals, Plastics and Rubber</w:t>
            </w:r>
          </w:p>
        </w:tc>
        <w:tc>
          <w:tcPr>
            <w:tcW w:w="1160" w:type="dxa"/>
            <w:vAlign w:val="bottom"/>
            <w:gridSpan w:val="2"/>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4,825,000</w:t>
            </w:r>
          </w:p>
        </w:tc>
        <w:tc>
          <w:tcPr>
            <w:tcW w:w="12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5,087,500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MSPark, Inc.</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06/15/2017</w:t>
            </w:r>
          </w:p>
        </w:tc>
        <w:tc>
          <w:tcPr>
            <w:tcW w:w="22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4"/>
              </w:rPr>
              <w:t>Printing and Publishing</w:t>
            </w:r>
          </w:p>
        </w:tc>
        <w:tc>
          <w:tcPr>
            <w:tcW w:w="116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14.50%</w:t>
            </w:r>
            <w:r>
              <w:rPr>
                <w:rFonts w:ascii="Arial" w:cs="Arial" w:eastAsia="Arial" w:hAnsi="Arial"/>
                <w:sz w:val="12"/>
                <w:szCs w:val="12"/>
                <w:color w:val="auto"/>
              </w:rPr>
              <w:t>(7)</w:t>
            </w:r>
          </w:p>
        </w:tc>
        <w:tc>
          <w:tcPr>
            <w:tcW w:w="9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15,000,000</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14,691,342</w:t>
            </w:r>
          </w:p>
        </w:tc>
        <w:tc>
          <w:tcPr>
            <w:tcW w:w="1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tcPr>
          <w:p>
            <w:pPr>
              <w:spacing w:after="0" w:line="130" w:lineRule="exact"/>
              <w:rPr>
                <w:sz w:val="20"/>
                <w:szCs w:val="20"/>
                <w:color w:val="auto"/>
              </w:rPr>
            </w:pPr>
            <w:r>
              <w:rPr>
                <w:rFonts w:ascii="Arial" w:cs="Arial" w:eastAsia="Arial" w:hAnsi="Arial"/>
                <w:sz w:val="14"/>
                <w:szCs w:val="14"/>
                <w:color w:val="auto"/>
              </w:rPr>
              <w:t>Varel International Energy Mezzanine Funding</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right"/>
              <w:ind w:right="288"/>
              <w:spacing w:after="0" w:line="130" w:lineRule="exact"/>
              <w:rPr>
                <w:sz w:val="20"/>
                <w:szCs w:val="20"/>
                <w:color w:val="auto"/>
              </w:rPr>
            </w:pPr>
            <w:r>
              <w:rPr>
                <w:rFonts w:ascii="Arial" w:cs="Arial" w:eastAsia="Arial" w:hAnsi="Arial"/>
                <w:sz w:val="14"/>
                <w:szCs w:val="14"/>
                <w:color w:val="auto"/>
              </w:rPr>
              <w:t>14.00%</w:t>
            </w:r>
          </w:p>
        </w:tc>
        <w:tc>
          <w:tcPr>
            <w:tcW w:w="92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37,070,637</w:t>
            </w:r>
          </w:p>
        </w:tc>
        <w:tc>
          <w:tcPr>
            <w:tcW w:w="120" w:type="dxa"/>
            <w:vAlign w:val="bottom"/>
          </w:tcPr>
          <w:p>
            <w:pPr>
              <w:spacing w:after="0"/>
              <w:rPr>
                <w:sz w:val="11"/>
                <w:szCs w:val="11"/>
                <w:color w:val="auto"/>
              </w:rPr>
            </w:pPr>
          </w:p>
        </w:tc>
        <w:tc>
          <w:tcPr>
            <w:tcW w:w="9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36,441,726</w:t>
            </w:r>
          </w:p>
        </w:tc>
        <w:tc>
          <w:tcPr>
            <w:tcW w:w="120" w:type="dxa"/>
            <w:vAlign w:val="bottom"/>
          </w:tcPr>
          <w:p>
            <w:pPr>
              <w:spacing w:after="0"/>
              <w:rPr>
                <w:sz w:val="11"/>
                <w:szCs w:val="11"/>
                <w:color w:val="auto"/>
              </w:rPr>
            </w:pPr>
          </w:p>
        </w:tc>
        <w:tc>
          <w:tcPr>
            <w:tcW w:w="102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36,720,586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80" w:type="dxa"/>
            <w:vAlign w:val="bottom"/>
            <w:gridSpan w:val="2"/>
          </w:tcPr>
          <w:p>
            <w:pPr>
              <w:ind w:left="140"/>
              <w:spacing w:after="0"/>
              <w:rPr>
                <w:sz w:val="20"/>
                <w:szCs w:val="20"/>
                <w:color w:val="auto"/>
              </w:rPr>
            </w:pPr>
            <w:r>
              <w:rPr>
                <w:rFonts w:ascii="Arial" w:cs="Arial" w:eastAsia="Arial" w:hAnsi="Arial"/>
                <w:sz w:val="14"/>
                <w:szCs w:val="14"/>
                <w:color w:val="auto"/>
              </w:rPr>
              <w:t>Corp.</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01/15/2018</w:t>
            </w:r>
          </w:p>
        </w:tc>
        <w:tc>
          <w:tcPr>
            <w:tcW w:w="228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Oil and Gas</w:t>
            </w: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4.00%)</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Vestcom International, Inc.</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06/27/2019</w:t>
            </w:r>
          </w:p>
        </w:tc>
        <w:tc>
          <w:tcPr>
            <w:tcW w:w="22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4"/>
              </w:rPr>
              <w:t>Printing and Publishing</w:t>
            </w:r>
          </w:p>
        </w:tc>
        <w:tc>
          <w:tcPr>
            <w:tcW w:w="116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12.00%</w:t>
            </w:r>
          </w:p>
        </w:tc>
        <w:tc>
          <w:tcPr>
            <w:tcW w:w="9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39,892,933</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39,147,926</w:t>
            </w:r>
          </w:p>
        </w:tc>
        <w:tc>
          <w:tcPr>
            <w:tcW w:w="1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39,827,248</w:t>
            </w:r>
          </w:p>
        </w:tc>
        <w:tc>
          <w:tcPr>
            <w:tcW w:w="0" w:type="dxa"/>
            <w:vAlign w:val="bottom"/>
          </w:tcPr>
          <w:p>
            <w:pPr>
              <w:spacing w:after="0"/>
              <w:rPr>
                <w:sz w:val="1"/>
                <w:szCs w:val="1"/>
                <w:color w:val="auto"/>
              </w:rPr>
            </w:pPr>
          </w:p>
        </w:tc>
      </w:tr>
      <w:tr>
        <w:trPr>
          <w:trHeight w:val="163"/>
        </w:trPr>
        <w:tc>
          <w:tcPr>
            <w:tcW w:w="32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270,087,700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260,809,374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Preferred Equity/Partnership Interests —1.2%</w:t>
            </w:r>
            <w:r>
              <w:rPr>
                <w:rFonts w:ascii="Arial" w:cs="Arial" w:eastAsia="Arial" w:hAnsi="Arial"/>
                <w:sz w:val="12"/>
                <w:szCs w:val="12"/>
                <w:b w:val="1"/>
                <w:bCs w:val="1"/>
                <w:color w:val="auto"/>
                <w:w w:val="99"/>
              </w:rPr>
              <w:t>(6)</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AH Holdings, Inc.</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Healthcare, Education and Childcare</w:t>
            </w:r>
          </w:p>
        </w:tc>
        <w:tc>
          <w:tcPr>
            <w:tcW w:w="1160" w:type="dxa"/>
            <w:vAlign w:val="bottom"/>
            <w:gridSpan w:val="2"/>
          </w:tcPr>
          <w:p>
            <w:pPr>
              <w:jc w:val="right"/>
              <w:ind w:right="288"/>
              <w:spacing w:after="0" w:line="149" w:lineRule="exact"/>
              <w:rPr>
                <w:sz w:val="20"/>
                <w:szCs w:val="20"/>
                <w:color w:val="auto"/>
              </w:rPr>
            </w:pPr>
            <w:r>
              <w:rPr>
                <w:rFonts w:ascii="Arial" w:cs="Arial" w:eastAsia="Arial" w:hAnsi="Arial"/>
                <w:sz w:val="14"/>
                <w:szCs w:val="14"/>
                <w:color w:val="auto"/>
              </w:rPr>
              <w:t>6.00%</w:t>
            </w:r>
          </w:p>
        </w:tc>
        <w:tc>
          <w:tcPr>
            <w:tcW w:w="9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211</w:t>
            </w:r>
          </w:p>
        </w:tc>
        <w:tc>
          <w:tcPr>
            <w:tcW w:w="10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500,000</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815,133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AHC Mezzanine, LLC</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6"/>
              </w:rPr>
              <w:t>Other Media</w:t>
            </w:r>
          </w:p>
        </w:tc>
        <w:tc>
          <w:tcPr>
            <w:tcW w:w="1160" w:type="dxa"/>
            <w:vAlign w:val="bottom"/>
            <w:gridSpan w:val="2"/>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7,505</w:t>
            </w:r>
          </w:p>
        </w:tc>
        <w:tc>
          <w:tcPr>
            <w:tcW w:w="10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318,896</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tcPr>
          <w:p>
            <w:pPr>
              <w:spacing w:after="0" w:line="130" w:lineRule="exact"/>
              <w:rPr>
                <w:sz w:val="20"/>
                <w:szCs w:val="20"/>
                <w:color w:val="auto"/>
              </w:rPr>
            </w:pPr>
            <w:r>
              <w:rPr>
                <w:rFonts w:ascii="Arial" w:cs="Arial" w:eastAsia="Arial" w:hAnsi="Arial"/>
                <w:sz w:val="14"/>
                <w:szCs w:val="14"/>
                <w:color w:val="auto"/>
              </w:rPr>
              <w:t>Alegeus Technologies Holdings Corp., Series A</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gridSpan w:val="2"/>
          </w:tcPr>
          <w:p>
            <w:pPr>
              <w:ind w:left="140"/>
              <w:spacing w:after="0"/>
              <w:rPr>
                <w:sz w:val="20"/>
                <w:szCs w:val="20"/>
                <w:color w:val="auto"/>
              </w:rPr>
            </w:pPr>
            <w:r>
              <w:rPr>
                <w:rFonts w:ascii="Arial" w:cs="Arial" w:eastAsia="Arial" w:hAnsi="Arial"/>
                <w:sz w:val="14"/>
                <w:szCs w:val="14"/>
                <w:color w:val="auto"/>
              </w:rPr>
              <w:t>(Alegeus Technologies, LLC)</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28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Financial Services</w:t>
            </w:r>
          </w:p>
        </w:tc>
        <w:tc>
          <w:tcPr>
            <w:tcW w:w="1160" w:type="dxa"/>
            <w:vAlign w:val="bottom"/>
            <w:gridSpan w:val="2"/>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949</w:t>
            </w:r>
          </w:p>
        </w:tc>
        <w:tc>
          <w:tcPr>
            <w:tcW w:w="120" w:type="dxa"/>
            <w:vAlign w:val="bottom"/>
          </w:tcPr>
          <w:p>
            <w:pPr>
              <w:spacing w:after="0"/>
              <w:rPr>
                <w:sz w:val="14"/>
                <w:szCs w:val="14"/>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949,050</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805,697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 (IHS) Investment Holdings, LLC (Interactive</w:t>
            </w: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Health Solutions, Inc.)</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28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Healthcare, Education and Childcare</w:t>
            </w:r>
          </w:p>
        </w:tc>
        <w:tc>
          <w:tcPr>
            <w:tcW w:w="116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8.00%</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76,357</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765,307</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1,187,410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tcPr>
          <w:p>
            <w:pPr>
              <w:spacing w:after="0" w:line="130" w:lineRule="exact"/>
              <w:rPr>
                <w:sz w:val="20"/>
                <w:szCs w:val="20"/>
                <w:color w:val="auto"/>
              </w:rPr>
            </w:pPr>
            <w:r>
              <w:rPr>
                <w:rFonts w:ascii="Arial" w:cs="Arial" w:eastAsia="Arial" w:hAnsi="Arial"/>
                <w:sz w:val="14"/>
                <w:szCs w:val="14"/>
                <w:color w:val="auto"/>
              </w:rPr>
              <w:t>CI (IHS) Investment Holdings, LLC</w:t>
            </w:r>
            <w:r>
              <w:rPr>
                <w:rFonts w:ascii="Arial" w:cs="Arial" w:eastAsia="Arial" w:hAnsi="Arial"/>
                <w:sz w:val="12"/>
                <w:szCs w:val="12"/>
                <w:color w:val="auto"/>
              </w:rPr>
              <w:t>(9)</w:t>
            </w:r>
            <w:r>
              <w:rPr>
                <w:rFonts w:ascii="Arial" w:cs="Arial" w:eastAsia="Arial" w:hAnsi="Arial"/>
                <w:sz w:val="14"/>
                <w:szCs w:val="14"/>
                <w:color w:val="auto"/>
              </w:rPr>
              <w:t xml:space="preserve"> (Interactive</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gridSpan w:val="2"/>
          </w:tcPr>
          <w:p>
            <w:pPr>
              <w:ind w:left="140"/>
              <w:spacing w:after="0"/>
              <w:rPr>
                <w:sz w:val="20"/>
                <w:szCs w:val="20"/>
                <w:color w:val="auto"/>
              </w:rPr>
            </w:pPr>
            <w:r>
              <w:rPr>
                <w:rFonts w:ascii="Arial" w:cs="Arial" w:eastAsia="Arial" w:hAnsi="Arial"/>
                <w:sz w:val="14"/>
                <w:szCs w:val="14"/>
                <w:color w:val="auto"/>
              </w:rPr>
              <w:t>Health Solutions, Inc.)</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28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Healthcare, Education and Childcare</w:t>
            </w:r>
          </w:p>
        </w:tc>
        <w:tc>
          <w:tcPr>
            <w:tcW w:w="1160" w:type="dxa"/>
            <w:vAlign w:val="bottom"/>
            <w:gridSpan w:val="2"/>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38,179</w:t>
            </w: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382,654</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593,705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Holdings, LLC</w:t>
            </w: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(Convergint Technologies LLC)</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28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3"/>
              </w:rPr>
              <w:t>Electronics</w:t>
            </w:r>
          </w:p>
        </w:tc>
        <w:tc>
          <w:tcPr>
            <w:tcW w:w="116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8.00%</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2,375,000</w:t>
            </w:r>
          </w:p>
        </w:tc>
        <w:tc>
          <w:tcPr>
            <w:tcW w:w="1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2,584,106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tcPr>
          <w:p>
            <w:pPr>
              <w:jc w:val="right"/>
              <w:ind w:right="288"/>
              <w:spacing w:after="0" w:line="149" w:lineRule="exact"/>
              <w:rPr>
                <w:sz w:val="20"/>
                <w:szCs w:val="20"/>
                <w:color w:val="auto"/>
              </w:rPr>
            </w:pPr>
            <w:r>
              <w:rPr>
                <w:rFonts w:ascii="Arial" w:cs="Arial" w:eastAsia="Arial" w:hAnsi="Arial"/>
                <w:sz w:val="14"/>
                <w:szCs w:val="14"/>
                <w:color w:val="auto"/>
              </w:rPr>
              <w:t>9.00%</w:t>
            </w:r>
          </w:p>
        </w:tc>
        <w:tc>
          <w:tcPr>
            <w:tcW w:w="9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326,215</w:t>
            </w:r>
          </w:p>
        </w:tc>
        <w:tc>
          <w:tcPr>
            <w:tcW w:w="10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326,215</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326,215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HW Topco, Inc.</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6"/>
              </w:rPr>
              <w:t>Other Media</w:t>
            </w:r>
          </w:p>
        </w:tc>
        <w:tc>
          <w:tcPr>
            <w:tcW w:w="116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8.00%</w:t>
            </w:r>
          </w:p>
        </w:tc>
        <w:tc>
          <w:tcPr>
            <w:tcW w:w="9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3,591</w:t>
            </w:r>
          </w:p>
        </w:tc>
        <w:tc>
          <w:tcPr>
            <w:tcW w:w="10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24,177</w:t>
            </w: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Series A</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Insurance</w:t>
            </w:r>
          </w:p>
        </w:tc>
        <w:tc>
          <w:tcPr>
            <w:tcW w:w="1160" w:type="dxa"/>
            <w:vAlign w:val="bottom"/>
            <w:gridSpan w:val="2"/>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686</w:t>
            </w:r>
          </w:p>
        </w:tc>
        <w:tc>
          <w:tcPr>
            <w:tcW w:w="120" w:type="dxa"/>
            <w:vAlign w:val="bottom"/>
          </w:tcPr>
          <w:p>
            <w:pPr>
              <w:spacing w:after="0"/>
              <w:rPr>
                <w:sz w:val="12"/>
                <w:szCs w:val="12"/>
                <w:color w:val="auto"/>
              </w:rPr>
            </w:pPr>
          </w:p>
        </w:tc>
        <w:tc>
          <w:tcPr>
            <w:tcW w:w="10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685,820</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B</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Insurance</w:t>
            </w:r>
          </w:p>
        </w:tc>
        <w:tc>
          <w:tcPr>
            <w:tcW w:w="1160" w:type="dxa"/>
            <w:vAlign w:val="bottom"/>
            <w:gridSpan w:val="2"/>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6.50%</w:t>
            </w:r>
          </w:p>
        </w:tc>
        <w:tc>
          <w:tcPr>
            <w:tcW w:w="9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1,312</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1,312,006</w:t>
            </w:r>
          </w:p>
        </w:tc>
        <w:tc>
          <w:tcPr>
            <w:tcW w:w="1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862,664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VRide Holdings, Inc.</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Personal Transportation</w:t>
            </w:r>
          </w:p>
        </w:tc>
        <w:tc>
          <w:tcPr>
            <w:tcW w:w="1160" w:type="dxa"/>
            <w:vAlign w:val="bottom"/>
            <w:gridSpan w:val="2"/>
          </w:tcPr>
          <w:p>
            <w:pPr>
              <w:jc w:val="right"/>
              <w:ind w:right="288"/>
              <w:spacing w:after="0" w:line="149" w:lineRule="exact"/>
              <w:rPr>
                <w:sz w:val="20"/>
                <w:szCs w:val="20"/>
                <w:color w:val="auto"/>
              </w:rPr>
            </w:pPr>
            <w:r>
              <w:rPr>
                <w:rFonts w:ascii="Arial" w:cs="Arial" w:eastAsia="Arial" w:hAnsi="Arial"/>
                <w:sz w:val="14"/>
                <w:szCs w:val="14"/>
                <w:color w:val="auto"/>
              </w:rPr>
              <w:t>8.00%</w:t>
            </w:r>
          </w:p>
        </w:tc>
        <w:tc>
          <w:tcPr>
            <w:tcW w:w="9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1,824,167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1,824,167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156,029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9,463,292</w:t>
            </w:r>
          </w:p>
        </w:tc>
        <w:tc>
          <w:tcPr>
            <w:tcW w:w="1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8,051,870</w:t>
            </w:r>
          </w:p>
        </w:tc>
        <w:tc>
          <w:tcPr>
            <w:tcW w:w="0" w:type="dxa"/>
            <w:vAlign w:val="bottom"/>
          </w:tcPr>
          <w:p>
            <w:pPr>
              <w:spacing w:after="0"/>
              <w:rPr>
                <w:sz w:val="1"/>
                <w:szCs w:val="1"/>
                <w:color w:val="auto"/>
              </w:rPr>
            </w:pPr>
          </w:p>
        </w:tc>
      </w:tr>
      <w:tr>
        <w:trPr>
          <w:trHeight w:val="156"/>
        </w:trPr>
        <w:tc>
          <w:tcPr>
            <w:tcW w:w="416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Common Equity/Warrants/Partnership Interests—10.1%</w:t>
            </w:r>
            <w:r>
              <w:rPr>
                <w:rFonts w:ascii="Arial" w:cs="Arial" w:eastAsia="Arial" w:hAnsi="Arial"/>
                <w:sz w:val="12"/>
                <w:szCs w:val="12"/>
                <w:b w:val="1"/>
                <w:bCs w:val="1"/>
                <w:color w:val="auto"/>
              </w:rPr>
              <w:t>(6)</w:t>
            </w:r>
          </w:p>
        </w:tc>
        <w:tc>
          <w:tcPr>
            <w:tcW w:w="2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Acentia, LLC, Class A Units</w:t>
            </w:r>
            <w:r>
              <w:rPr>
                <w:rFonts w:ascii="Arial" w:cs="Arial" w:eastAsia="Arial" w:hAnsi="Arial"/>
                <w:sz w:val="12"/>
                <w:szCs w:val="12"/>
                <w:color w:val="auto"/>
              </w:rPr>
              <w:t>(12)</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1,998</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2,000,000</w:t>
            </w:r>
          </w:p>
        </w:tc>
        <w:tc>
          <w:tcPr>
            <w:tcW w:w="1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1,572,603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AH Holdings, Inc. (Warrants)</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03/23/2021</w:t>
            </w:r>
          </w:p>
        </w:tc>
        <w:tc>
          <w:tcPr>
            <w:tcW w:w="22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Healthcare, Education and Childcare</w:t>
            </w:r>
          </w:p>
        </w:tc>
        <w:tc>
          <w:tcPr>
            <w:tcW w:w="1160" w:type="dxa"/>
            <w:vAlign w:val="bottom"/>
            <w:gridSpan w:val="2"/>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753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2,499,319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Alegeus Technologies Holding Corp., Class A</w:t>
            </w: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(Alegeus Technologies, LLC)</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2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3"/>
              </w:rPr>
              <w:t>Financial Services</w:t>
            </w:r>
          </w:p>
        </w:tc>
        <w:tc>
          <w:tcPr>
            <w:tcW w:w="116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1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Autumn Games, LLC</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Broadcasting and Entertainment</w:t>
            </w:r>
          </w:p>
        </w:tc>
        <w:tc>
          <w:tcPr>
            <w:tcW w:w="1160" w:type="dxa"/>
            <w:vAlign w:val="bottom"/>
            <w:gridSpan w:val="2"/>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1,333,330</w:t>
            </w:r>
          </w:p>
        </w:tc>
        <w:tc>
          <w:tcPr>
            <w:tcW w:w="1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 (Galls) Prime Investment Holdings, LLC</w:t>
            </w:r>
            <w:r>
              <w:rPr>
                <w:rFonts w:ascii="Arial" w:cs="Arial" w:eastAsia="Arial" w:hAnsi="Arial"/>
                <w:sz w:val="12"/>
                <w:szCs w:val="12"/>
                <w:color w:val="auto"/>
              </w:rPr>
              <w:t>(11)</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Distribution</w:t>
            </w:r>
          </w:p>
        </w:tc>
        <w:tc>
          <w:tcPr>
            <w:tcW w:w="1160" w:type="dxa"/>
            <w:vAlign w:val="bottom"/>
            <w:gridSpan w:val="2"/>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1,505,000</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1,505,000</w:t>
            </w:r>
          </w:p>
        </w:tc>
        <w:tc>
          <w:tcPr>
            <w:tcW w:w="1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2,308,777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tcPr>
          <w:p>
            <w:pPr>
              <w:spacing w:after="0" w:line="130" w:lineRule="exact"/>
              <w:rPr>
                <w:sz w:val="20"/>
                <w:szCs w:val="20"/>
                <w:color w:val="auto"/>
              </w:rPr>
            </w:pPr>
            <w:r>
              <w:rPr>
                <w:rFonts w:ascii="Arial" w:cs="Arial" w:eastAsia="Arial" w:hAnsi="Arial"/>
                <w:sz w:val="14"/>
                <w:szCs w:val="14"/>
                <w:color w:val="auto"/>
              </w:rPr>
              <w:t>CI (IHS) Investment Holdings, LLC (Interactive</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gridSpan w:val="2"/>
          </w:tcPr>
          <w:p>
            <w:pPr>
              <w:ind w:left="140"/>
              <w:spacing w:after="0"/>
              <w:rPr>
                <w:sz w:val="20"/>
                <w:szCs w:val="20"/>
                <w:color w:val="auto"/>
              </w:rPr>
            </w:pPr>
            <w:r>
              <w:rPr>
                <w:rFonts w:ascii="Arial" w:cs="Arial" w:eastAsia="Arial" w:hAnsi="Arial"/>
                <w:sz w:val="14"/>
                <w:szCs w:val="14"/>
                <w:color w:val="auto"/>
              </w:rPr>
              <w:t>Health Solutions, Inc.)</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28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Healthcare, Education and Childcare</w:t>
            </w:r>
          </w:p>
        </w:tc>
        <w:tc>
          <w:tcPr>
            <w:tcW w:w="1160" w:type="dxa"/>
            <w:vAlign w:val="bottom"/>
            <w:gridSpan w:val="2"/>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23,416</w:t>
            </w: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234,693</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364,156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 (IHS) Investment Holdings, LLC</w:t>
            </w:r>
            <w:r>
              <w:rPr>
                <w:rFonts w:ascii="Arial" w:cs="Arial" w:eastAsia="Arial" w:hAnsi="Arial"/>
                <w:sz w:val="12"/>
                <w:szCs w:val="12"/>
                <w:color w:val="auto"/>
              </w:rPr>
              <w:t>(9)</w:t>
            </w:r>
            <w:r>
              <w:rPr>
                <w:rFonts w:ascii="Arial" w:cs="Arial" w:eastAsia="Arial" w:hAnsi="Arial"/>
                <w:sz w:val="14"/>
                <w:szCs w:val="14"/>
                <w:color w:val="auto"/>
              </w:rPr>
              <w:t xml:space="preserve"> (Interactive</w:t>
            </w: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Health Solutions, Inc.)</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28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Healthcare, Education and Childcare</w:t>
            </w:r>
          </w:p>
        </w:tc>
        <w:tc>
          <w:tcPr>
            <w:tcW w:w="116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11,708</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117,346</w:t>
            </w:r>
          </w:p>
        </w:tc>
        <w:tc>
          <w:tcPr>
            <w:tcW w:w="1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182,078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tcPr>
          <w:p>
            <w:pPr>
              <w:spacing w:after="0" w:line="130" w:lineRule="exact"/>
              <w:rPr>
                <w:sz w:val="20"/>
                <w:szCs w:val="20"/>
                <w:color w:val="auto"/>
              </w:rPr>
            </w:pPr>
            <w:r>
              <w:rPr>
                <w:rFonts w:ascii="Arial" w:cs="Arial" w:eastAsia="Arial" w:hAnsi="Arial"/>
                <w:sz w:val="14"/>
                <w:szCs w:val="14"/>
                <w:color w:val="auto"/>
              </w:rPr>
              <w:t>Convergint Technologies Holdings, LLC</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gridSpan w:val="2"/>
          </w:tcPr>
          <w:p>
            <w:pPr>
              <w:ind w:left="140"/>
              <w:spacing w:after="0"/>
              <w:rPr>
                <w:sz w:val="20"/>
                <w:szCs w:val="20"/>
                <w:color w:val="auto"/>
              </w:rPr>
            </w:pPr>
            <w:r>
              <w:rPr>
                <w:rFonts w:ascii="Arial" w:cs="Arial" w:eastAsia="Arial" w:hAnsi="Arial"/>
                <w:sz w:val="14"/>
                <w:szCs w:val="14"/>
                <w:color w:val="auto"/>
              </w:rPr>
              <w:t>(Convergint Technologies LLC)</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28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Electronics</w:t>
            </w:r>
          </w:p>
        </w:tc>
        <w:tc>
          <w:tcPr>
            <w:tcW w:w="1160" w:type="dxa"/>
            <w:vAlign w:val="bottom"/>
            <w:gridSpan w:val="2"/>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2,375</w:t>
            </w:r>
          </w:p>
        </w:tc>
        <w:tc>
          <w:tcPr>
            <w:tcW w:w="120" w:type="dxa"/>
            <w:vAlign w:val="bottom"/>
          </w:tcPr>
          <w:p>
            <w:pPr>
              <w:spacing w:after="0"/>
              <w:rPr>
                <w:sz w:val="14"/>
                <w:szCs w:val="14"/>
                <w:color w:val="auto"/>
              </w:rPr>
            </w:pP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212,881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5,556</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1,918,346</w:t>
            </w:r>
          </w:p>
        </w:tc>
        <w:tc>
          <w:tcPr>
            <w:tcW w:w="1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7,285,399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HW Topco, Inc.</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6"/>
              </w:rPr>
              <w:t>Other Media</w:t>
            </w:r>
          </w:p>
        </w:tc>
        <w:tc>
          <w:tcPr>
            <w:tcW w:w="1160" w:type="dxa"/>
            <w:vAlign w:val="bottom"/>
            <w:gridSpan w:val="2"/>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386,770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2,697,835</w:t>
            </w:r>
          </w:p>
        </w:tc>
        <w:tc>
          <w:tcPr>
            <w:tcW w:w="12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3,400,855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Kadmon Holdings, LLC, Class A</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Healthcare, Education and Childcare</w:t>
            </w:r>
          </w:p>
        </w:tc>
        <w:tc>
          <w:tcPr>
            <w:tcW w:w="1160" w:type="dxa"/>
            <w:vAlign w:val="bottom"/>
            <w:gridSpan w:val="2"/>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1,079,920</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1,236,832</w:t>
            </w:r>
          </w:p>
        </w:tc>
        <w:tc>
          <w:tcPr>
            <w:tcW w:w="1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11,085,403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Kadmon Holdings, LLC, Class D</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Healthcare, Education and Childcare</w:t>
            </w:r>
          </w:p>
        </w:tc>
        <w:tc>
          <w:tcPr>
            <w:tcW w:w="1160" w:type="dxa"/>
            <w:vAlign w:val="bottom"/>
            <w:gridSpan w:val="2"/>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1,079,920</w:t>
            </w:r>
          </w:p>
        </w:tc>
        <w:tc>
          <w:tcPr>
            <w:tcW w:w="1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1,028,807</w:t>
            </w:r>
          </w:p>
        </w:tc>
        <w:tc>
          <w:tcPr>
            <w:tcW w:w="12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1,028,807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04/27/2020</w:t>
            </w:r>
          </w:p>
        </w:tc>
        <w:tc>
          <w:tcPr>
            <w:tcW w:w="22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3"/>
              </w:rPr>
              <w:t>Education</w:t>
            </w:r>
          </w:p>
        </w:tc>
        <w:tc>
          <w:tcPr>
            <w:tcW w:w="1160" w:type="dxa"/>
            <w:vAlign w:val="bottom"/>
            <w:gridSpan w:val="2"/>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6,649</w:t>
            </w:r>
          </w:p>
        </w:tc>
        <w:tc>
          <w:tcPr>
            <w:tcW w:w="10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779,920</w:t>
            </w:r>
          </w:p>
        </w:tc>
        <w:tc>
          <w:tcPr>
            <w:tcW w:w="10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4,300,696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gridSpan w:val="2"/>
          </w:tcPr>
          <w:p>
            <w:pPr>
              <w:spacing w:after="0" w:line="130" w:lineRule="exact"/>
              <w:rPr>
                <w:sz w:val="20"/>
                <w:szCs w:val="20"/>
                <w:color w:val="auto"/>
              </w:rPr>
            </w:pPr>
            <w:r>
              <w:rPr>
                <w:rFonts w:ascii="Arial" w:cs="Arial" w:eastAsia="Arial" w:hAnsi="Arial"/>
                <w:sz w:val="14"/>
                <w:szCs w:val="14"/>
                <w:color w:val="auto"/>
              </w:rPr>
              <w:t>Magnum Hunter Resources Corporation (Eureka</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80" w:type="dxa"/>
            <w:vAlign w:val="bottom"/>
            <w:gridSpan w:val="2"/>
          </w:tcPr>
          <w:p>
            <w:pPr>
              <w:ind w:left="140"/>
              <w:spacing w:after="0"/>
              <w:rPr>
                <w:sz w:val="20"/>
                <w:szCs w:val="20"/>
                <w:color w:val="auto"/>
              </w:rPr>
            </w:pPr>
            <w:r>
              <w:rPr>
                <w:rFonts w:ascii="Arial" w:cs="Arial" w:eastAsia="Arial" w:hAnsi="Arial"/>
                <w:sz w:val="14"/>
                <w:szCs w:val="14"/>
                <w:color w:val="auto"/>
              </w:rPr>
              <w:t>Hunter Pipeline, LLC)</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28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Oil and Gas</w:t>
            </w:r>
          </w:p>
        </w:tc>
        <w:tc>
          <w:tcPr>
            <w:tcW w:w="1160" w:type="dxa"/>
            <w:vAlign w:val="bottom"/>
            <w:gridSpan w:val="2"/>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1,221,932</w:t>
            </w:r>
          </w:p>
        </w:tc>
        <w:tc>
          <w:tcPr>
            <w:tcW w:w="12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3,057,500</w:t>
            </w:r>
          </w:p>
        </w:tc>
        <w:tc>
          <w:tcPr>
            <w:tcW w:w="120" w:type="dxa"/>
            <w:vAlign w:val="bottom"/>
          </w:tcPr>
          <w:p>
            <w:pPr>
              <w:spacing w:after="0"/>
              <w:rPr>
                <w:sz w:val="15"/>
                <w:szCs w:val="15"/>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7,539,320</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Basis Point</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Current</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Spread</w:t>
            </w: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Par /</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0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Maturity</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Above</w:t>
            </w: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860" w:type="dxa"/>
            <w:vAlign w:val="bottom"/>
            <w:gridSpan w:val="3"/>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Coupon</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Index</w:t>
            </w:r>
            <w:r>
              <w:rPr>
                <w:rFonts w:ascii="Arial" w:cs="Arial" w:eastAsia="Arial" w:hAnsi="Arial"/>
                <w:sz w:val="12"/>
                <w:szCs w:val="12"/>
                <w:b w:val="1"/>
                <w:bCs w:val="1"/>
                <w:color w:val="auto"/>
                <w:w w:val="97"/>
              </w:rPr>
              <w:t>(4)</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3840" w:type="dxa"/>
            <w:vAlign w:val="bottom"/>
            <w:gridSpan w:val="2"/>
            <w:shd w:val="clear" w:color="auto" w:fill="CCEEFF"/>
          </w:tcPr>
          <w:p>
            <w:pPr>
              <w:spacing w:after="0" w:line="110" w:lineRule="exact"/>
              <w:rPr>
                <w:sz w:val="20"/>
                <w:szCs w:val="20"/>
                <w:color w:val="auto"/>
              </w:rPr>
            </w:pPr>
            <w:r>
              <w:rPr>
                <w:rFonts w:ascii="Arial" w:cs="Arial" w:eastAsia="Arial" w:hAnsi="Arial"/>
                <w:sz w:val="12"/>
                <w:szCs w:val="12"/>
                <w:color w:val="auto"/>
              </w:rPr>
              <w:t>Magnum Hunter Resources Corporation (Warrants) (Eureka</w:t>
            </w:r>
          </w:p>
        </w:tc>
        <w:tc>
          <w:tcPr>
            <w:tcW w:w="7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Hunter Pipeline, LLC)</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96"/>
              </w:rPr>
              <w:t>10/14/2013</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Oil and Gas</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122,193</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105,697</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40" w:type="dxa"/>
            <w:vAlign w:val="bottom"/>
            <w:gridSpan w:val="2"/>
          </w:tcPr>
          <w:p>
            <w:pPr>
              <w:spacing w:after="0" w:line="130" w:lineRule="exact"/>
              <w:rPr>
                <w:sz w:val="20"/>
                <w:szCs w:val="20"/>
                <w:color w:val="auto"/>
              </w:rPr>
            </w:pPr>
            <w:r>
              <w:rPr>
                <w:rFonts w:ascii="Arial" w:cs="Arial" w:eastAsia="Arial" w:hAnsi="Arial"/>
                <w:sz w:val="14"/>
                <w:szCs w:val="14"/>
                <w:color w:val="auto"/>
              </w:rPr>
              <w:t>Magnum Hunter Resources Corporation (Warrants) (Eureka</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40" w:type="dxa"/>
            <w:vAlign w:val="bottom"/>
            <w:gridSpan w:val="2"/>
          </w:tcPr>
          <w:p>
            <w:pPr>
              <w:ind w:left="140"/>
              <w:spacing w:after="0"/>
              <w:rPr>
                <w:sz w:val="20"/>
                <w:szCs w:val="20"/>
                <w:color w:val="auto"/>
              </w:rPr>
            </w:pPr>
            <w:r>
              <w:rPr>
                <w:rFonts w:ascii="Arial" w:cs="Arial" w:eastAsia="Arial" w:hAnsi="Arial"/>
                <w:sz w:val="14"/>
                <w:szCs w:val="14"/>
                <w:color w:val="auto"/>
              </w:rPr>
              <w:t>Hunter Pipeline, LLC)</w:t>
            </w: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w w:val="96"/>
              </w:rPr>
              <w:t>04/16/2016</w:t>
            </w:r>
          </w:p>
        </w:tc>
        <w:tc>
          <w:tcPr>
            <w:tcW w:w="1280" w:type="dxa"/>
            <w:vAlign w:val="bottom"/>
          </w:tcPr>
          <w:p>
            <w:pPr>
              <w:jc w:val="center"/>
              <w:spacing w:after="0"/>
              <w:rPr>
                <w:sz w:val="20"/>
                <w:szCs w:val="20"/>
                <w:color w:val="auto"/>
              </w:rPr>
            </w:pPr>
            <w:r>
              <w:rPr>
                <w:rFonts w:ascii="Arial" w:cs="Arial" w:eastAsia="Arial" w:hAnsi="Arial"/>
                <w:sz w:val="14"/>
                <w:szCs w:val="14"/>
                <w:color w:val="auto"/>
                <w:w w:val="94"/>
              </w:rPr>
              <w:t>Oil and Gas</w:t>
            </w:r>
          </w:p>
        </w:tc>
        <w:tc>
          <w:tcPr>
            <w:tcW w:w="200" w:type="dxa"/>
            <w:vAlign w:val="bottom"/>
          </w:tcPr>
          <w:p>
            <w:pPr>
              <w:spacing w:after="0"/>
              <w:rPr>
                <w:sz w:val="14"/>
                <w:szCs w:val="14"/>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122,193</w:t>
            </w: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auto"/>
              </w:rPr>
              <w:t>182,499</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205,667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MidOcean JF Holdings Corp. (JF Acquisition, LLC)</w:t>
            </w:r>
          </w:p>
        </w:tc>
        <w:tc>
          <w:tcPr>
            <w:tcW w:w="106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99"/>
              </w:rPr>
              <w:t>—</w:t>
            </w: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Distribution</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1,850</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1,850,294</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1,845,784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40" w:type="dxa"/>
            <w:vAlign w:val="bottom"/>
            <w:gridSpan w:val="2"/>
          </w:tcPr>
          <w:p>
            <w:pPr>
              <w:spacing w:after="0" w:line="130" w:lineRule="exact"/>
              <w:rPr>
                <w:sz w:val="20"/>
                <w:szCs w:val="20"/>
                <w:color w:val="auto"/>
              </w:rPr>
            </w:pPr>
            <w:r>
              <w:rPr>
                <w:rFonts w:ascii="Arial" w:cs="Arial" w:eastAsia="Arial" w:hAnsi="Arial"/>
                <w:sz w:val="14"/>
                <w:szCs w:val="14"/>
                <w:color w:val="auto"/>
              </w:rPr>
              <w:t>MidOcean PPL Holdings, Corp. (Pre-Paid Legal Services,</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jc w:val="center"/>
              <w:spacing w:after="0" w:line="130" w:lineRule="exact"/>
              <w:rPr>
                <w:sz w:val="20"/>
                <w:szCs w:val="20"/>
                <w:color w:val="auto"/>
              </w:rPr>
            </w:pPr>
            <w:r>
              <w:rPr>
                <w:rFonts w:ascii="Arial" w:cs="Arial" w:eastAsia="Arial" w:hAnsi="Arial"/>
                <w:sz w:val="14"/>
                <w:szCs w:val="14"/>
                <w:color w:val="auto"/>
                <w:w w:val="89"/>
              </w:rPr>
              <w:t>Personal, Food and</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Inc.)</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2"/>
              </w:rPr>
              <w:t>Miscellaneous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Services</w:t>
            </w:r>
          </w:p>
        </w:tc>
        <w:tc>
          <w:tcPr>
            <w:tcW w:w="200" w:type="dxa"/>
            <w:vAlign w:val="bottom"/>
          </w:tcPr>
          <w:p>
            <w:pPr>
              <w:spacing w:after="0"/>
              <w:rPr>
                <w:sz w:val="14"/>
                <w:szCs w:val="14"/>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3,000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14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5,441,976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Paradigm Acquisition Corp.</w:t>
            </w: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Healthcare, Education</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right="400"/>
              <w:spacing w:after="0"/>
              <w:rPr>
                <w:sz w:val="20"/>
                <w:szCs w:val="20"/>
                <w:color w:val="auto"/>
              </w:rPr>
            </w:pPr>
            <w:r>
              <w:rPr>
                <w:rFonts w:ascii="Arial" w:cs="Arial" w:eastAsia="Arial" w:hAnsi="Arial"/>
                <w:sz w:val="14"/>
                <w:szCs w:val="14"/>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and Childcare</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3,720,481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QMG HoldCo, LLC, Class A (Questex Media Group, LLC)</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6"/>
              </w:rPr>
              <w:t>Other Media</w:t>
            </w:r>
          </w:p>
        </w:tc>
        <w:tc>
          <w:tcPr>
            <w:tcW w:w="200" w:type="dxa"/>
            <w:vAlign w:val="bottom"/>
          </w:tcPr>
          <w:p>
            <w:pPr>
              <w:spacing w:after="0"/>
              <w:rPr>
                <w:sz w:val="12"/>
                <w:szCs w:val="12"/>
                <w:color w:val="auto"/>
              </w:rPr>
            </w:pPr>
          </w:p>
        </w:tc>
        <w:tc>
          <w:tcPr>
            <w:tcW w:w="10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4,325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1,306,167</w:t>
            </w:r>
          </w:p>
        </w:tc>
        <w:tc>
          <w:tcPr>
            <w:tcW w:w="140" w:type="dxa"/>
            <w:vAlign w:val="bottom"/>
          </w:tcPr>
          <w:p>
            <w:pPr>
              <w:spacing w:after="0"/>
              <w:rPr>
                <w:sz w:val="12"/>
                <w:szCs w:val="12"/>
                <w:color w:val="auto"/>
              </w:rPr>
            </w:pP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2,073,419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QMG HoldCo, LLC, Class B (Questex Media Group, LLC)</w:t>
            </w:r>
          </w:p>
        </w:tc>
        <w:tc>
          <w:tcPr>
            <w:tcW w:w="106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99"/>
              </w:rPr>
              <w:t>—</w:t>
            </w: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Other Media</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531</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254,563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40" w:type="dxa"/>
            <w:vAlign w:val="bottom"/>
            <w:gridSpan w:val="2"/>
          </w:tcPr>
          <w:p>
            <w:pPr>
              <w:spacing w:after="0" w:line="130" w:lineRule="exact"/>
              <w:rPr>
                <w:sz w:val="20"/>
                <w:szCs w:val="20"/>
                <w:color w:val="auto"/>
              </w:rPr>
            </w:pPr>
            <w:r>
              <w:rPr>
                <w:rFonts w:ascii="Arial" w:cs="Arial" w:eastAsia="Arial" w:hAnsi="Arial"/>
                <w:sz w:val="14"/>
                <w:szCs w:val="14"/>
                <w:color w:val="auto"/>
              </w:rPr>
              <w:t>SPG Boyd Holdings Corp. (LTI Flexible Products, Inc.)</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jc w:val="center"/>
              <w:spacing w:after="0" w:line="130" w:lineRule="exact"/>
              <w:rPr>
                <w:sz w:val="20"/>
                <w:szCs w:val="20"/>
                <w:color w:val="auto"/>
              </w:rPr>
            </w:pPr>
            <w:r>
              <w:rPr>
                <w:rFonts w:ascii="Arial" w:cs="Arial" w:eastAsia="Arial" w:hAnsi="Arial"/>
                <w:sz w:val="14"/>
                <w:szCs w:val="14"/>
                <w:color w:val="auto"/>
                <w:w w:val="93"/>
              </w:rPr>
              <w:t>Chemical, Plastic and</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1"/>
              </w:rPr>
              <w:t>Rubber</w:t>
            </w:r>
          </w:p>
        </w:tc>
        <w:tc>
          <w:tcPr>
            <w:tcW w:w="200" w:type="dxa"/>
            <w:vAlign w:val="bottom"/>
          </w:tcPr>
          <w:p>
            <w:pPr>
              <w:spacing w:after="0"/>
              <w:rPr>
                <w:sz w:val="14"/>
                <w:szCs w:val="14"/>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300,000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14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5,571,120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6"/>
              </w:rPr>
              <w:t>12/29/2019</w:t>
            </w: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Business Services</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3,500</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29,400</w:t>
            </w: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606,681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40" w:type="dxa"/>
            <w:vAlign w:val="bottom"/>
            <w:gridSpan w:val="2"/>
          </w:tcPr>
          <w:p>
            <w:pPr>
              <w:spacing w:after="0" w:line="130" w:lineRule="exact"/>
              <w:rPr>
                <w:sz w:val="20"/>
                <w:szCs w:val="20"/>
                <w:color w:val="auto"/>
              </w:rPr>
            </w:pPr>
            <w:r>
              <w:rPr>
                <w:rFonts w:ascii="Arial" w:cs="Arial" w:eastAsia="Arial" w:hAnsi="Arial"/>
                <w:sz w:val="14"/>
                <w:szCs w:val="14"/>
                <w:color w:val="auto"/>
              </w:rPr>
              <w:t>Transportation 100 Holdco, L.L.C.</w:t>
            </w:r>
            <w:r>
              <w:rPr>
                <w:rFonts w:ascii="Arial" w:cs="Arial" w:eastAsia="Arial" w:hAnsi="Arial"/>
                <w:sz w:val="12"/>
                <w:szCs w:val="12"/>
                <w:color w:val="auto"/>
              </w:rPr>
              <w:t>(13)</w:t>
            </w:r>
            <w:r>
              <w:rPr>
                <w:rFonts w:ascii="Arial" w:cs="Arial" w:eastAsia="Arial" w:hAnsi="Arial"/>
                <w:sz w:val="14"/>
                <w:szCs w:val="14"/>
                <w:color w:val="auto"/>
              </w:rPr>
              <w:t xml:space="preserve"> (Intermediate</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40" w:type="dxa"/>
            <w:vAlign w:val="bottom"/>
            <w:gridSpan w:val="2"/>
          </w:tcPr>
          <w:p>
            <w:pPr>
              <w:ind w:left="140"/>
              <w:spacing w:after="0"/>
              <w:rPr>
                <w:sz w:val="20"/>
                <w:szCs w:val="20"/>
                <w:color w:val="auto"/>
              </w:rPr>
            </w:pPr>
            <w:r>
              <w:rPr>
                <w:rFonts w:ascii="Arial" w:cs="Arial" w:eastAsia="Arial" w:hAnsi="Arial"/>
                <w:sz w:val="14"/>
                <w:szCs w:val="14"/>
                <w:color w:val="auto"/>
              </w:rPr>
              <w:t>Transportation 100, L.L.C.)</w:t>
            </w: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2"/>
              </w:rPr>
              <w:t>Cargo Transport</w:t>
            </w:r>
          </w:p>
        </w:tc>
        <w:tc>
          <w:tcPr>
            <w:tcW w:w="200" w:type="dxa"/>
            <w:vAlign w:val="bottom"/>
          </w:tcPr>
          <w:p>
            <w:pPr>
              <w:spacing w:after="0"/>
              <w:rPr>
                <w:sz w:val="14"/>
                <w:szCs w:val="14"/>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137,923</w:t>
            </w: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auto"/>
              </w:rPr>
              <w:t>2,111,588</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379,453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w:t>
            </w:r>
          </w:p>
        </w:tc>
        <w:tc>
          <w:tcPr>
            <w:tcW w:w="106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99"/>
              </w:rPr>
              <w:t>—</w:t>
            </w: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Insurance</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9,567</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40" w:type="dxa"/>
            <w:vAlign w:val="bottom"/>
            <w:gridSpan w:val="2"/>
          </w:tcPr>
          <w:p>
            <w:pPr>
              <w:spacing w:after="0" w:line="130" w:lineRule="exact"/>
              <w:rPr>
                <w:sz w:val="20"/>
                <w:szCs w:val="20"/>
                <w:color w:val="auto"/>
              </w:rPr>
            </w:pPr>
            <w:r>
              <w:rPr>
                <w:rFonts w:ascii="Arial" w:cs="Arial" w:eastAsia="Arial" w:hAnsi="Arial"/>
                <w:sz w:val="14"/>
                <w:szCs w:val="14"/>
                <w:color w:val="auto"/>
              </w:rPr>
              <w:t>Vestcom Parent Holdings, Inc. (Vestcom International, Inc.)</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jc w:val="center"/>
              <w:spacing w:after="0" w:line="130" w:lineRule="exact"/>
              <w:rPr>
                <w:sz w:val="20"/>
                <w:szCs w:val="20"/>
                <w:color w:val="auto"/>
              </w:rPr>
            </w:pPr>
            <w:r>
              <w:rPr>
                <w:rFonts w:ascii="Arial" w:cs="Arial" w:eastAsia="Arial" w:hAnsi="Arial"/>
                <w:sz w:val="14"/>
                <w:szCs w:val="14"/>
                <w:color w:val="auto"/>
                <w:w w:val="93"/>
              </w:rPr>
              <w:t>Printing and</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5"/>
              </w:rPr>
              <w:t>Publishing</w:t>
            </w:r>
          </w:p>
        </w:tc>
        <w:tc>
          <w:tcPr>
            <w:tcW w:w="200" w:type="dxa"/>
            <w:vAlign w:val="bottom"/>
          </w:tcPr>
          <w:p>
            <w:pPr>
              <w:spacing w:after="0"/>
              <w:rPr>
                <w:sz w:val="14"/>
                <w:szCs w:val="14"/>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211,797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2,325,555</w:t>
            </w:r>
          </w:p>
        </w:tc>
        <w:tc>
          <w:tcPr>
            <w:tcW w:w="14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2,626,512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VRide Holdings Inc.</w:t>
            </w: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0"/>
              </w:rPr>
              <w:t>Personal</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right="400"/>
              <w:spacing w:after="0"/>
              <w:rPr>
                <w:sz w:val="20"/>
                <w:szCs w:val="20"/>
                <w:color w:val="auto"/>
              </w:rPr>
            </w:pPr>
            <w:r>
              <w:rPr>
                <w:rFonts w:ascii="Arial" w:cs="Arial" w:eastAsia="Arial" w:hAnsi="Arial"/>
                <w:sz w:val="14"/>
                <w:szCs w:val="14"/>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Transportation</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9,166</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9,166</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VText Holdings, Inc.</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9"/>
              </w:rPr>
              <w:t>Business Services</w:t>
            </w:r>
          </w:p>
        </w:tc>
        <w:tc>
          <w:tcPr>
            <w:tcW w:w="200" w:type="dxa"/>
            <w:vAlign w:val="bottom"/>
          </w:tcPr>
          <w:p>
            <w:pPr>
              <w:spacing w:after="0"/>
              <w:rPr>
                <w:sz w:val="13"/>
                <w:szCs w:val="13"/>
                <w:color w:val="auto"/>
              </w:rPr>
            </w:pPr>
          </w:p>
        </w:tc>
        <w:tc>
          <w:tcPr>
            <w:tcW w:w="10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35,526</w:t>
            </w:r>
          </w:p>
        </w:tc>
        <w:tc>
          <w:tcPr>
            <w:tcW w:w="14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4,050,000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5,966,074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37,557,162</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70,472,831</w:t>
            </w:r>
          </w:p>
        </w:tc>
        <w:tc>
          <w:tcPr>
            <w:tcW w:w="0" w:type="dxa"/>
            <w:vAlign w:val="bottom"/>
          </w:tcPr>
          <w:p>
            <w:pPr>
              <w:spacing w:after="0"/>
              <w:rPr>
                <w:sz w:val="1"/>
                <w:szCs w:val="1"/>
                <w:color w:val="auto"/>
              </w:rPr>
            </w:pPr>
          </w:p>
        </w:tc>
      </w:tr>
      <w:tr>
        <w:trPr>
          <w:trHeight w:val="163"/>
        </w:trPr>
        <w:tc>
          <w:tcPr>
            <w:tcW w:w="492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Total Investments in Non-Controlled, Non-Affiliated Portfolio Companies</w:t>
            </w: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928,078,589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968,471,042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7"/>
              </w:rPr>
              <w:t>Investments in Non-Controlled, Affiliated Portfolio Companies—11.0%</w:t>
            </w:r>
            <w:r>
              <w:rPr>
                <w:rFonts w:ascii="Arial" w:cs="Arial" w:eastAsia="Arial" w:hAnsi="Arial"/>
                <w:sz w:val="12"/>
                <w:szCs w:val="12"/>
                <w:b w:val="1"/>
                <w:bCs w:val="1"/>
                <w:color w:val="auto"/>
                <w:w w:val="97"/>
              </w:rPr>
              <w:t>(1),(2)</w:t>
            </w: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Notes—5.7%</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DirectBuy Holdings, Inc.</w:t>
            </w: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ind w:left="480"/>
              <w:spacing w:after="0" w:line="130" w:lineRule="exact"/>
              <w:rPr>
                <w:sz w:val="20"/>
                <w:szCs w:val="20"/>
                <w:color w:val="auto"/>
              </w:rPr>
            </w:pPr>
            <w:r>
              <w:rPr>
                <w:rFonts w:ascii="Arial" w:cs="Arial" w:eastAsia="Arial" w:hAnsi="Arial"/>
                <w:sz w:val="14"/>
                <w:szCs w:val="14"/>
                <w:color w:val="auto"/>
              </w:rPr>
              <w:t>12.00%</w:t>
            </w: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96"/>
              </w:rPr>
              <w:t>11/05/2019</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Consumer Products</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(PIK 12.00)%</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6"/>
              </w:rPr>
              <w:t>11,428,224</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  11,428,224</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  11,428,224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Service Champ, Inc.</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6"/>
              </w:rPr>
              <w:t>10/02/2017</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5"/>
              </w:rPr>
              <w:t>Auto Sector</w:t>
            </w:r>
          </w:p>
        </w:tc>
        <w:tc>
          <w:tcPr>
            <w:tcW w:w="128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12.50%</w:t>
            </w: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6"/>
              </w:rPr>
              <w:t>28,000,000</w:t>
            </w:r>
          </w:p>
        </w:tc>
        <w:tc>
          <w:tcPr>
            <w:tcW w:w="14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27,474,713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28,248,043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38,902,937</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39,676,267</w:t>
            </w:r>
          </w:p>
        </w:tc>
        <w:tc>
          <w:tcPr>
            <w:tcW w:w="0" w:type="dxa"/>
            <w:vAlign w:val="bottom"/>
          </w:tcPr>
          <w:p>
            <w:pPr>
              <w:spacing w:after="0"/>
              <w:rPr>
                <w:sz w:val="1"/>
                <w:szCs w:val="1"/>
                <w:color w:val="auto"/>
              </w:rPr>
            </w:pPr>
          </w:p>
        </w:tc>
      </w:tr>
      <w:tr>
        <w:trPr>
          <w:trHeight w:val="156"/>
        </w:trPr>
        <w:tc>
          <w:tcPr>
            <w:tcW w:w="3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Preferred Equity – 0.2%</w:t>
            </w:r>
            <w:r>
              <w:rPr>
                <w:rFonts w:ascii="Arial" w:cs="Arial" w:eastAsia="Arial" w:hAnsi="Arial"/>
                <w:sz w:val="12"/>
                <w:szCs w:val="12"/>
                <w:b w:val="1"/>
                <w:bCs w:val="1"/>
                <w:color w:val="auto"/>
              </w:rPr>
              <w:t>(6)</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PAS International Holdings, Inc.</w:t>
            </w: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Aerospace and</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right="400"/>
              <w:spacing w:after="0"/>
              <w:rPr>
                <w:sz w:val="20"/>
                <w:szCs w:val="20"/>
                <w:color w:val="auto"/>
              </w:rPr>
            </w:pPr>
            <w:r>
              <w:rPr>
                <w:rFonts w:ascii="Arial" w:cs="Arial" w:eastAsia="Arial" w:hAnsi="Arial"/>
                <w:sz w:val="14"/>
                <w:szCs w:val="14"/>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Defense</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53,071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20,059,340</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1,694,296</w:t>
            </w:r>
          </w:p>
        </w:tc>
        <w:tc>
          <w:tcPr>
            <w:tcW w:w="0" w:type="dxa"/>
            <w:vAlign w:val="bottom"/>
          </w:tcPr>
          <w:p>
            <w:pPr>
              <w:spacing w:after="0"/>
              <w:rPr>
                <w:sz w:val="1"/>
                <w:szCs w:val="1"/>
                <w:color w:val="auto"/>
              </w:rPr>
            </w:pPr>
          </w:p>
        </w:tc>
      </w:tr>
      <w:tr>
        <w:trPr>
          <w:trHeight w:val="156"/>
        </w:trPr>
        <w:tc>
          <w:tcPr>
            <w:tcW w:w="3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Common Equity/Partnership Interest—5.1%</w:t>
            </w:r>
            <w:r>
              <w:rPr>
                <w:rFonts w:ascii="Arial" w:cs="Arial" w:eastAsia="Arial" w:hAnsi="Arial"/>
                <w:sz w:val="12"/>
                <w:szCs w:val="12"/>
                <w:b w:val="1"/>
                <w:bCs w:val="1"/>
                <w:color w:val="auto"/>
              </w:rPr>
              <w:t>(6)</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DirectBuy Holdings, Inc.</w:t>
            </w:r>
          </w:p>
        </w:tc>
        <w:tc>
          <w:tcPr>
            <w:tcW w:w="106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99"/>
              </w:rPr>
              <w:t>—</w:t>
            </w: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Consumer Products</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104,719</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21,492,822</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5,556,207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DirectBuy Holdings, Inc. (Warrants)</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6"/>
              </w:rPr>
              <w:t>11/05/2022</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2"/>
              </w:rPr>
              <w:t>Consumer Products</w:t>
            </w:r>
          </w:p>
        </w:tc>
        <w:tc>
          <w:tcPr>
            <w:tcW w:w="200" w:type="dxa"/>
            <w:vAlign w:val="bottom"/>
          </w:tcPr>
          <w:p>
            <w:pPr>
              <w:spacing w:after="0"/>
              <w:rPr>
                <w:sz w:val="12"/>
                <w:szCs w:val="12"/>
                <w:color w:val="auto"/>
              </w:rPr>
            </w:pPr>
          </w:p>
        </w:tc>
        <w:tc>
          <w:tcPr>
            <w:tcW w:w="10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15,486</w:t>
            </w:r>
          </w:p>
        </w:tc>
        <w:tc>
          <w:tcPr>
            <w:tcW w:w="14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821,505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EnviroSolutions Holdings, Inc.</w:t>
            </w: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Environmental</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right="400"/>
              <w:spacing w:after="0"/>
              <w:rPr>
                <w:sz w:val="20"/>
                <w:szCs w:val="20"/>
                <w:color w:val="auto"/>
              </w:rPr>
            </w:pPr>
            <w:r>
              <w:rPr>
                <w:rFonts w:ascii="Arial" w:cs="Arial" w:eastAsia="Arial" w:hAnsi="Arial"/>
                <w:sz w:val="14"/>
                <w:szCs w:val="14"/>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Services</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142,684</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11,891,822</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21,265,345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40" w:type="dxa"/>
            <w:vAlign w:val="bottom"/>
            <w:gridSpan w:val="2"/>
          </w:tcPr>
          <w:p>
            <w:pPr>
              <w:spacing w:after="0" w:line="130" w:lineRule="exact"/>
              <w:rPr>
                <w:sz w:val="20"/>
                <w:szCs w:val="20"/>
                <w:color w:val="auto"/>
              </w:rPr>
            </w:pPr>
            <w:r>
              <w:rPr>
                <w:rFonts w:ascii="Arial" w:cs="Arial" w:eastAsia="Arial" w:hAnsi="Arial"/>
                <w:sz w:val="14"/>
                <w:szCs w:val="14"/>
                <w:color w:val="auto"/>
              </w:rPr>
              <w:t>NCP-Performance, L.P.</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jc w:val="center"/>
              <w:spacing w:after="0" w:line="130" w:lineRule="exact"/>
              <w:rPr>
                <w:sz w:val="20"/>
                <w:szCs w:val="20"/>
                <w:color w:val="auto"/>
              </w:rPr>
            </w:pPr>
            <w:r>
              <w:rPr>
                <w:rFonts w:ascii="Arial" w:cs="Arial" w:eastAsia="Arial" w:hAnsi="Arial"/>
                <w:sz w:val="14"/>
                <w:szCs w:val="14"/>
                <w:color w:val="auto"/>
                <w:w w:val="92"/>
              </w:rPr>
              <w:t>Leisure, Amusement,</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5"/>
              </w:rPr>
              <w:t>Motion Pictures and</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4"/>
              </w:rPr>
              <w:t>Entertainment</w:t>
            </w:r>
          </w:p>
        </w:tc>
        <w:tc>
          <w:tcPr>
            <w:tcW w:w="200" w:type="dxa"/>
            <w:vAlign w:val="bottom"/>
          </w:tcPr>
          <w:p>
            <w:pPr>
              <w:spacing w:after="0"/>
              <w:rPr>
                <w:sz w:val="14"/>
                <w:szCs w:val="14"/>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375,000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3,750,000</w:t>
            </w:r>
          </w:p>
        </w:tc>
        <w:tc>
          <w:tcPr>
            <w:tcW w:w="14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2,500,165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Service Champ Holdings, Inc. (Service Champ, Inc.)</w:t>
            </w:r>
          </w:p>
        </w:tc>
        <w:tc>
          <w:tcPr>
            <w:tcW w:w="106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99"/>
              </w:rPr>
              <w:t>—</w:t>
            </w:r>
          </w:p>
        </w:tc>
        <w:tc>
          <w:tcPr>
            <w:tcW w:w="12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Auto Sector</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16,800</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2,721,600</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5,222,015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40" w:type="dxa"/>
            <w:vAlign w:val="bottom"/>
            <w:gridSpan w:val="2"/>
          </w:tcPr>
          <w:p>
            <w:pPr>
              <w:spacing w:after="0" w:line="130" w:lineRule="exact"/>
              <w:rPr>
                <w:sz w:val="20"/>
                <w:szCs w:val="20"/>
                <w:color w:val="auto"/>
              </w:rPr>
            </w:pPr>
            <w:r>
              <w:rPr>
                <w:rFonts w:ascii="Arial" w:cs="Arial" w:eastAsia="Arial" w:hAnsi="Arial"/>
                <w:sz w:val="14"/>
                <w:szCs w:val="14"/>
                <w:color w:val="auto"/>
              </w:rPr>
              <w:t>PAS International Holdings, Inc.</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jc w:val="center"/>
              <w:spacing w:after="0" w:line="130" w:lineRule="exact"/>
              <w:rPr>
                <w:sz w:val="20"/>
                <w:szCs w:val="20"/>
                <w:color w:val="auto"/>
              </w:rPr>
            </w:pPr>
            <w:r>
              <w:rPr>
                <w:rFonts w:ascii="Arial" w:cs="Arial" w:eastAsia="Arial" w:hAnsi="Arial"/>
                <w:sz w:val="14"/>
                <w:szCs w:val="14"/>
                <w:color w:val="auto"/>
                <w:w w:val="91"/>
              </w:rPr>
              <w:t>Aerospace and</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88"/>
              </w:rPr>
              <w:t>Defense</w:t>
            </w:r>
          </w:p>
        </w:tc>
        <w:tc>
          <w:tcPr>
            <w:tcW w:w="200" w:type="dxa"/>
            <w:vAlign w:val="bottom"/>
          </w:tcPr>
          <w:p>
            <w:pPr>
              <w:spacing w:after="0"/>
              <w:rPr>
                <w:sz w:val="15"/>
                <w:szCs w:val="15"/>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53,071</w:t>
            </w: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202,620</w:t>
            </w:r>
          </w:p>
        </w:tc>
        <w:tc>
          <w:tcPr>
            <w:tcW w:w="140" w:type="dxa"/>
            <w:vAlign w:val="bottom"/>
          </w:tcPr>
          <w:p>
            <w:pPr>
              <w:spacing w:after="0"/>
              <w:rPr>
                <w:sz w:val="15"/>
                <w:szCs w:val="15"/>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40,058,864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35,365,237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Total Investments in Non-Controlled, Affiliated Portfolio Companies</w:t>
            </w: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4920" w:type="dxa"/>
            <w:vAlign w:val="bottom"/>
            <w:gridSpan w:val="5"/>
            <w:vMerge w:val="continue"/>
          </w:tcPr>
          <w:p>
            <w:pPr>
              <w:spacing w:after="0"/>
              <w:rPr>
                <w:sz w:val="6"/>
                <w:szCs w:val="6"/>
                <w:color w:val="auto"/>
              </w:rPr>
            </w:pPr>
          </w:p>
        </w:tc>
        <w:tc>
          <w:tcPr>
            <w:tcW w:w="1280" w:type="dxa"/>
            <w:vAlign w:val="bottom"/>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vMerge w:val="restart"/>
            <w:shd w:val="clear" w:color="auto" w:fill="CCEEFF"/>
          </w:tcPr>
          <w:p>
            <w:pPr>
              <w:spacing w:after="0"/>
              <w:rPr>
                <w:sz w:val="6"/>
                <w:szCs w:val="6"/>
                <w:color w:val="auto"/>
              </w:rPr>
            </w:pPr>
          </w:p>
        </w:tc>
        <w:tc>
          <w:tcPr>
            <w:tcW w:w="800" w:type="dxa"/>
            <w:vAlign w:val="bottom"/>
            <w:vMerge w:val="restart"/>
            <w:shd w:val="clear" w:color="auto" w:fill="CCEEFF"/>
          </w:tcPr>
          <w:p>
            <w:pPr>
              <w:jc w:val="right"/>
              <w:spacing w:after="0" w:line="142" w:lineRule="exact"/>
              <w:rPr>
                <w:sz w:val="20"/>
                <w:szCs w:val="20"/>
                <w:color w:val="auto"/>
              </w:rPr>
            </w:pPr>
            <w:r>
              <w:rPr>
                <w:rFonts w:ascii="Arial" w:cs="Arial" w:eastAsia="Arial" w:hAnsi="Arial"/>
                <w:sz w:val="14"/>
                <w:szCs w:val="14"/>
                <w:color w:val="auto"/>
              </w:rPr>
              <w:t>99,021,141</w:t>
            </w:r>
          </w:p>
        </w:tc>
        <w:tc>
          <w:tcPr>
            <w:tcW w:w="140" w:type="dxa"/>
            <w:vAlign w:val="bottom"/>
            <w:shd w:val="clear" w:color="auto" w:fill="CCEEFF"/>
          </w:tcPr>
          <w:p>
            <w:pPr>
              <w:spacing w:after="0"/>
              <w:rPr>
                <w:sz w:val="6"/>
                <w:szCs w:val="6"/>
                <w:color w:val="auto"/>
              </w:rPr>
            </w:pPr>
          </w:p>
        </w:tc>
        <w:tc>
          <w:tcPr>
            <w:tcW w:w="140" w:type="dxa"/>
            <w:vAlign w:val="bottom"/>
            <w:vMerge w:val="restart"/>
            <w:shd w:val="clear" w:color="auto" w:fill="CCEEFF"/>
          </w:tcPr>
          <w:p>
            <w:pPr>
              <w:spacing w:after="0"/>
              <w:rPr>
                <w:sz w:val="6"/>
                <w:szCs w:val="6"/>
                <w:color w:val="auto"/>
              </w:rPr>
            </w:pPr>
          </w:p>
        </w:tc>
        <w:tc>
          <w:tcPr>
            <w:tcW w:w="820" w:type="dxa"/>
            <w:vAlign w:val="bottom"/>
            <w:vMerge w:val="restart"/>
            <w:shd w:val="clear" w:color="auto" w:fill="CCEEFF"/>
          </w:tcPr>
          <w:p>
            <w:pPr>
              <w:jc w:val="right"/>
              <w:spacing w:after="0" w:line="142" w:lineRule="exact"/>
              <w:rPr>
                <w:sz w:val="20"/>
                <w:szCs w:val="20"/>
                <w:color w:val="auto"/>
              </w:rPr>
            </w:pPr>
            <w:r>
              <w:rPr>
                <w:rFonts w:ascii="Arial" w:cs="Arial" w:eastAsia="Arial" w:hAnsi="Arial"/>
                <w:sz w:val="14"/>
                <w:szCs w:val="14"/>
                <w:color w:val="auto"/>
              </w:rPr>
              <w:t>76,735,800</w:t>
            </w:r>
          </w:p>
        </w:tc>
        <w:tc>
          <w:tcPr>
            <w:tcW w:w="80" w:type="dxa"/>
            <w:vAlign w:val="bottom"/>
            <w:vMerge w:val="restart"/>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Basis Point</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Current</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Spread</w:t>
            </w:r>
          </w:p>
        </w:tc>
        <w:tc>
          <w:tcPr>
            <w:tcW w:w="9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Par /</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Maturity</w:t>
            </w: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Industry</w:t>
            </w:r>
          </w:p>
        </w:tc>
        <w:tc>
          <w:tcPr>
            <w:tcW w:w="1200" w:type="dxa"/>
            <w:vAlign w:val="bottom"/>
            <w:gridSpan w:val="2"/>
            <w:vMerge w:val="continue"/>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Above</w:t>
            </w:r>
          </w:p>
        </w:tc>
        <w:tc>
          <w:tcPr>
            <w:tcW w:w="96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10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760" w:type="dxa"/>
            <w:vAlign w:val="bottom"/>
            <w:gridSpan w:val="3"/>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Coupon</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Index</w:t>
            </w:r>
            <w:r>
              <w:rPr>
                <w:rFonts w:ascii="Arial" w:cs="Arial" w:eastAsia="Arial" w:hAnsi="Arial"/>
                <w:sz w:val="12"/>
                <w:szCs w:val="12"/>
                <w:b w:val="1"/>
                <w:bCs w:val="1"/>
                <w:color w:val="auto"/>
                <w:w w:val="97"/>
              </w:rPr>
              <w:t>(4)</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w:t>
            </w:r>
          </w:p>
        </w:tc>
        <w:tc>
          <w:tcPr>
            <w:tcW w:w="29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6"/>
              </w:rPr>
              <w:t>in Controlled, Affiliated Portfolio Companies—4.7%</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(1), (2)</w:t>
            </w:r>
          </w:p>
        </w:tc>
        <w:tc>
          <w:tcPr>
            <w:tcW w:w="36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Debt—1.6%</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6"/>
              </w:rPr>
              <w:t>06/30/2020</w:t>
            </w:r>
          </w:p>
        </w:tc>
        <w:tc>
          <w:tcPr>
            <w:tcW w:w="1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Business Services</w:t>
            </w:r>
          </w:p>
        </w:tc>
        <w:tc>
          <w:tcPr>
            <w:tcW w:w="12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9,250,000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9,250,000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9,556,385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Universal Pegasus International, LLC</w:t>
            </w:r>
            <w:r>
              <w:rPr>
                <w:rFonts w:ascii="Arial" w:cs="Arial" w:eastAsia="Arial" w:hAnsi="Arial"/>
                <w:sz w:val="12"/>
                <w:szCs w:val="12"/>
                <w:color w:val="auto"/>
              </w:rPr>
              <w:t>(9)</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6"/>
              </w:rPr>
              <w:t>12/31/2015</w:t>
            </w: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Oil and Gas</w:t>
            </w: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1,916,667</w:t>
            </w: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1,787,941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1,916,667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11,037,941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11,473,052</w:t>
            </w:r>
          </w:p>
        </w:tc>
        <w:tc>
          <w:tcPr>
            <w:tcW w:w="0" w:type="dxa"/>
            <w:vAlign w:val="bottom"/>
          </w:tcPr>
          <w:p>
            <w:pPr>
              <w:spacing w:after="0"/>
              <w:rPr>
                <w:sz w:val="1"/>
                <w:szCs w:val="1"/>
                <w:color w:val="auto"/>
              </w:rPr>
            </w:pPr>
          </w:p>
        </w:tc>
      </w:tr>
      <w:tr>
        <w:trPr>
          <w:trHeight w:val="156"/>
        </w:trPr>
        <w:tc>
          <w:tcPr>
            <w:tcW w:w="3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Debt—2.4%</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Universal Pegasus International, LLC</w:t>
            </w: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400"/>
              <w:spacing w:after="0" w:line="130" w:lineRule="exact"/>
              <w:rPr>
                <w:sz w:val="20"/>
                <w:szCs w:val="20"/>
                <w:color w:val="auto"/>
              </w:rPr>
            </w:pPr>
            <w:r>
              <w:rPr>
                <w:rFonts w:ascii="Arial" w:cs="Arial" w:eastAsia="Arial" w:hAnsi="Arial"/>
                <w:sz w:val="14"/>
                <w:szCs w:val="14"/>
                <w:color w:val="auto"/>
              </w:rPr>
              <w:t>15.00%</w:t>
            </w: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96"/>
              </w:rPr>
              <w:t>12/31/2015</w:t>
            </w:r>
          </w:p>
        </w:tc>
        <w:tc>
          <w:tcPr>
            <w:tcW w:w="12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1"/>
              </w:rPr>
              <w:t>Oil and Gas</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(PIK 15.00)%</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4"/>
              </w:rPr>
              <w:t>16,615,645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14,709,502</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16,449,489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Notes—0.3%</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10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6"/>
              </w:rPr>
              <w:t>06/30/2020</w:t>
            </w:r>
          </w:p>
        </w:tc>
        <w:tc>
          <w:tcPr>
            <w:tcW w:w="1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Business Services</w:t>
            </w:r>
          </w:p>
        </w:tc>
        <w:tc>
          <w:tcPr>
            <w:tcW w:w="12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2,250,000</w:t>
            </w: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2,250,000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1,961,667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Preferred Equity—0.4%</w:t>
            </w:r>
            <w:r>
              <w:rPr>
                <w:rFonts w:ascii="Arial" w:cs="Arial" w:eastAsia="Arial" w:hAnsi="Arial"/>
                <w:sz w:val="12"/>
                <w:szCs w:val="12"/>
                <w:b w:val="1"/>
                <w:bCs w:val="1"/>
                <w:color w:val="auto"/>
              </w:rPr>
              <w:t>(6)</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Business Services</w:t>
            </w:r>
          </w:p>
        </w:tc>
        <w:tc>
          <w:tcPr>
            <w:tcW w:w="12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14.00%</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1,981,948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Universal Pegasus International Holdings, Inc. (Universal</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40" w:type="dxa"/>
            <w:vAlign w:val="bottom"/>
            <w:gridSpan w:val="2"/>
          </w:tcPr>
          <w:p>
            <w:pPr>
              <w:ind w:left="140"/>
              <w:spacing w:after="0"/>
              <w:rPr>
                <w:sz w:val="20"/>
                <w:szCs w:val="20"/>
                <w:color w:val="auto"/>
              </w:rPr>
            </w:pPr>
            <w:r>
              <w:rPr>
                <w:rFonts w:ascii="Arial" w:cs="Arial" w:eastAsia="Arial" w:hAnsi="Arial"/>
                <w:sz w:val="14"/>
                <w:szCs w:val="14"/>
                <w:color w:val="auto"/>
              </w:rPr>
              <w:t>Pegasus International, LLC)</w:t>
            </w:r>
          </w:p>
        </w:tc>
        <w:tc>
          <w:tcPr>
            <w:tcW w:w="10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Oil and Gas</w:t>
            </w:r>
          </w:p>
        </w:tc>
        <w:tc>
          <w:tcPr>
            <w:tcW w:w="1200" w:type="dxa"/>
            <w:vAlign w:val="bottom"/>
            <w:gridSpan w:val="2"/>
          </w:tcPr>
          <w:p>
            <w:pPr>
              <w:jc w:val="right"/>
              <w:ind w:right="400"/>
              <w:spacing w:after="0"/>
              <w:rPr>
                <w:sz w:val="20"/>
                <w:szCs w:val="20"/>
                <w:color w:val="auto"/>
              </w:rPr>
            </w:pPr>
            <w:r>
              <w:rPr>
                <w:rFonts w:ascii="Arial" w:cs="Arial" w:eastAsia="Arial" w:hAnsi="Arial"/>
                <w:sz w:val="14"/>
                <w:szCs w:val="14"/>
                <w:color w:val="auto"/>
              </w:rPr>
              <w:t>8.00%</w:t>
            </w:r>
          </w:p>
        </w:tc>
        <w:tc>
          <w:tcPr>
            <w:tcW w:w="9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376,988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34,420,612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1,102,555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36,420,612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3,084,503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Common Equity—0.0</w:t>
            </w:r>
            <w:r>
              <w:rPr>
                <w:rFonts w:ascii="Arial" w:cs="Arial" w:eastAsia="Arial" w:hAnsi="Arial"/>
                <w:sz w:val="14"/>
                <w:szCs w:val="14"/>
                <w:color w:val="auto"/>
              </w:rPr>
              <w:t>%</w:t>
            </w:r>
            <w:r>
              <w:rPr>
                <w:rFonts w:ascii="Arial" w:cs="Arial" w:eastAsia="Arial" w:hAnsi="Arial"/>
                <w:sz w:val="12"/>
                <w:szCs w:val="12"/>
                <w:color w:val="auto"/>
              </w:rPr>
              <w:t>(6)</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Business Services</w:t>
            </w: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82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Total Investments in Controlled, Affiliated Portfolio Companies</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64,418,155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32,968,711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Investments—154.6%</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1,091,517,885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1,078,175,553</w:t>
            </w:r>
          </w:p>
        </w:tc>
        <w:tc>
          <w:tcPr>
            <w:tcW w:w="0" w:type="dxa"/>
            <w:vAlign w:val="bottom"/>
          </w:tcPr>
          <w:p>
            <w:pPr>
              <w:spacing w:after="0"/>
              <w:rPr>
                <w:sz w:val="1"/>
                <w:szCs w:val="1"/>
                <w:color w:val="auto"/>
              </w:rPr>
            </w:pPr>
          </w:p>
        </w:tc>
      </w:tr>
      <w:tr>
        <w:trPr>
          <w:trHeight w:val="156"/>
        </w:trPr>
        <w:tc>
          <w:tcPr>
            <w:tcW w:w="3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and Cash Equivalents—8.4%</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2,667,511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2,667,511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BlackRock Liquidity Funds, Temp Cash, Institutional Shares</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2,446,232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2,446,232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BNY Mellon Cash Reserve</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53,327,086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53,327,086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 Cash Equivalents</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58,440,829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58,440,829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Equivalents—163.0%</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8"/>
              </w:rPr>
              <w:t>$ 1,149,958,714</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1,136,616,382</w:t>
            </w:r>
          </w:p>
        </w:tc>
        <w:tc>
          <w:tcPr>
            <w:tcW w:w="0" w:type="dxa"/>
            <w:vAlign w:val="bottom"/>
          </w:tcPr>
          <w:p>
            <w:pPr>
              <w:spacing w:after="0"/>
              <w:rPr>
                <w:sz w:val="1"/>
                <w:szCs w:val="1"/>
                <w:color w:val="auto"/>
              </w:rPr>
            </w:pPr>
          </w:p>
        </w:tc>
      </w:tr>
      <w:tr>
        <w:trPr>
          <w:trHeight w:val="20"/>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Assets—(63.0%)</w:t>
            </w: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6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w w:val="94"/>
              </w:rPr>
              <w:t>(439,110,183)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697,506,199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20" w:hanging="332"/>
        <w:spacing w:after="0" w:line="248" w:lineRule="auto"/>
        <w:tabs>
          <w:tab w:leader="none" w:pos="3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0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or “P” rate.</w:t>
      </w:r>
    </w:p>
    <w:p>
      <w:pPr>
        <w:ind w:left="340" w:right="6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Coupon is payable in cash and/or PIK.</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investments). This security does not have a basis point spread above an index.</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U.S.</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Investment is held through PNNT CI (Galls) Prime Investment Holdings, LLC, a consolidated subsidiary.</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Investment is held through PNNT Acentia LLC, a consolidated subsidiary.</w:t>
      </w: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Investment is held through PNNT Transportation 100 Holdco, L.L.C., a consolidated subsidiary.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PennantPark Investment Corporation was organized as a Maryland corporation in January 2007. PennantPark Investment is a closed-end, externally managed, non-diversified investment company that has elected to be treated as a BDC. PennantPark Investment’s objective is to generate both current income and capital appreciation through debt and equity investments. We invest primarily in U.S. middle-market companies in the form of senior secured loans, mezzanine debt and, to a lesser extent, equity investments. On April 24, 2007, we closed our initial public offering and our common stock trades on the NASDAQ Global Select Market under the symbol “PNNT.” Our 2025 Notes trade on the New York Stock Exchange, or the NYSE, under the symbol “PNTA.”</w:t>
      </w:r>
    </w:p>
    <w:p>
      <w:pPr>
        <w:spacing w:after="0" w:line="193" w:lineRule="exact"/>
        <w:rPr>
          <w:sz w:val="20"/>
          <w:szCs w:val="20"/>
          <w:color w:val="auto"/>
        </w:rPr>
      </w:pPr>
    </w:p>
    <w:p>
      <w:pPr>
        <w:ind w:right="340" w:firstLine="456"/>
        <w:spacing w:after="0" w:line="273" w:lineRule="auto"/>
        <w:rPr>
          <w:sz w:val="20"/>
          <w:szCs w:val="20"/>
          <w:color w:val="auto"/>
        </w:rPr>
      </w:pPr>
      <w:r>
        <w:rPr>
          <w:rFonts w:ascii="Arial" w:cs="Arial" w:eastAsia="Arial" w:hAnsi="Arial"/>
          <w:sz w:val="17"/>
          <w:szCs w:val="17"/>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and our controlled affiliate SuttonPark Holdings, Inc. and its subsidiaries, or SPH, under separate administration agreements. See Note 3.</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small business investment companies, or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88"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or the Taxable Subsidiaries, which are taxed as corporations for federal income tax purposes. These Taxable Subsidiaries allow us to hold equity securities of certain portfolio companies organized as pass-through entities while continuing to satisfy the requirements of a RIC under the Code.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due to changes in the economic and regulatory environment, financial markets and any other parameters used in determining such estimates and assumptions. We reclassified certain prior period amounts to conform to the current period presentation. We have eliminated all intercompany 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6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10-K/Q and Article 6 or 10 of Regulation S-X, as appropriate. In accordance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00" w:right="274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Article 6-09 of Regulation S-X, we have provided a Consolidated Statement of Changes in Net Assets in lieu of a Consolidated Statement of Changes in Stockholders’ Equity.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8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900" w:right="14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right="580" w:hanging="446"/>
        <w:spacing w:after="0" w:line="279"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900" w:right="200" w:hanging="446"/>
        <w:spacing w:after="0" w:line="286"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900" w:right="34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by a principal market maker or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117"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our Credit Facility and our 2025 Notes during the reporting period, including any reversal of previously recorded unrealized appreciation or depreciation, when gains or losses are realized.</w:t>
      </w:r>
    </w:p>
    <w:p>
      <w:pPr>
        <w:spacing w:after="0" w:line="17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are capitalized, on liabilities which we do not fair value, and then accreted or amortized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16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Income Taxes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complied with the requirements of Subchapter M of the Code and expect to be subject to taxation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Investment’s qualification and election to be subject to tax as a RIC, we do not anticipate paying any material level of federal income taxes in the future. Although we are not subject to tax on our income as a RIC, we may elect to retain a portion of our calendar year income. As a result, for both the three and nine months ended June 30, 2014, we accrued estimated taxes of less than $0.1 million. For the three and nine months ended June 30, 2013, we accrued a tax expense (benefit) of less than $0.1 million and $(0.1) million, respectively.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40" w:right="270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2010 remain subject to examination by the Internal Revenue Service.</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79" w:lineRule="exact"/>
        <w:rPr>
          <w:sz w:val="20"/>
          <w:szCs w:val="20"/>
          <w:color w:val="auto"/>
        </w:rPr>
      </w:pPr>
    </w:p>
    <w:p>
      <w:pPr>
        <w:ind w:left="480" w:hanging="244"/>
        <w:spacing w:after="0"/>
        <w:tabs>
          <w:tab w:leader="none" w:pos="48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Currency Translation</w:t>
      </w:r>
    </w:p>
    <w:p>
      <w:pPr>
        <w:spacing w:after="0" w:line="117"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42" w:lineRule="exact"/>
        <w:rPr>
          <w:rFonts w:ascii="Arial" w:cs="Arial" w:eastAsia="Arial" w:hAnsi="Arial"/>
          <w:sz w:val="18"/>
          <w:szCs w:val="18"/>
          <w:b w:val="1"/>
          <w:bCs w:val="1"/>
          <w:i w:val="1"/>
          <w:iCs w:val="1"/>
          <w:color w:val="auto"/>
        </w:rPr>
      </w:pPr>
    </w:p>
    <w:p>
      <w:pPr>
        <w:ind w:left="1480" w:hanging="567"/>
        <w:spacing w:after="0"/>
        <w:tabs>
          <w:tab w:leader="none" w:pos="14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 – at the exchange rates prevailing at the end of the applicable period; and</w:t>
      </w:r>
    </w:p>
    <w:p>
      <w:pPr>
        <w:spacing w:after="0" w:line="153" w:lineRule="exact"/>
        <w:rPr>
          <w:rFonts w:ascii="Arial" w:cs="Arial" w:eastAsia="Arial" w:hAnsi="Arial"/>
          <w:sz w:val="16"/>
          <w:szCs w:val="16"/>
          <w:color w:val="auto"/>
        </w:rPr>
      </w:pPr>
    </w:p>
    <w:p>
      <w:pPr>
        <w:ind w:left="1480" w:right="340" w:hanging="567"/>
        <w:spacing w:after="0" w:line="277"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Purchases and sales of investment securities, income and expenses – at the exchange rates prevailing on the respective dates of such transactions.</w:t>
      </w:r>
    </w:p>
    <w:p>
      <w:pPr>
        <w:spacing w:after="0" w:line="170"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320"/>
          </w:cols>
          <w:pgMar w:left="24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Consolidation</w:t>
      </w:r>
    </w:p>
    <w:p>
      <w:pPr>
        <w:spacing w:after="0" w:line="11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Recent Accounting Pronouncements</w:t>
      </w:r>
    </w:p>
    <w:p>
      <w:pPr>
        <w:spacing w:after="0" w:line="117"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In June 2013, the Financial Accounting Standards Board (“FASB”) issued Accounting Standards Update 2013-08, Financial Services—Investment Companies (Topic 946): Amendments to the Scope, Measurement, and Disclosure Requirements (“ASU 2013-08”). ASU 2013-08 provides an approach to assess whether a company is an investment company, clarifies the characteristics of an investment company, and provides new measurement and disclosure requirements. ASU 2013-08 is effective for interim and annual reporting periods in fiscal years that begin after December 15, 2013. Earlier application is prohibited. We are currently evaluating ASU 2013-08 to determine the effect, if any, on our Consolidated Financial Statements and disclosures.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Investment Management Agreement with the Investment Adviser was reapproved by our board of directors, including a majority of our directors who are not interested persons of us or the Investment Adviser, in February 2014. Under the Investment Management Agreement, the Investment Adviser, subject to the overall supervision of our board of directors, manages the day-to-day operations of and provides investment advisory services to PennantPark Investment.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w:t>
      </w:r>
    </w:p>
    <w:p>
      <w:pPr>
        <w:spacing w:after="0" w:line="19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base management fee is calculated at an annual rate of 2.00% of our “average adjusted gross assets,” which equals our gross assets (net of U.S. Treasury Bills, temporary draws under any credit facility, repurchase agreements or other balance sheet transactions undertaken at the end of a fiscal quarter for purposes of preserving investment flexibility for the next quarter and adjusted to exclude cash, cash equivalents and unfunded delayed draw loans,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nine months ended June 30, 2014, the Investment Adviser earned base management fees of $6.1 million and $17.9 million, respectively, from us. For the three and nine months ended June 30, 2013, the Investment Adviser earned base management fees of $5.4 million and $15.9 million, respectively, from us.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One part is calculated and payable quarterly in arrears based on our Pre-Incentive Fee Net Investment Income for the immediately preceding calendar quarter. For this purpose, Pre-Incentive Fee Net Investment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OID, debt instruments with PIK interest and zero coupon securities), accrued income not yet received in cash. Pre-Incentive Fee Net Investment Income does not include any realized capital gains on investments,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adjusted for any share issuances or repurchases during the relevant quarter. For the three and nine months ended June 30, 2014, the Investment Adviser earned an incentive fee on net investment income as calculated under the Investment Management Agreement of $3.7 million and $13.2 million, respectively, from us. For the three and nine months ended June 30, 2013, the Investment Adviser earned an incentive fee on net investment income as calculated under the Investment Management Agreement of $4.4 million and $12.5 million, respectively, from us.</w:t>
      </w:r>
    </w:p>
    <w:p>
      <w:pPr>
        <w:spacing w:after="0" w:line="17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 of our realized capital gains on investments,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and nine months ended June 30, 2014 and 2013, the Investment Adviser did not earn an incentive fee on capital gains as calculated under the Investment Management Agreement (as described above).</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and foreign currencies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each of the three and nine months ended June 30, 2014, the Investment Adviser accrued an incentive fee on unrealized and realized capital gains as calculated under GAAP of $1.7 million. For each of the three and nine months ended June 30, 2013, the Investment Adviser did not accrue an incentive fee on capital gains as calculated under GAAP.</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Administration Agreement with the Administrator was reapproved by our board of directors, including a majority of our directors who are not interested persons of us, in February 2014.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technology systems, insurance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three and nine months ended June 30, 2014, the Investment Adviser was reimbursed $0.6 million and $2.7 million, respectively, from us, including expenses incurred on behalf of the Administrator, for the services described above. For the three and nine months ended June 30, 2013, the Investment Adviser was reimbursed $0.5 million and $2.5 million, respectively, from us, including expenses incurred on behalf of the Administrator, for the services described above.</w:t>
      </w:r>
    </w:p>
    <w:p>
      <w:pPr>
        <w:spacing w:after="0" w:line="18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PennantPark Investment has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staff. For the three and nine months ended June 30, 2014, PennantPark Investment was reimbursed $0.1 million and $0.4 million, respectively, for the services described above. For the three and nine months ended June 30, 2013, PennantPark Investment was reimbursed $0.1 million and $0.3 million, respectively, for the services described above.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Purchases of investments, including PIK, for the three and nine months ended June 30, 2014 totaled $193.7 million and $568.4 million, respectively. For the same periods in the prior year, purchases of investments, including PIK, totaled $76.6 million and $326.8 million, respectively. Sales and repayments of investments for the three and nine months ended June 30, 2014 totaled $273.6 million and $534.4 million, respectively. For the same periods in the prior year, sales and repayments of investments totaled $117.8 million and $271.2 million, respectively.</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56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and cash equivalents consisted of the following: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60" w:type="dxa"/>
            <w:vAlign w:val="bottom"/>
          </w:tcPr>
          <w:p>
            <w:pPr>
              <w:spacing w:after="0"/>
              <w:rPr>
                <w:sz w:val="14"/>
                <w:szCs w:val="14"/>
                <w:color w:val="auto"/>
              </w:rPr>
            </w:pPr>
          </w:p>
        </w:tc>
        <w:tc>
          <w:tcPr>
            <w:tcW w:w="172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 2014</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6"/>
          </w:tcPr>
          <w:p>
            <w:pPr>
              <w:ind w:left="720"/>
              <w:spacing w:after="0"/>
              <w:rPr>
                <w:sz w:val="20"/>
                <w:szCs w:val="20"/>
                <w:color w:val="auto"/>
              </w:rPr>
            </w:pPr>
            <w:r>
              <w:rPr>
                <w:rFonts w:ascii="Arial" w:cs="Arial" w:eastAsia="Arial" w:hAnsi="Arial"/>
                <w:sz w:val="14"/>
                <w:szCs w:val="14"/>
                <w:b w:val="1"/>
                <w:bCs w:val="1"/>
                <w:color w:val="auto"/>
              </w:rPr>
              <w:t>September 30, 2013</w:t>
            </w:r>
          </w:p>
        </w:tc>
        <w:tc>
          <w:tcPr>
            <w:tcW w:w="0" w:type="dxa"/>
            <w:vAlign w:val="bottom"/>
          </w:tcPr>
          <w:p>
            <w:pPr>
              <w:spacing w:after="0"/>
              <w:rPr>
                <w:sz w:val="1"/>
                <w:szCs w:val="1"/>
                <w:color w:val="auto"/>
              </w:rPr>
            </w:pPr>
          </w:p>
        </w:tc>
      </w:tr>
      <w:tr>
        <w:trPr>
          <w:trHeight w:val="142"/>
        </w:trPr>
        <w:tc>
          <w:tcPr>
            <w:tcW w:w="408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ind w:left="320"/>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lien</w:t>
            </w:r>
          </w:p>
        </w:tc>
        <w:tc>
          <w:tcPr>
            <w:tcW w:w="2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297,962,276</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310,190,839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290,000,430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299,516,291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475,288,084</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486,110,731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346,717,448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357,543,217</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276,156,571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282,432,876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311,240,637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302,447,308</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Preferred equity and partnership interests</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35,018,951</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15,807,778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65,943,244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12,830,669</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 and partnership interests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89,994,935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103,865,331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77,616,126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105,838,068</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1,174,420,817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1,198,407,555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1,091,517,885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1,078,175,553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64,349,609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64,390,787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58,440,829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58,440,829</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Total investments, cash and cash equivalents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1,238,770,426</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1,262,798,342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1,149,958,714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1,136,616,382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Industry Classification</w:t>
            </w:r>
          </w:p>
        </w:tc>
        <w:tc>
          <w:tcPr>
            <w:tcW w:w="27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June 30, 2014</w:t>
            </w:r>
          </w:p>
        </w:tc>
        <w:tc>
          <w:tcPr>
            <w:tcW w:w="1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 2013</w:t>
            </w: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2540" w:type="dxa"/>
            <w:vAlign w:val="bottom"/>
            <w:vMerge w:val="restart"/>
            <w:shd w:val="clear" w:color="auto" w:fill="CCEEFF"/>
          </w:tcPr>
          <w:p>
            <w:pPr>
              <w:spacing w:after="0" w:line="20" w:lineRule="exact"/>
              <w:rPr>
                <w:sz w:val="1"/>
                <w:szCs w:val="1"/>
                <w:color w:val="auto"/>
              </w:rPr>
            </w:pPr>
          </w:p>
        </w:tc>
        <w:tc>
          <w:tcPr>
            <w:tcW w:w="12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86"/>
              </w:rPr>
              <w:t>Consumer Products</w:t>
            </w:r>
          </w:p>
        </w:tc>
        <w:tc>
          <w:tcPr>
            <w:tcW w:w="25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w:t>
            </w:r>
          </w:p>
        </w:tc>
        <w:tc>
          <w:tcPr>
            <w:tcW w:w="58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Buildings Materials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Diversified Natural Resources, Precious Metals and</w:t>
            </w:r>
          </w:p>
        </w:tc>
        <w:tc>
          <w:tcPr>
            <w:tcW w:w="1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Minerals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Energy/Utilities</w:t>
            </w:r>
          </w:p>
        </w:tc>
        <w:tc>
          <w:tcPr>
            <w:tcW w:w="1200" w:type="dxa"/>
            <w:vAlign w:val="bottom"/>
          </w:tcPr>
          <w:p>
            <w:pPr>
              <w:spacing w:after="0"/>
              <w:rPr>
                <w:sz w:val="18"/>
                <w:szCs w:val="18"/>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760" w:type="dxa"/>
            <w:vAlign w:val="bottom"/>
            <w:gridSpan w:val="3"/>
          </w:tcPr>
          <w:p>
            <w:pPr>
              <w:jc w:val="right"/>
              <w:ind w:right="2200"/>
              <w:spacing w:after="0"/>
              <w:rPr>
                <w:sz w:val="20"/>
                <w:szCs w:val="20"/>
                <w:color w:val="auto"/>
              </w:rPr>
            </w:pPr>
            <w:r>
              <w:rPr>
                <w:rFonts w:ascii="Arial" w:cs="Arial" w:eastAsia="Arial" w:hAnsi="Arial"/>
                <w:sz w:val="18"/>
                <w:szCs w:val="18"/>
                <w:color w:val="auto"/>
              </w:rPr>
              <w:t>S-60</w:t>
            </w: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620" w:right="520" w:hanging="1160"/>
        <w:spacing w:after="0" w:line="277" w:lineRule="auto"/>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130" w:lineRule="exact"/>
        <w:rPr>
          <w:sz w:val="20"/>
          <w:szCs w:val="20"/>
          <w:color w:val="auto"/>
        </w:rPr>
      </w:pPr>
    </w:p>
    <w:p>
      <w:pPr>
        <w:ind w:left="1620" w:right="800" w:hanging="1160"/>
        <w:spacing w:after="0" w:line="264"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1" w:lineRule="exact"/>
        <w:rPr>
          <w:sz w:val="20"/>
          <w:szCs w:val="20"/>
          <w:color w:val="auto"/>
        </w:rPr>
      </w:pPr>
    </w:p>
    <w:p>
      <w:pPr>
        <w:ind w:left="1620" w:right="1240" w:hanging="1160"/>
        <w:spacing w:after="0" w:line="277"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Within our fair value hierarchy table, our investments are generally categorized as first lien, second lien, subordinated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debt and preferred and common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nine months ended June 30, 2014, our ability to observe valuation inputs has resulted in no reclassification of assets between any levels. This compares to the nine months ended June 30, 2013, which resulted in the reclassification of one asset from Level 3 to 2 and no other transfers between levels.</w:t>
      </w:r>
    </w:p>
    <w:p>
      <w:pPr>
        <w:spacing w:after="0" w:line="18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 addition to using the above inputs in cash equivalents, investments, the 2025 Notes and our long-term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8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As outlined in the table below, some of our Level 3 investments using a market approach valuation technique are valued using the average of the bids from brokers or dealers. The bids include a disclaimer, may not have corroborating evidence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18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remainder of our portfolio, including our long-term Credit Facility, is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ind w:left="120"/>
              <w:spacing w:after="0"/>
              <w:rPr>
                <w:sz w:val="20"/>
                <w:szCs w:val="20"/>
                <w:color w:val="auto"/>
              </w:rPr>
            </w:pPr>
            <w:r>
              <w:rPr>
                <w:rFonts w:ascii="Arial" w:cs="Arial" w:eastAsia="Arial" w:hAnsi="Arial"/>
                <w:sz w:val="14"/>
                <w:szCs w:val="14"/>
                <w:b w:val="1"/>
                <w:bCs w:val="1"/>
                <w:color w:val="auto"/>
              </w:rPr>
              <w:t>Fair Value at</w:t>
            </w:r>
          </w:p>
        </w:tc>
        <w:tc>
          <w:tcPr>
            <w:tcW w:w="200" w:type="dxa"/>
            <w:vAlign w:val="bottom"/>
          </w:tcPr>
          <w:p>
            <w:pPr>
              <w:spacing w:after="0"/>
              <w:rPr>
                <w:sz w:val="14"/>
                <w:szCs w:val="14"/>
                <w:color w:val="auto"/>
              </w:rPr>
            </w:pPr>
          </w:p>
        </w:tc>
        <w:tc>
          <w:tcPr>
            <w:tcW w:w="21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Pr>
          <w:p>
            <w:pPr>
              <w:spacing w:after="0"/>
              <w:rPr>
                <w:sz w:val="14"/>
                <w:szCs w:val="14"/>
                <w:color w:val="auto"/>
              </w:rPr>
            </w:pPr>
          </w:p>
        </w:tc>
        <w:tc>
          <w:tcPr>
            <w:tcW w:w="2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Unobservable Input</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46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30, 2014</w:t>
            </w:r>
          </w:p>
        </w:tc>
        <w:tc>
          <w:tcPr>
            <w:tcW w:w="200" w:type="dxa"/>
            <w:vAlign w:val="bottom"/>
          </w:tcPr>
          <w:p>
            <w:pPr>
              <w:spacing w:after="0"/>
              <w:rPr>
                <w:sz w:val="14"/>
                <w:szCs w:val="14"/>
                <w:color w:val="auto"/>
              </w:rPr>
            </w:pPr>
          </w:p>
        </w:tc>
        <w:tc>
          <w:tcPr>
            <w:tcW w:w="21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8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840" w:type="dxa"/>
            <w:vAlign w:val="bottom"/>
            <w:tcBorders>
              <w:lef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Debt investments</w:t>
            </w: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379,984,051</w:t>
            </w:r>
          </w:p>
        </w:tc>
        <w:tc>
          <w:tcPr>
            <w:tcW w:w="18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Market Comparable</w:t>
            </w:r>
          </w:p>
        </w:tc>
        <w:tc>
          <w:tcPr>
            <w:tcW w:w="12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80" w:type="dxa"/>
            <w:vAlign w:val="bottom"/>
            <w:tcBorders>
              <w:right w:val="single" w:sz="8" w:color="CCEEFF"/>
            </w:tcBorders>
            <w:shd w:val="clear" w:color="auto" w:fill="CCEEFF"/>
          </w:tcPr>
          <w:p>
            <w:pPr>
              <w:jc w:val="center"/>
              <w:ind w:right="101"/>
              <w:spacing w:after="0"/>
              <w:rPr>
                <w:sz w:val="20"/>
                <w:szCs w:val="20"/>
                <w:color w:val="auto"/>
              </w:rPr>
            </w:pPr>
            <w:r>
              <w:rPr>
                <w:rFonts w:ascii="Arial" w:cs="Arial" w:eastAsia="Arial" w:hAnsi="Arial"/>
                <w:sz w:val="16"/>
                <w:szCs w:val="16"/>
                <w:color w:val="auto"/>
                <w:w w:val="92"/>
              </w:rPr>
              <w:t>Broker/Dealer bid quotes</w:t>
            </w:r>
          </w:p>
        </w:tc>
        <w:tc>
          <w:tcPr>
            <w:tcW w:w="280" w:type="dxa"/>
            <w:vAlign w:val="bottom"/>
            <w:vMerge w:val="continue"/>
            <w:shd w:val="clear" w:color="auto" w:fill="CCEEFF"/>
          </w:tcPr>
          <w:p>
            <w:pPr>
              <w:spacing w:after="0"/>
              <w:rPr>
                <w:sz w:val="17"/>
                <w:szCs w:val="17"/>
                <w:color w:val="auto"/>
              </w:rPr>
            </w:pPr>
          </w:p>
        </w:tc>
        <w:tc>
          <w:tcPr>
            <w:tcW w:w="184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Debt investments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650,956,240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3"/>
          </w:tcPr>
          <w:p>
            <w:pPr>
              <w:ind w:left="160"/>
              <w:spacing w:after="0"/>
              <w:rPr>
                <w:sz w:val="20"/>
                <w:szCs w:val="20"/>
                <w:color w:val="auto"/>
              </w:rPr>
            </w:pPr>
            <w:r>
              <w:rPr>
                <w:rFonts w:ascii="Arial" w:cs="Arial" w:eastAsia="Arial" w:hAnsi="Arial"/>
                <w:sz w:val="16"/>
                <w:szCs w:val="16"/>
                <w:color w:val="auto"/>
              </w:rPr>
              <w:t>Market Comparable</w:t>
            </w:r>
          </w:p>
        </w:tc>
        <w:tc>
          <w:tcPr>
            <w:tcW w:w="120" w:type="dxa"/>
            <w:vAlign w:val="bottom"/>
          </w:tcPr>
          <w:p>
            <w:pPr>
              <w:spacing w:after="0"/>
              <w:rPr>
                <w:sz w:val="17"/>
                <w:szCs w:val="17"/>
                <w:color w:val="auto"/>
              </w:rPr>
            </w:pPr>
          </w:p>
        </w:tc>
        <w:tc>
          <w:tcPr>
            <w:tcW w:w="2260" w:type="dxa"/>
            <w:vAlign w:val="bottom"/>
            <w:gridSpan w:val="2"/>
          </w:tcPr>
          <w:p>
            <w:pPr>
              <w:jc w:val="center"/>
              <w:ind w:right="460"/>
              <w:spacing w:after="0"/>
              <w:rPr>
                <w:sz w:val="20"/>
                <w:szCs w:val="20"/>
                <w:color w:val="auto"/>
              </w:rPr>
            </w:pPr>
            <w:r>
              <w:rPr>
                <w:rFonts w:ascii="Arial" w:cs="Arial" w:eastAsia="Arial" w:hAnsi="Arial"/>
                <w:sz w:val="16"/>
                <w:szCs w:val="16"/>
                <w:color w:val="auto"/>
                <w:w w:val="94"/>
              </w:rPr>
              <w:t>Market Yield</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7.4% - 21.4% (13.1%)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investments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12,912,799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1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Market Comparable</w:t>
            </w:r>
          </w:p>
        </w:tc>
        <w:tc>
          <w:tcPr>
            <w:tcW w:w="12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2"/>
              </w:rPr>
              <w:t>Broker/Dealer bid quotes</w:t>
            </w:r>
          </w:p>
        </w:tc>
        <w:tc>
          <w:tcPr>
            <w:tcW w:w="184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Equity investments</w:t>
            </w:r>
          </w:p>
        </w:tc>
        <w:tc>
          <w:tcPr>
            <w:tcW w:w="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106,482,931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3"/>
          </w:tcPr>
          <w:p>
            <w:pPr>
              <w:ind w:left="20"/>
              <w:spacing w:after="0"/>
              <w:rPr>
                <w:sz w:val="20"/>
                <w:szCs w:val="20"/>
                <w:color w:val="auto"/>
              </w:rPr>
            </w:pPr>
            <w:r>
              <w:rPr>
                <w:rFonts w:ascii="Arial" w:cs="Arial" w:eastAsia="Arial" w:hAnsi="Arial"/>
                <w:sz w:val="16"/>
                <w:szCs w:val="16"/>
                <w:color w:val="auto"/>
              </w:rPr>
              <w:t>Enterprise Market Value</w:t>
            </w:r>
          </w:p>
        </w:tc>
        <w:tc>
          <w:tcPr>
            <w:tcW w:w="120" w:type="dxa"/>
            <w:vAlign w:val="bottom"/>
          </w:tcPr>
          <w:p>
            <w:pPr>
              <w:spacing w:after="0"/>
              <w:rPr>
                <w:sz w:val="18"/>
                <w:szCs w:val="18"/>
                <w:color w:val="auto"/>
              </w:rPr>
            </w:pPr>
          </w:p>
        </w:tc>
        <w:tc>
          <w:tcPr>
            <w:tcW w:w="2260" w:type="dxa"/>
            <w:vAlign w:val="bottom"/>
            <w:gridSpan w:val="2"/>
          </w:tcPr>
          <w:p>
            <w:pPr>
              <w:jc w:val="center"/>
              <w:ind w:right="460"/>
              <w:spacing w:after="0"/>
              <w:rPr>
                <w:sz w:val="20"/>
                <w:szCs w:val="20"/>
                <w:color w:val="auto"/>
              </w:rPr>
            </w:pPr>
            <w:r>
              <w:rPr>
                <w:rFonts w:ascii="Arial" w:cs="Arial" w:eastAsia="Arial" w:hAnsi="Arial"/>
                <w:sz w:val="16"/>
                <w:szCs w:val="16"/>
                <w:color w:val="auto"/>
                <w:w w:val="98"/>
              </w:rPr>
              <w:t>EBITDA multiple</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3.8x - 13.0x (8.5x)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Level 3 investments</w:t>
            </w:r>
          </w:p>
        </w:tc>
        <w:tc>
          <w:tcPr>
            <w:tcW w:w="7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1,150,336,021</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60" w:type="dxa"/>
            <w:vAlign w:val="bottom"/>
            <w:gridSpan w:val="3"/>
            <w:vMerge w:val="restart"/>
          </w:tcPr>
          <w:p>
            <w:pPr>
              <w:spacing w:after="0"/>
              <w:rPr>
                <w:sz w:val="20"/>
                <w:szCs w:val="20"/>
                <w:color w:val="auto"/>
              </w:rPr>
            </w:pPr>
            <w:r>
              <w:rPr>
                <w:rFonts w:ascii="Arial" w:cs="Arial" w:eastAsia="Arial" w:hAnsi="Arial"/>
                <w:sz w:val="16"/>
                <w:szCs w:val="16"/>
                <w:color w:val="auto"/>
              </w:rPr>
              <w:t>Long-Term Credit Facility</w:t>
            </w: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gridSpan w:val="3"/>
            <w:vMerge w:val="restart"/>
          </w:tcPr>
          <w:p>
            <w:pPr>
              <w:ind w:left="160"/>
              <w:spacing w:after="0"/>
              <w:rPr>
                <w:sz w:val="20"/>
                <w:szCs w:val="20"/>
                <w:color w:val="auto"/>
              </w:rPr>
            </w:pPr>
            <w:r>
              <w:rPr>
                <w:rFonts w:ascii="Arial" w:cs="Arial" w:eastAsia="Arial" w:hAnsi="Arial"/>
                <w:sz w:val="16"/>
                <w:szCs w:val="16"/>
                <w:color w:val="auto"/>
              </w:rPr>
              <w:t>Market Comparable</w:t>
            </w:r>
          </w:p>
        </w:tc>
        <w:tc>
          <w:tcPr>
            <w:tcW w:w="120" w:type="dxa"/>
            <w:vAlign w:val="bottom"/>
          </w:tcPr>
          <w:p>
            <w:pPr>
              <w:spacing w:after="0" w:line="20" w:lineRule="exact"/>
              <w:rPr>
                <w:sz w:val="1"/>
                <w:szCs w:val="1"/>
                <w:color w:val="auto"/>
              </w:rPr>
            </w:pPr>
          </w:p>
        </w:tc>
        <w:tc>
          <w:tcPr>
            <w:tcW w:w="2260" w:type="dxa"/>
            <w:vAlign w:val="bottom"/>
            <w:gridSpan w:val="2"/>
            <w:vMerge w:val="restart"/>
          </w:tcPr>
          <w:p>
            <w:pPr>
              <w:jc w:val="center"/>
              <w:ind w:right="480"/>
              <w:spacing w:after="0"/>
              <w:rPr>
                <w:sz w:val="20"/>
                <w:szCs w:val="20"/>
                <w:color w:val="auto"/>
              </w:rPr>
            </w:pPr>
            <w:r>
              <w:rPr>
                <w:rFonts w:ascii="Arial" w:cs="Arial" w:eastAsia="Arial" w:hAnsi="Arial"/>
                <w:sz w:val="16"/>
                <w:szCs w:val="16"/>
                <w:color w:val="auto"/>
                <w:w w:val="96"/>
              </w:rPr>
              <w:t>Market Yield</w:t>
            </w:r>
          </w:p>
        </w:tc>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3"/>
              </w:rPr>
              <w:t>3.3%</w:t>
            </w:r>
          </w:p>
        </w:tc>
        <w:tc>
          <w:tcPr>
            <w:tcW w:w="0" w:type="dxa"/>
            <w:vAlign w:val="bottom"/>
          </w:tcPr>
          <w:p>
            <w:pPr>
              <w:spacing w:after="0" w:line="20" w:lineRule="exact"/>
              <w:rPr>
                <w:sz w:val="1"/>
                <w:szCs w:val="1"/>
                <w:color w:val="auto"/>
              </w:rPr>
            </w:pPr>
          </w:p>
        </w:tc>
      </w:tr>
      <w:tr>
        <w:trPr>
          <w:trHeight w:val="194"/>
        </w:trPr>
        <w:tc>
          <w:tcPr>
            <w:tcW w:w="2460" w:type="dxa"/>
            <w:vAlign w:val="bottom"/>
            <w:gridSpan w:val="3"/>
            <w:vMerge w:val="continue"/>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257,187,292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1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tcPr>
          <w:p>
            <w:pPr>
              <w:ind w:left="220"/>
              <w:spacing w:after="0"/>
              <w:rPr>
                <w:sz w:val="20"/>
                <w:szCs w:val="20"/>
                <w:color w:val="auto"/>
              </w:rPr>
            </w:pPr>
            <w:r>
              <w:rPr>
                <w:rFonts w:ascii="Arial" w:cs="Arial" w:eastAsia="Arial" w:hAnsi="Arial"/>
                <w:sz w:val="14"/>
                <w:szCs w:val="14"/>
                <w:b w:val="1"/>
                <w:bCs w:val="1"/>
                <w:color w:val="auto"/>
              </w:rPr>
              <w:t>Fair Value at</w:t>
            </w:r>
          </w:p>
        </w:tc>
        <w:tc>
          <w:tcPr>
            <w:tcW w:w="200" w:type="dxa"/>
            <w:vAlign w:val="bottom"/>
          </w:tcPr>
          <w:p>
            <w:pPr>
              <w:spacing w:after="0"/>
              <w:rPr>
                <w:sz w:val="24"/>
                <w:szCs w:val="24"/>
                <w:color w:val="auto"/>
              </w:rPr>
            </w:pPr>
          </w:p>
        </w:tc>
        <w:tc>
          <w:tcPr>
            <w:tcW w:w="21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Pr>
          <w:p>
            <w:pPr>
              <w:spacing w:after="0"/>
              <w:rPr>
                <w:sz w:val="24"/>
                <w:szCs w:val="24"/>
                <w:color w:val="auto"/>
              </w:rPr>
            </w:pPr>
          </w:p>
        </w:tc>
        <w:tc>
          <w:tcPr>
            <w:tcW w:w="2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Unobservable Input</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246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2013</w:t>
            </w:r>
          </w:p>
        </w:tc>
        <w:tc>
          <w:tcPr>
            <w:tcW w:w="200" w:type="dxa"/>
            <w:vAlign w:val="bottom"/>
          </w:tcPr>
          <w:p>
            <w:pPr>
              <w:spacing w:after="0"/>
              <w:rPr>
                <w:sz w:val="14"/>
                <w:szCs w:val="14"/>
                <w:color w:val="auto"/>
              </w:rPr>
            </w:pPr>
          </w:p>
        </w:tc>
        <w:tc>
          <w:tcPr>
            <w:tcW w:w="21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920" w:type="dxa"/>
            <w:vAlign w:val="bottom"/>
            <w:gridSpan w:val="2"/>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9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840" w:type="dxa"/>
            <w:vAlign w:val="bottom"/>
            <w:tcBorders>
              <w:lef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Debt investments</w:t>
            </w: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w w:val="87"/>
              </w:rPr>
              <w:t>448,842,468</w:t>
            </w:r>
          </w:p>
        </w:tc>
        <w:tc>
          <w:tcPr>
            <w:tcW w:w="24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9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Market Comparable</w:t>
            </w:r>
          </w:p>
        </w:tc>
        <w:tc>
          <w:tcPr>
            <w:tcW w:w="22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9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Broker/Dealer bid quotes</w:t>
            </w:r>
          </w:p>
        </w:tc>
        <w:tc>
          <w:tcPr>
            <w:tcW w:w="280" w:type="dxa"/>
            <w:vAlign w:val="bottom"/>
            <w:vMerge w:val="continue"/>
            <w:shd w:val="clear" w:color="auto" w:fill="CCEEFF"/>
          </w:tcPr>
          <w:p>
            <w:pPr>
              <w:spacing w:after="0"/>
              <w:rPr>
                <w:sz w:val="17"/>
                <w:szCs w:val="17"/>
                <w:color w:val="auto"/>
              </w:rPr>
            </w:pPr>
          </w:p>
        </w:tc>
        <w:tc>
          <w:tcPr>
            <w:tcW w:w="184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Debt investments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ind w:left="520"/>
              <w:spacing w:after="0"/>
              <w:rPr>
                <w:sz w:val="20"/>
                <w:szCs w:val="20"/>
                <w:color w:val="auto"/>
              </w:rPr>
            </w:pPr>
            <w:r>
              <w:rPr>
                <w:rFonts w:ascii="Arial" w:cs="Arial" w:eastAsia="Arial" w:hAnsi="Arial"/>
                <w:sz w:val="16"/>
                <w:szCs w:val="16"/>
                <w:color w:val="auto"/>
                <w:w w:val="87"/>
              </w:rPr>
              <w:t>466,571,947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3"/>
          </w:tcPr>
          <w:p>
            <w:pPr>
              <w:ind w:left="300"/>
              <w:spacing w:after="0"/>
              <w:rPr>
                <w:sz w:val="20"/>
                <w:szCs w:val="20"/>
                <w:color w:val="auto"/>
              </w:rPr>
            </w:pPr>
            <w:r>
              <w:rPr>
                <w:rFonts w:ascii="Arial" w:cs="Arial" w:eastAsia="Arial" w:hAnsi="Arial"/>
                <w:sz w:val="16"/>
                <w:szCs w:val="16"/>
                <w:color w:val="auto"/>
              </w:rPr>
              <w:t>Market Comparable</w:t>
            </w:r>
          </w:p>
        </w:tc>
        <w:tc>
          <w:tcPr>
            <w:tcW w:w="120" w:type="dxa"/>
            <w:vAlign w:val="bottom"/>
          </w:tcPr>
          <w:p>
            <w:pPr>
              <w:spacing w:after="0"/>
              <w:rPr>
                <w:sz w:val="17"/>
                <w:szCs w:val="17"/>
                <w:color w:val="auto"/>
              </w:rPr>
            </w:pPr>
          </w:p>
        </w:tc>
        <w:tc>
          <w:tcPr>
            <w:tcW w:w="2260" w:type="dxa"/>
            <w:vAlign w:val="bottom"/>
            <w:gridSpan w:val="2"/>
          </w:tcPr>
          <w:p>
            <w:pPr>
              <w:jc w:val="center"/>
              <w:ind w:right="280"/>
              <w:spacing w:after="0"/>
              <w:rPr>
                <w:sz w:val="20"/>
                <w:szCs w:val="20"/>
                <w:color w:val="auto"/>
              </w:rPr>
            </w:pPr>
            <w:r>
              <w:rPr>
                <w:rFonts w:ascii="Arial" w:cs="Arial" w:eastAsia="Arial" w:hAnsi="Arial"/>
                <w:sz w:val="16"/>
                <w:szCs w:val="16"/>
                <w:color w:val="auto"/>
                <w:w w:val="96"/>
              </w:rPr>
              <w:t>Market Yield</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9.5% - 21.5% (13.5%)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investments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110,923,751</w:t>
            </w:r>
          </w:p>
        </w:tc>
        <w:tc>
          <w:tcPr>
            <w:tcW w:w="200" w:type="dxa"/>
            <w:vAlign w:val="bottom"/>
            <w:shd w:val="clear" w:color="auto" w:fill="CCEEFF"/>
          </w:tcPr>
          <w:p>
            <w:pPr>
              <w:spacing w:after="0"/>
              <w:rPr>
                <w:sz w:val="17"/>
                <w:szCs w:val="17"/>
                <w:color w:val="auto"/>
              </w:rPr>
            </w:pPr>
          </w:p>
        </w:tc>
        <w:tc>
          <w:tcPr>
            <w:tcW w:w="21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Enterprise Market Value</w:t>
            </w:r>
          </w:p>
        </w:tc>
        <w:tc>
          <w:tcPr>
            <w:tcW w:w="12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color w:val="auto"/>
              </w:rPr>
              <w:t>EBITDA multiple</w:t>
            </w:r>
          </w:p>
        </w:tc>
        <w:tc>
          <w:tcPr>
            <w:tcW w:w="184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6.0x - 15.0x (9.0x)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Total Level 3 investments</w:t>
            </w:r>
          </w:p>
        </w:tc>
        <w:tc>
          <w:tcPr>
            <w:tcW w:w="7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400"/>
              <w:spacing w:after="0"/>
              <w:rPr>
                <w:sz w:val="20"/>
                <w:szCs w:val="20"/>
                <w:color w:val="auto"/>
              </w:rPr>
            </w:pPr>
            <w:r>
              <w:rPr>
                <w:rFonts w:ascii="Arial" w:cs="Arial" w:eastAsia="Arial" w:hAnsi="Arial"/>
                <w:sz w:val="16"/>
                <w:szCs w:val="16"/>
                <w:color w:val="auto"/>
                <w:w w:val="87"/>
              </w:rPr>
              <w:t>1,026,338,166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Credit Facility</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117,500,000</w:t>
            </w:r>
          </w:p>
        </w:tc>
        <w:tc>
          <w:tcPr>
            <w:tcW w:w="200" w:type="dxa"/>
            <w:vAlign w:val="bottom"/>
            <w:shd w:val="clear" w:color="auto" w:fill="CCEEFF"/>
          </w:tcPr>
          <w:p>
            <w:pPr>
              <w:spacing w:after="0"/>
              <w:rPr>
                <w:sz w:val="17"/>
                <w:szCs w:val="17"/>
                <w:color w:val="auto"/>
              </w:rPr>
            </w:pPr>
          </w:p>
        </w:tc>
        <w:tc>
          <w:tcPr>
            <w:tcW w:w="214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Market Comparable</w:t>
            </w:r>
          </w:p>
        </w:tc>
        <w:tc>
          <w:tcPr>
            <w:tcW w:w="12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color w:val="auto"/>
                <w:w w:val="96"/>
              </w:rPr>
              <w:t>Market Yield</w:t>
            </w:r>
          </w:p>
        </w:tc>
        <w:tc>
          <w:tcPr>
            <w:tcW w:w="184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Our cash and cash equivalents, investments, the 2025 Notes and Credit Facility were categorized as follows in the fair value hierarchy for ASC 820 purposes: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840" w:type="dxa"/>
            <w:vAlign w:val="bottom"/>
            <w:vMerge w:val="restart"/>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Fair Value</w:t>
            </w:r>
          </w:p>
        </w:tc>
        <w:tc>
          <w:tcPr>
            <w:tcW w:w="440" w:type="dxa"/>
            <w:vAlign w:val="bottom"/>
            <w:vMerge w:val="restart"/>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45"/>
              <w:spacing w:after="0"/>
              <w:rPr>
                <w:sz w:val="20"/>
                <w:szCs w:val="20"/>
                <w:color w:val="auto"/>
              </w:rPr>
            </w:pPr>
            <w:r>
              <w:rPr>
                <w:rFonts w:ascii="Arial" w:cs="Arial" w:eastAsia="Arial" w:hAnsi="Arial"/>
                <w:sz w:val="14"/>
                <w:szCs w:val="14"/>
                <w:b w:val="1"/>
                <w:bCs w:val="1"/>
                <w:color w:val="auto"/>
                <w:w w:val="98"/>
              </w:rPr>
              <w:t>Fair Value at June 30, 2014</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 w:type="dxa"/>
            <w:vAlign w:val="bottom"/>
            <w:tcBorders>
              <w:bottom w:val="single" w:sz="8" w:color="auto"/>
            </w:tcBorders>
            <w:vMerge w:val="continue"/>
          </w:tcPr>
          <w:p>
            <w:pPr>
              <w:spacing w:after="0"/>
              <w:rPr>
                <w:sz w:val="12"/>
                <w:szCs w:val="12"/>
                <w:color w:val="auto"/>
              </w:rPr>
            </w:pPr>
          </w:p>
        </w:tc>
        <w:tc>
          <w:tcPr>
            <w:tcW w:w="3840" w:type="dxa"/>
            <w:vAlign w:val="bottom"/>
            <w:tcBorders>
              <w:bottom w:val="single" w:sz="8" w:color="CCEEFF"/>
            </w:tcBorders>
            <w:vMerge w:val="continue"/>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10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1,078,734,446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47,794,155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1,030,940,291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119,673,109</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277,379</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119,395,730</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1,198,407,555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48,071,534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1,150,336,021</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64,390,787</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64,390,787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 cash and cash equivalents</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1,262,798,342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64,390,787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48,071,534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1,150,336,021</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257,187,292</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257,187,292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Notes</w:t>
            </w: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72,532,500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72,532,500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0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329,719,792</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72,532,500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257,187,292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680" w:type="dxa"/>
            <w:vAlign w:val="bottom"/>
            <w:gridSpan w:val="5"/>
          </w:tcPr>
          <w:p>
            <w:pPr>
              <w:jc w:val="right"/>
              <w:ind w:right="1360"/>
              <w:spacing w:after="0"/>
              <w:rPr>
                <w:sz w:val="20"/>
                <w:szCs w:val="20"/>
                <w:color w:val="auto"/>
              </w:rPr>
            </w:pPr>
            <w:r>
              <w:rPr>
                <w:rFonts w:ascii="Arial" w:cs="Arial" w:eastAsia="Arial" w:hAnsi="Arial"/>
                <w:sz w:val="18"/>
                <w:szCs w:val="18"/>
                <w:color w:val="auto"/>
              </w:rPr>
              <w:t>S-63</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Fair Value</w:t>
            </w:r>
          </w:p>
        </w:tc>
        <w:tc>
          <w:tcPr>
            <w:tcW w:w="2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Fair Value at September 30, 2013</w:t>
            </w:r>
          </w:p>
        </w:tc>
        <w:tc>
          <w:tcPr>
            <w:tcW w:w="10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 w:type="dxa"/>
            <w:vAlign w:val="bottom"/>
            <w:tcBorders>
              <w:bottom w:val="single" w:sz="8" w:color="auto"/>
            </w:tcBorders>
            <w:vMerge w:val="continue"/>
          </w:tcPr>
          <w:p>
            <w:pPr>
              <w:spacing w:after="0"/>
              <w:rPr>
                <w:sz w:val="12"/>
                <w:szCs w:val="12"/>
                <w:color w:val="auto"/>
              </w:rPr>
            </w:pPr>
          </w:p>
        </w:tc>
        <w:tc>
          <w:tcPr>
            <w:tcW w:w="486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Level 1</w:t>
            </w: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959,506,815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44,092,400</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915,414,415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118,668,738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7,539,320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205,667</w:t>
            </w: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110,923,751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1,078,175,553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7,539,320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44,298,067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1,026,338,166</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58,440,829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58,440,829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 cash and cash equivalents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1,136,616,382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65,980,149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44,298,067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1,026,338,166</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w w:val="99"/>
              </w:rPr>
              <w:t>Long-Term Credit Facility (excluding temporary draws of $28,000,000)</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117,500,000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68,400,000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68,400,000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185,900,000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68,400,000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Nine Months Ended June 30, 2014</w:t>
            </w:r>
          </w:p>
        </w:tc>
        <w:tc>
          <w:tcPr>
            <w:tcW w:w="1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Debt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right"/>
              <w:ind w:right="760"/>
              <w:spacing w:after="0" w:line="119" w:lineRule="exact"/>
              <w:rPr>
                <w:sz w:val="20"/>
                <w:szCs w:val="20"/>
                <w:color w:val="auto"/>
              </w:rPr>
            </w:pPr>
            <w:r>
              <w:rPr>
                <w:rFonts w:ascii="Arial" w:cs="Arial" w:eastAsia="Arial" w:hAnsi="Arial"/>
                <w:sz w:val="13"/>
                <w:szCs w:val="13"/>
                <w:b w:val="1"/>
                <w:bCs w:val="1"/>
                <w:color w:val="auto"/>
              </w:rPr>
              <w:t>Equity</w:t>
            </w:r>
          </w:p>
        </w:tc>
        <w:tc>
          <w:tcPr>
            <w:tcW w:w="160" w:type="dxa"/>
            <w:vAlign w:val="bottom"/>
          </w:tcPr>
          <w:p>
            <w:pPr>
              <w:spacing w:after="0"/>
              <w:rPr>
                <w:sz w:val="10"/>
                <w:szCs w:val="10"/>
                <w:color w:val="auto"/>
              </w:rPr>
            </w:pPr>
          </w:p>
        </w:tc>
        <w:tc>
          <w:tcPr>
            <w:tcW w:w="12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40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investments</w:t>
            </w: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Beginning</w:t>
            </w:r>
          </w:p>
        </w:tc>
        <w:tc>
          <w:tcPr>
            <w:tcW w:w="56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915,414,415</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110,923,751</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1,026,338,166</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Realized gains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18,101,010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3,875,493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21,976,503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appreciation</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470,447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23,854,264</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24,324,711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Purchases, PIK, net discount accretion and non-cash exchanges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554,355,726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23,424,660</w:t>
            </w: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577,780,386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repayments and non-cash exchanges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(457,401,305)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(42,682,440)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(500,083,745)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Transfers in and/or out of Level 3</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1,030,940,293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119,395,728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1,150,336,021</w:t>
            </w: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Arial" w:cs="Arial" w:eastAsia="Arial" w:hAnsi="Arial"/>
                <w:sz w:val="18"/>
                <w:szCs w:val="18"/>
                <w:color w:val="auto"/>
                <w:w w:val="97"/>
              </w:rPr>
              <w:t>Net change in unrealized appreciation reported within the net change in unrealized</w:t>
            </w: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0" w:type="dxa"/>
            <w:vAlign w:val="bottom"/>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160"/>
              <w:spacing w:after="0"/>
              <w:rPr>
                <w:sz w:val="20"/>
                <w:szCs w:val="20"/>
                <w:color w:val="auto"/>
              </w:rPr>
            </w:pPr>
            <w:r>
              <w:rPr>
                <w:rFonts w:ascii="Arial" w:cs="Arial" w:eastAsia="Arial" w:hAnsi="Arial"/>
                <w:sz w:val="18"/>
                <w:szCs w:val="18"/>
                <w:color w:val="auto"/>
              </w:rPr>
              <w:t>appreciation (depreciation) on investments in our Consolidated Statement of</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gridSpan w:val="2"/>
          </w:tcPr>
          <w:p>
            <w:pPr>
              <w:ind w:left="160"/>
              <w:spacing w:after="0"/>
              <w:rPr>
                <w:sz w:val="20"/>
                <w:szCs w:val="20"/>
                <w:color w:val="auto"/>
              </w:rPr>
            </w:pPr>
            <w:r>
              <w:rPr>
                <w:rFonts w:ascii="Arial" w:cs="Arial" w:eastAsia="Arial" w:hAnsi="Arial"/>
                <w:sz w:val="18"/>
                <w:szCs w:val="18"/>
                <w:color w:val="auto"/>
              </w:rPr>
              <w:t>Operations attributable to our Level 3 assets still held at the reporting date.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12,355,525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(9,463,794)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2,891,731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80" w:type="dxa"/>
            <w:vAlign w:val="bottom"/>
            <w:vMerge w:val="restart"/>
          </w:tcPr>
          <w:p>
            <w:pPr>
              <w:ind w:left="4820"/>
              <w:spacing w:after="0"/>
              <w:rPr>
                <w:sz w:val="20"/>
                <w:szCs w:val="20"/>
                <w:color w:val="auto"/>
              </w:rPr>
            </w:pPr>
            <w:r>
              <w:rPr>
                <w:rFonts w:ascii="Arial" w:cs="Arial" w:eastAsia="Arial" w:hAnsi="Arial"/>
                <w:sz w:val="18"/>
                <w:szCs w:val="18"/>
                <w:color w:val="auto"/>
              </w:rPr>
              <w:t>S-64</w:t>
            </w: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Nine Months Ended June 30, 2013</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3"/>
          </w:tcPr>
          <w:p>
            <w:pPr>
              <w:jc w:val="right"/>
              <w:ind w:right="820"/>
              <w:spacing w:after="0" w:line="119" w:lineRule="exact"/>
              <w:rPr>
                <w:sz w:val="20"/>
                <w:szCs w:val="20"/>
                <w:color w:val="auto"/>
              </w:rPr>
            </w:pPr>
            <w:r>
              <w:rPr>
                <w:rFonts w:ascii="Arial" w:cs="Arial" w:eastAsia="Arial" w:hAnsi="Arial"/>
                <w:sz w:val="13"/>
                <w:szCs w:val="13"/>
                <w:b w:val="1"/>
                <w:bCs w:val="1"/>
                <w:color w:val="auto"/>
              </w:rPr>
              <w:t>Debt</w:t>
            </w:r>
          </w:p>
        </w:tc>
        <w:tc>
          <w:tcPr>
            <w:tcW w:w="120" w:type="dxa"/>
            <w:vAlign w:val="bottom"/>
          </w:tcPr>
          <w:p>
            <w:pPr>
              <w:spacing w:after="0"/>
              <w:rPr>
                <w:sz w:val="10"/>
                <w:szCs w:val="10"/>
                <w:color w:val="auto"/>
              </w:rPr>
            </w:pPr>
          </w:p>
        </w:tc>
        <w:tc>
          <w:tcPr>
            <w:tcW w:w="118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Equity</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0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5"/>
              </w:rPr>
              <w:t>investments</w:t>
            </w:r>
          </w:p>
        </w:tc>
        <w:tc>
          <w:tcPr>
            <w:tcW w:w="12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investments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Beginning</w:t>
            </w:r>
          </w:p>
        </w:tc>
        <w:tc>
          <w:tcPr>
            <w:tcW w:w="636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848,424,071</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101,323,123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949,747,194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340"/>
              <w:spacing w:after="0"/>
              <w:rPr>
                <w:sz w:val="20"/>
                <w:szCs w:val="20"/>
                <w:color w:val="auto"/>
              </w:rPr>
            </w:pPr>
            <w:r>
              <w:rPr>
                <w:rFonts w:ascii="Arial" w:cs="Arial" w:eastAsia="Arial" w:hAnsi="Arial"/>
                <w:sz w:val="18"/>
                <w:szCs w:val="18"/>
                <w:color w:val="auto"/>
              </w:rPr>
              <w:t>Realized gains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3,757,501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3,311,652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7,069,153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appreciation (depreciation)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34,351,022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(21,019,509)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13,331,513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340"/>
              <w:spacing w:after="0"/>
              <w:rPr>
                <w:sz w:val="20"/>
                <w:szCs w:val="20"/>
                <w:color w:val="auto"/>
              </w:rPr>
            </w:pPr>
            <w:r>
              <w:rPr>
                <w:rFonts w:ascii="Arial" w:cs="Arial" w:eastAsia="Arial" w:hAnsi="Arial"/>
                <w:sz w:val="18"/>
                <w:szCs w:val="18"/>
                <w:color w:val="auto"/>
              </w:rPr>
              <w:t>Purchases, PIK, net discount accretion and non-cash exchanges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321,218,848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46,591,490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367,810,338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repayments and non-cash exchanges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2"/>
              </w:rPr>
              <w:t>(294,037,878)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(10,606,534)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(304,644,412)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340"/>
              <w:spacing w:after="0"/>
              <w:rPr>
                <w:sz w:val="20"/>
                <w:szCs w:val="20"/>
                <w:color w:val="auto"/>
              </w:rPr>
            </w:pPr>
            <w:r>
              <w:rPr>
                <w:rFonts w:ascii="Arial" w:cs="Arial" w:eastAsia="Arial" w:hAnsi="Arial"/>
                <w:sz w:val="18"/>
                <w:szCs w:val="18"/>
                <w:color w:val="auto"/>
              </w:rPr>
              <w:t>Transfers in and/or out of Level 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(12,840,000)</w:t>
            </w: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(12,840,000)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900,873,564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119,600,222</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1,020,473,786</w:t>
            </w: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Arial" w:cs="Arial" w:eastAsia="Arial" w:hAnsi="Arial"/>
                <w:sz w:val="18"/>
                <w:szCs w:val="18"/>
                <w:color w:val="auto"/>
              </w:rPr>
              <w:t>Net change in unrealized appreciation (depreciation) reported within the net change in</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8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160"/>
              <w:spacing w:after="0"/>
              <w:rPr>
                <w:sz w:val="20"/>
                <w:szCs w:val="20"/>
                <w:color w:val="auto"/>
              </w:rPr>
            </w:pPr>
            <w:r>
              <w:rPr>
                <w:rFonts w:ascii="Arial" w:cs="Arial" w:eastAsia="Arial" w:hAnsi="Arial"/>
                <w:sz w:val="18"/>
                <w:szCs w:val="18"/>
                <w:color w:val="auto"/>
                <w:w w:val="99"/>
              </w:rPr>
              <w:t>unrealized appreciation (depreciation) on investments in our Consolidated Statement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gridSpan w:val="2"/>
          </w:tcPr>
          <w:p>
            <w:pPr>
              <w:ind w:left="160"/>
              <w:spacing w:after="0"/>
              <w:rPr>
                <w:sz w:val="20"/>
                <w:szCs w:val="20"/>
                <w:color w:val="auto"/>
              </w:rPr>
            </w:pPr>
            <w:r>
              <w:rPr>
                <w:rFonts w:ascii="Arial" w:cs="Arial" w:eastAsia="Arial" w:hAnsi="Arial"/>
                <w:sz w:val="18"/>
                <w:szCs w:val="18"/>
                <w:color w:val="auto"/>
              </w:rPr>
              <w:t>Operations attributable to our Level 3 assets still held at the reporting date.</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36,781,749</w:t>
            </w:r>
          </w:p>
        </w:tc>
        <w:tc>
          <w:tcPr>
            <w:tcW w:w="3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(18,334,568)</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18,447,181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6"/>
              </w:rPr>
              <w:t>Carrying/Fair Value</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16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Long-Term Credit Facility</w:t>
            </w:r>
          </w:p>
        </w:tc>
        <w:tc>
          <w:tcPr>
            <w:tcW w:w="5320" w:type="dxa"/>
            <w:vAlign w:val="bottom"/>
            <w:vMerge w:val="restart"/>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60" w:type="dxa"/>
            <w:vAlign w:val="bottom"/>
            <w:tcBorders>
              <w:bottom w:val="single" w:sz="8" w:color="auto"/>
            </w:tcBorders>
            <w:gridSpan w:val="3"/>
            <w:vMerge w:val="continue"/>
          </w:tcPr>
          <w:p>
            <w:pPr>
              <w:spacing w:after="0"/>
              <w:rPr>
                <w:sz w:val="12"/>
                <w:szCs w:val="12"/>
                <w:color w:val="auto"/>
              </w:rPr>
            </w:pPr>
          </w:p>
        </w:tc>
        <w:tc>
          <w:tcPr>
            <w:tcW w:w="5320" w:type="dxa"/>
            <w:vAlign w:val="bottom"/>
            <w:tcBorders>
              <w:bottom w:val="single" w:sz="8" w:color="CCEEFF"/>
            </w:tcBorders>
            <w:vMerge w:val="continue"/>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Beginning Balance (cost – $117,500,000 and $109,500,000, respectively)</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117,500,000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108,952,500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700" w:type="dxa"/>
            <w:vAlign w:val="bottom"/>
            <w:gridSpan w:val="3"/>
          </w:tcPr>
          <w:p>
            <w:pPr>
              <w:ind w:left="80"/>
              <w:spacing w:after="0"/>
              <w:rPr>
                <w:sz w:val="20"/>
                <w:szCs w:val="20"/>
                <w:color w:val="auto"/>
              </w:rPr>
            </w:pPr>
            <w:r>
              <w:rPr>
                <w:rFonts w:ascii="Arial" w:cs="Arial" w:eastAsia="Arial" w:hAnsi="Arial"/>
                <w:sz w:val="18"/>
                <w:szCs w:val="18"/>
                <w:color w:val="auto"/>
              </w:rPr>
              <w:t>Net change in fair value</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48"/>
              <w:spacing w:after="0"/>
              <w:rPr>
                <w:sz w:val="20"/>
                <w:szCs w:val="20"/>
                <w:color w:val="auto"/>
              </w:rPr>
            </w:pPr>
            <w:r>
              <w:rPr>
                <w:rFonts w:ascii="Arial" w:cs="Arial" w:eastAsia="Arial" w:hAnsi="Arial"/>
                <w:sz w:val="18"/>
                <w:szCs w:val="18"/>
                <w:color w:val="auto"/>
              </w:rPr>
              <w:t>1,288,592</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547,500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67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Borrowings</w:t>
            </w:r>
            <w:r>
              <w:rPr>
                <w:rFonts w:ascii="Arial" w:cs="Arial" w:eastAsia="Arial" w:hAnsi="Arial"/>
                <w:sz w:val="15"/>
                <w:szCs w:val="15"/>
                <w:color w:val="auto"/>
              </w:rPr>
              <w:t>(1)</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w w:val="93"/>
              </w:rPr>
              <w:t>591,053,100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532,800,000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700" w:type="dxa"/>
            <w:vAlign w:val="bottom"/>
            <w:gridSpan w:val="3"/>
          </w:tcPr>
          <w:p>
            <w:pPr>
              <w:ind w:left="80"/>
              <w:spacing w:after="0"/>
              <w:rPr>
                <w:sz w:val="20"/>
                <w:szCs w:val="20"/>
                <w:color w:val="auto"/>
              </w:rPr>
            </w:pPr>
            <w:r>
              <w:rPr>
                <w:rFonts w:ascii="Arial" w:cs="Arial" w:eastAsia="Arial" w:hAnsi="Arial"/>
                <w:sz w:val="18"/>
                <w:szCs w:val="18"/>
                <w:color w:val="auto"/>
              </w:rPr>
              <w:t>Repayments</w:t>
            </w:r>
            <w:r>
              <w:rPr>
                <w:rFonts w:ascii="Arial" w:cs="Arial" w:eastAsia="Arial" w:hAnsi="Arial"/>
                <w:sz w:val="15"/>
                <w:szCs w:val="15"/>
                <w:color w:val="auto"/>
              </w:rPr>
              <w:t>(1)</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388"/>
              <w:spacing w:after="0"/>
              <w:rPr>
                <w:sz w:val="20"/>
                <w:szCs w:val="20"/>
                <w:color w:val="auto"/>
              </w:rPr>
            </w:pPr>
            <w:r>
              <w:rPr>
                <w:rFonts w:ascii="Arial" w:cs="Arial" w:eastAsia="Arial" w:hAnsi="Arial"/>
                <w:sz w:val="18"/>
                <w:szCs w:val="18"/>
                <w:color w:val="auto"/>
                <w:w w:val="89"/>
              </w:rPr>
              <w:t>(452,654,400)</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(538,800,000)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67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Transfers in and/or out of Level 3</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80" w:type="dxa"/>
            <w:vAlign w:val="bottom"/>
            <w:gridSpan w:val="4"/>
          </w:tcPr>
          <w:p>
            <w:pPr>
              <w:spacing w:after="0"/>
              <w:rPr>
                <w:sz w:val="20"/>
                <w:szCs w:val="20"/>
                <w:color w:val="auto"/>
              </w:rPr>
            </w:pPr>
            <w:r>
              <w:rPr>
                <w:rFonts w:ascii="Arial" w:cs="Arial" w:eastAsia="Arial" w:hAnsi="Arial"/>
                <w:sz w:val="18"/>
                <w:szCs w:val="18"/>
                <w:color w:val="auto"/>
              </w:rPr>
              <w:t>Ending Balance (cost – $255,898,700 and $103,500,000, respectively)</w:t>
            </w:r>
          </w:p>
        </w:tc>
        <w:tc>
          <w:tcPr>
            <w:tcW w:w="16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257,187,292</w:t>
            </w:r>
          </w:p>
        </w:tc>
        <w:tc>
          <w:tcPr>
            <w:tcW w:w="5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103,500,000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67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Temporary draws outstanding, at cost</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11,000,000</w:t>
            </w:r>
          </w:p>
        </w:tc>
        <w:tc>
          <w:tcPr>
            <w:tcW w:w="0" w:type="dxa"/>
            <w:vAlign w:val="bottom"/>
          </w:tcPr>
          <w:p>
            <w:pPr>
              <w:spacing w:after="0"/>
              <w:rPr>
                <w:sz w:val="1"/>
                <w:szCs w:val="1"/>
                <w:color w:val="auto"/>
              </w:rPr>
            </w:pPr>
          </w:p>
        </w:tc>
      </w:tr>
      <w:tr>
        <w:trPr>
          <w:trHeight w:val="223"/>
        </w:trPr>
        <w:tc>
          <w:tcPr>
            <w:tcW w:w="6980" w:type="dxa"/>
            <w:vAlign w:val="bottom"/>
            <w:gridSpan w:val="4"/>
          </w:tcPr>
          <w:p>
            <w:pPr>
              <w:spacing w:after="0"/>
              <w:rPr>
                <w:sz w:val="20"/>
                <w:szCs w:val="20"/>
                <w:color w:val="auto"/>
              </w:rPr>
            </w:pPr>
            <w:r>
              <w:rPr>
                <w:rFonts w:ascii="Arial" w:cs="Arial" w:eastAsia="Arial" w:hAnsi="Arial"/>
                <w:sz w:val="18"/>
                <w:szCs w:val="18"/>
                <w:color w:val="auto"/>
              </w:rPr>
              <w:t>Ending Balance (cost – $255,898,700 and $114,500,000, respectively)</w:t>
            </w:r>
          </w:p>
        </w:tc>
        <w:tc>
          <w:tcPr>
            <w:tcW w:w="1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257,187,292</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114,500,000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820" w:type="dxa"/>
            <w:vAlign w:val="bottom"/>
            <w:gridSpan w:val="2"/>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80" w:type="dxa"/>
            <w:vAlign w:val="bottom"/>
          </w:tcPr>
          <w:p>
            <w:pPr>
              <w:spacing w:after="0"/>
              <w:rPr>
                <w:sz w:val="20"/>
                <w:szCs w:val="20"/>
                <w:color w:val="auto"/>
              </w:rPr>
            </w:pPr>
            <w:r>
              <w:rPr>
                <w:rFonts w:ascii="Arial" w:cs="Arial" w:eastAsia="Arial" w:hAnsi="Arial"/>
                <w:sz w:val="15"/>
                <w:szCs w:val="15"/>
                <w:color w:val="auto"/>
              </w:rPr>
              <w:t>(1)</w:t>
            </w:r>
          </w:p>
        </w:tc>
        <w:tc>
          <w:tcPr>
            <w:tcW w:w="6700" w:type="dxa"/>
            <w:vAlign w:val="bottom"/>
            <w:gridSpan w:val="3"/>
          </w:tcPr>
          <w:p>
            <w:pPr>
              <w:ind w:left="180"/>
              <w:spacing w:after="0"/>
              <w:rPr>
                <w:sz w:val="20"/>
                <w:szCs w:val="20"/>
                <w:color w:val="auto"/>
              </w:rPr>
            </w:pPr>
            <w:r>
              <w:rPr>
                <w:rFonts w:ascii="Arial" w:cs="Arial" w:eastAsia="Arial" w:hAnsi="Arial"/>
                <w:sz w:val="18"/>
                <w:szCs w:val="18"/>
                <w:color w:val="auto"/>
              </w:rPr>
              <w:t>Excludes temporary draws.</w:t>
            </w: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of June 30, 2014, we had outstanding non-USD borrowing on our Credit Facility denominated in British Pounds. Net change in fair value on these outstanding borrowings is listed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2980" w:type="dxa"/>
            <w:vAlign w:val="bottom"/>
          </w:tcPr>
          <w:p>
            <w:pPr>
              <w:spacing w:after="0"/>
              <w:rPr>
                <w:sz w:val="14"/>
                <w:szCs w:val="14"/>
                <w:color w:val="auto"/>
              </w:rPr>
            </w:pPr>
          </w:p>
        </w:tc>
        <w:tc>
          <w:tcPr>
            <w:tcW w:w="12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6"/>
              </w:rPr>
              <w:t>Local Currency</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Original</w:t>
            </w:r>
          </w:p>
        </w:tc>
        <w:tc>
          <w:tcPr>
            <w:tcW w:w="220" w:type="dxa"/>
            <w:vAlign w:val="bottom"/>
          </w:tcPr>
          <w:p>
            <w:pPr>
              <w:spacing w:after="0"/>
              <w:rPr>
                <w:sz w:val="14"/>
                <w:szCs w:val="14"/>
                <w:color w:val="auto"/>
              </w:rPr>
            </w:pPr>
          </w:p>
        </w:tc>
        <w:tc>
          <w:tcPr>
            <w:tcW w:w="14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7"/>
              </w:rPr>
              <w:t>Current Value</w:t>
            </w:r>
          </w:p>
        </w:tc>
        <w:tc>
          <w:tcPr>
            <w:tcW w:w="19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Reset Date</w:t>
            </w: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Net Change in</w:t>
            </w:r>
          </w:p>
        </w:tc>
        <w:tc>
          <w:tcPr>
            <w:tcW w:w="0" w:type="dxa"/>
            <w:vAlign w:val="bottom"/>
          </w:tcPr>
          <w:p>
            <w:pPr>
              <w:spacing w:after="0"/>
              <w:rPr>
                <w:sz w:val="1"/>
                <w:szCs w:val="1"/>
                <w:color w:val="auto"/>
              </w:rPr>
            </w:pPr>
          </w:p>
        </w:tc>
      </w:tr>
      <w:tr>
        <w:trPr>
          <w:trHeight w:val="178"/>
        </w:trPr>
        <w:tc>
          <w:tcPr>
            <w:tcW w:w="1120" w:type="dxa"/>
            <w:vAlign w:val="bottom"/>
            <w:tcBorders>
              <w:bottom w:val="single" w:sz="8" w:color="auto"/>
            </w:tcBorders>
            <w:vMerge w:val="continue"/>
          </w:tcPr>
          <w:p>
            <w:pPr>
              <w:spacing w:after="0"/>
              <w:rPr>
                <w:sz w:val="15"/>
                <w:szCs w:val="15"/>
                <w:color w:val="auto"/>
              </w:rPr>
            </w:pPr>
          </w:p>
        </w:tc>
        <w:tc>
          <w:tcPr>
            <w:tcW w:w="298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3"/>
          </w:tcPr>
          <w:p>
            <w:pPr>
              <w:jc w:val="center"/>
              <w:ind w:right="200"/>
              <w:spacing w:after="0" w:line="158" w:lineRule="exact"/>
              <w:rPr>
                <w:sz w:val="20"/>
                <w:szCs w:val="20"/>
                <w:color w:val="auto"/>
              </w:rPr>
            </w:pPr>
            <w:r>
              <w:rPr>
                <w:rFonts w:ascii="Arial" w:cs="Arial" w:eastAsia="Arial" w:hAnsi="Arial"/>
                <w:sz w:val="14"/>
                <w:szCs w:val="14"/>
                <w:b w:val="1"/>
                <w:bCs w:val="1"/>
                <w:color w:val="auto"/>
                <w:w w:val="93"/>
              </w:rPr>
              <w:t>Borrowing Cost</w:t>
            </w:r>
          </w:p>
        </w:tc>
        <w:tc>
          <w:tcPr>
            <w:tcW w:w="2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3"/>
        </w:trPr>
        <w:tc>
          <w:tcPr>
            <w:tcW w:w="11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British Pound</w:t>
            </w:r>
          </w:p>
        </w:tc>
        <w:tc>
          <w:tcPr>
            <w:tcW w:w="29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27,000,000</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45,154,800</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$ 46,207,556</w:t>
            </w:r>
          </w:p>
        </w:tc>
        <w:tc>
          <w:tcPr>
            <w:tcW w:w="44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July 1, 2014</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1,052,756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British Pound</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7,000,000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11,743,900</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11,979,736</w:t>
            </w:r>
          </w:p>
        </w:tc>
        <w:tc>
          <w:tcPr>
            <w:tcW w:w="19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September 11, 2014</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235,836</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34,000,000</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56,898,700</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$ 58,187,292</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1,288,592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4"/>
          </w:tcPr>
          <w:p>
            <w:pPr>
              <w:ind w:left="200"/>
              <w:spacing w:after="0"/>
              <w:rPr>
                <w:sz w:val="20"/>
                <w:szCs w:val="20"/>
                <w:color w:val="auto"/>
              </w:rPr>
            </w:pPr>
            <w:r>
              <w:rPr>
                <w:rFonts w:ascii="Arial" w:cs="Arial" w:eastAsia="Arial" w:hAnsi="Arial"/>
                <w:sz w:val="18"/>
                <w:szCs w:val="18"/>
                <w:color w:val="auto"/>
              </w:rPr>
              <w:t>S-65</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adopted ASC 825-10, which provides companies with an option to report selected financial assets and liabilities at fair value, and made an irrevocable election to apply ASC 825-10 to our Credit Facility and our 2025 Notes. We elected to use the fair value option for the Credit Facility and the 2025 Notes to align the measurement attributes of both our assets and liabilities while mitigating volatility in earnings from using different measurement attributes. Due to that election and in accordance with GAAP, we incurred non-recurring expenses of $3.9 million relating to debt issuance costs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2025 Notes are reported in our Consolidated Statement of Operations. We elected not to apply ASC 825-10 to any other financial assets or liabilities, including the SBA debentures. For the three and nine months ended June 30, 2014, our Credit Facility and 2025 Notes had a net change in unrealized appreciation of $3.4 million and $5.4 million, respectively. For the three and nine months ended June 30, 2013, our Credit Facility and 2025 Notes had a net change in unrealized depreciation (appreciation) of $0.4 million and $(0.5) million, respectively. As of June 30, 2014 and September 30, 2013, net unrealized (appreciation) depreciation on our Credit Facility and 2025 Notes totaled $(2.6) million and $2.9 million, respectively. We use a nationally recognized independent valuation service to measure the fair value of our Credit Facility in a manner consistent with the valuation process that the board of directors uses to value our investments. Our 2025 Notes trade on the NYSE, under the ticker “PNTA” and we use the closing price on the exchange to determine their fair value.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12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An affiliated portfolio company is a company in which we have ownership of 5% or more of its voting securities. A non-controlled affiliate is a portfolio company in which we own at least 5% but less than 25% of its voting securities and a controlled affiliate is a portfolio company in which we own 25% or more of its voting securities. Transactions related to our funded investments with both controlled and non-controlled affiliates for the nine months ended June 30, 2014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Fair Value at</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Purchases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Sale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Fair Value at</w:t>
            </w:r>
          </w:p>
        </w:tc>
        <w:tc>
          <w:tcPr>
            <w:tcW w:w="1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Realized</w:t>
            </w:r>
          </w:p>
        </w:tc>
        <w:tc>
          <w:tcPr>
            <w:tcW w:w="0" w:type="dxa"/>
            <w:vAlign w:val="bottom"/>
          </w:tcPr>
          <w:p>
            <w:pPr>
              <w:spacing w:after="0"/>
              <w:rPr>
                <w:sz w:val="1"/>
                <w:szCs w:val="1"/>
                <w:color w:val="auto"/>
              </w:rPr>
            </w:pPr>
          </w:p>
        </w:tc>
      </w:tr>
      <w:tr>
        <w:trPr>
          <w:trHeight w:val="149"/>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3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Advances to</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Distributions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171"/>
        </w:trPr>
        <w:tc>
          <w:tcPr>
            <w:tcW w:w="41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2013</w:t>
            </w:r>
          </w:p>
        </w:tc>
        <w:tc>
          <w:tcPr>
            <w:tcW w:w="32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Affiliates</w:t>
            </w:r>
          </w:p>
        </w:tc>
        <w:tc>
          <w:tcPr>
            <w:tcW w:w="140" w:type="dxa"/>
            <w:vAlign w:val="bottom"/>
          </w:tcPr>
          <w:p>
            <w:pPr>
              <w:spacing w:after="0"/>
              <w:rPr>
                <w:sz w:val="14"/>
                <w:szCs w:val="14"/>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7"/>
              </w:rPr>
              <w:t>from Affiliates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Accrued</w:t>
            </w:r>
          </w:p>
        </w:tc>
        <w:tc>
          <w:tcPr>
            <w:tcW w:w="100" w:type="dxa"/>
            <w:vAlign w:val="bottom"/>
          </w:tcPr>
          <w:p>
            <w:pPr>
              <w:spacing w:after="0"/>
              <w:rPr>
                <w:sz w:val="14"/>
                <w:szCs w:val="14"/>
                <w:color w:val="auto"/>
              </w:rPr>
            </w:pPr>
          </w:p>
        </w:tc>
        <w:tc>
          <w:tcPr>
            <w:tcW w:w="920" w:type="dxa"/>
            <w:vAlign w:val="bottom"/>
          </w:tcPr>
          <w:p>
            <w:pPr>
              <w:jc w:val="center"/>
              <w:ind w:right="14"/>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Controlled Affiliates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Superior Digital Displays Holdings,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$19,330,914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1,213,801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18,574,163</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SuttonPark Holdings, Inc.</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13,500,000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1,257,472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13,499,999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Universal Pegasus International, LLC</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17,552,044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22,592,260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(72,539,605)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4,059,881</w:t>
            </w:r>
          </w:p>
        </w:tc>
        <w:tc>
          <w:tcPr>
            <w:tcW w:w="100" w:type="dxa"/>
            <w:vAlign w:val="bottom"/>
          </w:tcPr>
          <w:p>
            <w:pPr>
              <w:spacing w:after="0"/>
              <w:rPr>
                <w:sz w:val="18"/>
                <w:szCs w:val="18"/>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color w:val="auto"/>
                <w:w w:val="98"/>
              </w:rPr>
              <w:t>(46,895)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Non-Controlled Affiliates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DirectBuy Holdings, Inc.</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17,805,936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991,130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(1,126,015)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996,312</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12,757,080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EnviroSolutions Holdings, Inc.</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21,265,345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9,196,328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473,990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24,563,138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NCP-Performance, L.P.</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2,500,165</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157,518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 International Holdings, Inc.</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1,694,296</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806,679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Service Champ, Inc.</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33,470,058</w:t>
            </w:r>
          </w:p>
        </w:tc>
        <w:tc>
          <w:tcPr>
            <w:tcW w:w="320" w:type="dxa"/>
            <w:vAlign w:val="bottom"/>
          </w:tcPr>
          <w:p>
            <w:pPr>
              <w:spacing w:after="0"/>
              <w:rPr>
                <w:sz w:val="19"/>
                <w:szCs w:val="19"/>
                <w:color w:val="auto"/>
              </w:rPr>
            </w:pPr>
          </w:p>
        </w:tc>
        <w:tc>
          <w:tcPr>
            <w:tcW w:w="9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2,703,931</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33,655,320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Controlled and Non-Controlled Affiliates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107,787,844</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55,610,632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(77,165,620)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10,705,387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104,013,897</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(46,895)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S-66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RESULTING FROM OPERATIONS PER COMMON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23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 June 30,</w:t>
            </w:r>
          </w:p>
        </w:tc>
      </w:tr>
      <w:tr>
        <w:trPr>
          <w:trHeight w:val="142"/>
        </w:trPr>
        <w:tc>
          <w:tcPr>
            <w:tcW w:w="6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2"/>
                <w:szCs w:val="12"/>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Numerator for net 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31,949,311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13,785,532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112,085,415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69,299,053</w:t>
            </w:r>
          </w:p>
        </w:tc>
        <w:tc>
          <w:tcPr>
            <w:tcW w:w="6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66,569,036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66,450,117</w:t>
            </w:r>
          </w:p>
        </w:tc>
        <w:tc>
          <w:tcPr>
            <w:tcW w:w="14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66,561,520</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66,340,895</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7"/>
              </w:rPr>
              <w:t>Basic and diluted net increase in net assets resulting from operations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AND CASH EQUIVALENTS</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June 30, 2014 and September 30, 2013, cash and cash equivalents consisted of $64.4 million and $58.4 million, respectively.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460" w:right="8460" w:hanging="452"/>
        <w:spacing w:after="0" w:line="407" w:lineRule="auto"/>
        <w:tabs>
          <w:tab w:leader="none" w:pos="184"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HIGHLIGHTS </w:t>
      </w:r>
      <w:r>
        <w:rPr>
          <w:rFonts w:ascii="Arial" w:cs="Arial" w:eastAsia="Arial" w:hAnsi="Arial"/>
          <w:sz w:val="18"/>
          <w:szCs w:val="18"/>
          <w:color w:val="auto"/>
        </w:rPr>
        <w:t>Below are the financial highlights: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NAV, beginning of period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10.49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5"/>
                <w:szCs w:val="15"/>
                <w:color w:val="auto"/>
              </w:rPr>
              <w:t>(1)</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realized and unrealized gain</w:t>
            </w:r>
            <w:r>
              <w:rPr>
                <w:rFonts w:ascii="Arial" w:cs="Arial" w:eastAsia="Arial" w:hAnsi="Arial"/>
                <w:sz w:val="15"/>
                <w:szCs w:val="15"/>
                <w:color w:val="auto"/>
              </w:rPr>
              <w:t>(1)</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r>
              <w:rPr>
                <w:rFonts w:ascii="Arial" w:cs="Arial" w:eastAsia="Arial" w:hAnsi="Arial"/>
                <w:sz w:val="15"/>
                <w:szCs w:val="15"/>
                <w:color w:val="auto"/>
              </w:rPr>
              <w:t>(1)</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Distributions to stockholders</w:t>
            </w:r>
            <w:r>
              <w:rPr>
                <w:rFonts w:ascii="Arial" w:cs="Arial" w:eastAsia="Arial" w:hAnsi="Arial"/>
                <w:sz w:val="15"/>
                <w:szCs w:val="15"/>
                <w:color w:val="auto"/>
              </w:rPr>
              <w:t>(1),(2)</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NAV, end of period</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Per share market value, end of period</w:t>
            </w:r>
          </w:p>
        </w:tc>
        <w:tc>
          <w:tcPr>
            <w:tcW w:w="2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6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5"/>
                <w:szCs w:val="15"/>
                <w:color w:val="auto"/>
              </w:rPr>
              <w:t>(3)</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66,569,036</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66,450,117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15"/>
                <w:szCs w:val="15"/>
                <w:color w:val="auto"/>
              </w:rPr>
              <w:t>(4)</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Ratio of debt related expenses to average net assets</w:t>
            </w:r>
            <w:r>
              <w:rPr>
                <w:rFonts w:ascii="Arial" w:cs="Arial" w:eastAsia="Arial" w:hAnsi="Arial"/>
                <w:sz w:val="15"/>
                <w:szCs w:val="15"/>
                <w:color w:val="auto"/>
              </w:rPr>
              <w:t>(5)</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Ratio of total expenses to average net assets</w:t>
            </w: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gridSpan w:val="2"/>
            <w:vMerge w:val="continue"/>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15"/>
                <w:szCs w:val="15"/>
                <w:color w:val="auto"/>
              </w:rPr>
              <w:t>(5)</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2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754,472,793</w:t>
            </w:r>
          </w:p>
        </w:tc>
        <w:tc>
          <w:tcPr>
            <w:tcW w:w="6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693,102,657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debt outstanding</w:t>
            </w:r>
            <w:r>
              <w:rPr>
                <w:rFonts w:ascii="Arial" w:cs="Arial" w:eastAsia="Arial" w:hAnsi="Arial"/>
                <w:sz w:val="15"/>
                <w:szCs w:val="15"/>
                <w:color w:val="auto"/>
              </w:rPr>
              <w:t>(6)</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498,062,949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362,661,538</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Weighted average debt per share</w:t>
            </w:r>
            <w:r>
              <w:rPr>
                <w:rFonts w:ascii="Arial" w:cs="Arial" w:eastAsia="Arial" w:hAnsi="Arial"/>
                <w:sz w:val="15"/>
                <w:szCs w:val="15"/>
                <w:color w:val="auto"/>
              </w:rPr>
              <w:t>(6)</w:t>
            </w:r>
          </w:p>
        </w:tc>
        <w:tc>
          <w:tcPr>
            <w:tcW w:w="2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6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Asset coverage per unit at end of period</w:t>
            </w:r>
            <w:r>
              <w:rPr>
                <w:rFonts w:ascii="Arial" w:cs="Arial" w:eastAsia="Arial" w:hAnsi="Arial"/>
                <w:sz w:val="15"/>
                <w:szCs w:val="15"/>
                <w:color w:val="auto"/>
              </w:rPr>
              <w:t>(7)</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59.31%</w:t>
            </w: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right="7680" w:firstLine="8"/>
        <w:spacing w:after="0" w:line="291" w:lineRule="auto"/>
        <w:tabs>
          <w:tab w:leader="none" w:pos="446"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taxable income calculated in accordance with income tax regulations and may differ from amounts determined under GAAP.</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 and takes into account distributions, if any, reinvested in accordance with our dividend reinvestment plan.</w:t>
      </w: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expenses exclude debt related costs.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Ratios neither annualize the Credit Facility debt issuance costs nor 2025 Notes offering costs.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SBA debentures outstanding.</w:t>
      </w:r>
    </w:p>
    <w:p>
      <w:pPr>
        <w:spacing w:after="0" w:line="9" w:lineRule="exact"/>
        <w:rPr>
          <w:rFonts w:ascii="Arial" w:cs="Arial" w:eastAsia="Arial" w:hAnsi="Arial"/>
          <w:sz w:val="18"/>
          <w:szCs w:val="18"/>
          <w:color w:val="auto"/>
        </w:rPr>
      </w:pPr>
    </w:p>
    <w:p>
      <w:pPr>
        <w:ind w:left="460" w:right="160" w:hanging="452"/>
        <w:spacing w:after="0" w:line="25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 These amounts exclude SBIC LP’s SBA debentures from our asset coverage per unit computation pursuant to an exemptive relief letter provided by the SEC in June 2011.</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121" w:lineRule="exact"/>
        <w:rPr>
          <w:sz w:val="20"/>
          <w:szCs w:val="20"/>
          <w:color w:val="auto"/>
        </w:rPr>
      </w:pPr>
    </w:p>
    <w:p>
      <w:pPr>
        <w:jc w:val="both"/>
        <w:ind w:right="60" w:firstLine="456"/>
        <w:spacing w:after="0" w:line="279" w:lineRule="auto"/>
        <w:rPr>
          <w:sz w:val="20"/>
          <w:szCs w:val="20"/>
          <w:color w:val="auto"/>
        </w:rPr>
      </w:pPr>
      <w:r>
        <w:rPr>
          <w:rFonts w:ascii="Arial" w:cs="Arial" w:eastAsia="Arial" w:hAnsi="Arial"/>
          <w:sz w:val="17"/>
          <w:szCs w:val="17"/>
          <w:color w:val="auto"/>
        </w:rPr>
        <w:t>Our annualized weighted average cost of debt for the nine months ended June 30, 2014 and 2013, inclusive of the fee on the undrawn commitment on the Credit Facility and amortized upfront fees on SBA debentures but excluding debt issuance costs, was 3.94% and 4.15%, respectively. 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June 25, 2014, we amended and restated our multi-currency Credit Facility to increase the amount available for borrowing from $445 million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$545 million, reduce the interest rate spread above LIBOR from 2.75% to 2.25%, reduce the undrawn commitment fee from 0.50% to 0.375% and extend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maturity date from February 21, 2016 to June 25, 2019. This multi-currency Credit Facility is with certain lenders and SunTrust Bank, acting as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 and JPMorgan Chase Bank, N.A., acting as syndication agent for the lenders. As of June 30, 2014 and September 30, 2013, there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$255.9 million and $145.5 million (including a temporary draw of $28.0 million), respectively, in outstanding borrowings under the Credit Facility, with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interest rate at the time of 2.52% and 3.33%, exclusive of the fee on undrawn commitments of 0.375% and 0.50%, respectively. The Credit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Facility is a five-year revolving facility with a stated maturity date of June 25, 2019, a one-year term-out period following its fourth year and pricing set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225 basis points over LIBOR. The Credit Facility is secured by substantially all of our assets excluding assets held by our SBIC Funds.</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SBA Debentures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$150.0 million as of June 30, 2014. We have funded SBIC II with $37.5 million of equity capital and we received a commitment from the SBA to allow SBIC II to access $75.0 million in SBA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$225.0 million in the aggregate.</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As of June 30, 2014 and September 30, 2013, our SBIC Funds had $225.0 million and $150.0 million in debt commitments, respectively, and $150.0 million was drawn for each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fixed-rate SBA debentures as of June 30, 2014 and September 30, 2013 were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8"/>
              </w:rPr>
              <w:t>Issuance Dates</w:t>
            </w:r>
          </w:p>
        </w:tc>
        <w:tc>
          <w:tcPr>
            <w:tcW w:w="2500" w:type="dxa"/>
            <w:vAlign w:val="bottom"/>
            <w:vMerge w:val="restart"/>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640" w:type="dxa"/>
            <w:vAlign w:val="bottom"/>
            <w:vMerge w:val="restart"/>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Fixed All-In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vMerge w:val="continue"/>
          </w:tcPr>
          <w:p>
            <w:pPr>
              <w:spacing w:after="0"/>
              <w:rPr>
                <w:sz w:val="14"/>
                <w:szCs w:val="14"/>
                <w:color w:val="auto"/>
              </w:rPr>
            </w:pPr>
          </w:p>
        </w:tc>
        <w:tc>
          <w:tcPr>
            <w:tcW w:w="250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Coupon Rate</w:t>
            </w:r>
          </w:p>
        </w:tc>
        <w:tc>
          <w:tcPr>
            <w:tcW w:w="4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1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87"/>
              </w:rPr>
              <w:t>September 1, 2020</w:t>
            </w:r>
          </w:p>
        </w:tc>
        <w:tc>
          <w:tcPr>
            <w:tcW w:w="6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3480" w:type="dxa"/>
            <w:vAlign w:val="bottom"/>
            <w:gridSpan w:val="3"/>
          </w:tcPr>
          <w:p>
            <w:pPr>
              <w:ind w:left="1480"/>
              <w:spacing w:after="0"/>
              <w:rPr>
                <w:sz w:val="20"/>
                <w:szCs w:val="20"/>
                <w:color w:val="auto"/>
              </w:rPr>
            </w:pPr>
            <w:r>
              <w:rPr>
                <w:rFonts w:ascii="Arial" w:cs="Arial" w:eastAsia="Arial" w:hAnsi="Arial"/>
                <w:sz w:val="18"/>
                <w:szCs w:val="18"/>
                <w:color w:val="auto"/>
              </w:rPr>
              <w:t>March 1, 2021</w:t>
            </w:r>
          </w:p>
        </w:tc>
        <w:tc>
          <w:tcPr>
            <w:tcW w:w="1280" w:type="dxa"/>
            <w:vAlign w:val="bottom"/>
            <w:gridSpan w:val="2"/>
          </w:tcPr>
          <w:p>
            <w:pPr>
              <w:ind w:left="520"/>
              <w:spacing w:after="0"/>
              <w:rPr>
                <w:sz w:val="20"/>
                <w:szCs w:val="20"/>
                <w:color w:val="auto"/>
              </w:rPr>
            </w:pPr>
            <w:r>
              <w:rPr>
                <w:rFonts w:ascii="Arial" w:cs="Arial" w:eastAsia="Arial" w:hAnsi="Arial"/>
                <w:sz w:val="18"/>
                <w:szCs w:val="18"/>
                <w:color w:val="auto"/>
              </w:rPr>
              <w:t>4.46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44,500,000</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3480" w:type="dxa"/>
            <w:vAlign w:val="bottom"/>
            <w:gridSpan w:val="3"/>
            <w:shd w:val="clear" w:color="auto" w:fill="CCEEFF"/>
          </w:tcPr>
          <w:p>
            <w:pPr>
              <w:ind w:left="1480"/>
              <w:spacing w:after="0"/>
              <w:rPr>
                <w:sz w:val="20"/>
                <w:szCs w:val="20"/>
                <w:color w:val="auto"/>
              </w:rPr>
            </w:pPr>
            <w:r>
              <w:rPr>
                <w:rFonts w:ascii="Arial" w:cs="Arial" w:eastAsia="Arial" w:hAnsi="Arial"/>
                <w:sz w:val="18"/>
                <w:szCs w:val="18"/>
                <w:color w:val="auto"/>
              </w:rPr>
              <w:t>September 1, 2021</w:t>
            </w:r>
          </w:p>
        </w:tc>
        <w:tc>
          <w:tcPr>
            <w:tcW w:w="8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5"/>
              </w:rPr>
              <w:t>3.38</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Weighted Average Rate / Total</w:t>
            </w:r>
          </w:p>
        </w:tc>
        <w:tc>
          <w:tcPr>
            <w:tcW w:w="1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gridSpan w:val="2"/>
          </w:tcPr>
          <w:p>
            <w:pPr>
              <w:ind w:left="520"/>
              <w:spacing w:after="0"/>
              <w:rPr>
                <w:sz w:val="20"/>
                <w:szCs w:val="20"/>
                <w:color w:val="auto"/>
              </w:rPr>
            </w:pPr>
            <w:r>
              <w:rPr>
                <w:rFonts w:ascii="Arial" w:cs="Arial" w:eastAsia="Arial" w:hAnsi="Arial"/>
                <w:sz w:val="18"/>
                <w:szCs w:val="18"/>
                <w:color w:val="auto"/>
              </w:rPr>
              <w:t>3.70%</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80" w:type="dxa"/>
            <w:vAlign w:val="bottom"/>
            <w:gridSpan w:val="3"/>
            <w:vMerge w:val="restart"/>
          </w:tcPr>
          <w:p>
            <w:pPr>
              <w:ind w:left="1200"/>
              <w:spacing w:after="0"/>
              <w:rPr>
                <w:sz w:val="20"/>
                <w:szCs w:val="20"/>
                <w:color w:val="auto"/>
              </w:rPr>
            </w:pPr>
            <w:r>
              <w:rPr>
                <w:rFonts w:ascii="Arial" w:cs="Arial" w:eastAsia="Arial" w:hAnsi="Arial"/>
                <w:sz w:val="18"/>
                <w:szCs w:val="18"/>
                <w:color w:val="auto"/>
              </w:rPr>
              <w:t>S-69</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480" w:type="dxa"/>
            <w:vAlign w:val="bottom"/>
            <w:gridSpan w:val="3"/>
            <w:vMerge w:val="continue"/>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SBA regulations, our SBIC Funds are subject to regulatory requirements, including making investments in SBA-eligible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of their financial statements that are prepared on a basis of accounting other than GAAP (for example, fair value, as defined under ASC 820, is not required to be used for assets or liabilities for such compliance reporting). If our SBIC Funds fail to comply with applicable SBA regulations, the SBA could, depending on the severity of the violation, limit or prohibit their use of debentures, declare outstanding debentures immediately due and payable and/or limit them from making new investments. These actions by the SBA would, in turn, negatively affect us because our SBIC Funds are wholly owned by us.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2025 Notes</w:t>
      </w:r>
    </w:p>
    <w:p>
      <w:pPr>
        <w:spacing w:after="0" w:line="117" w:lineRule="exact"/>
        <w:rPr>
          <w:sz w:val="20"/>
          <w:szCs w:val="20"/>
          <w:color w:val="auto"/>
        </w:rPr>
      </w:pPr>
    </w:p>
    <w:p>
      <w:pPr>
        <w:ind w:right="300" w:firstLine="456"/>
        <w:spacing w:after="0" w:line="276" w:lineRule="auto"/>
        <w:rPr>
          <w:sz w:val="20"/>
          <w:szCs w:val="20"/>
          <w:color w:val="auto"/>
        </w:rPr>
      </w:pPr>
      <w:r>
        <w:rPr>
          <w:rFonts w:ascii="Arial" w:cs="Arial" w:eastAsia="Arial" w:hAnsi="Arial"/>
          <w:sz w:val="17"/>
          <w:szCs w:val="17"/>
          <w:color w:val="auto"/>
        </w:rPr>
        <w:t>As of June 30, 2014 and September 30, 2013, we had $71.3 million in aggregate principal amount of 2025 Notes. Interest on the 2025 Notes is paid quarterly on 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investments described in the Consolidated Statement of Assets and Liabilities represent unfunded delayed draws on investments and/or revolving lines of credit, if any.</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in the ordinary course of business, have guaranteed certain obligations of SPH. The guaranties are only triggered if there were administrative errors in acquiring assets which SPH subsequently sold or securitized. As of June 30, 2014 and September 30, 2013, our maximum guaranty was $11.3 million and $13.0 million, respectively. Based on SPH’s and industry historical loss rates we believe the risk of loss is remote, thus, we have not recorded a liability associated with the guaranties. The current guaranties will decline over time.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11430</wp:posOffset>
            </wp:positionV>
            <wp:extent cx="1766570" cy="3771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665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PennantPark Investment Corporation is a closed-end, externally managed, non-diversified investment company that has elected to be treated as a business development company under the Investment Company Act of 1940, as amended.</w:t>
      </w:r>
    </w:p>
    <w:p>
      <w:pPr>
        <w:spacing w:after="0" w:line="62"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senior secured loans, mezzanine debt and equity investments. We can offer no assurances that we will achieve our investment objectives.</w:t>
      </w:r>
    </w:p>
    <w:p>
      <w:pPr>
        <w:spacing w:after="0" w:line="73"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offer, from time to time, in one or more offerings or series, together or separately, up to $1,000,000,000 of our common stock, preferred stock, warrants representing rights to purchase shares of our common stock, preferred stock or debt securities, subscription rights, debt securities, or units, which we refer to, collectively, as the “securities.”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8 and “Sales of Common Stock Below Net Asset Value” on page 37 of this prospectus for more information.</w:t>
      </w:r>
    </w:p>
    <w:p>
      <w:pPr>
        <w:spacing w:after="0" w:line="6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common stock has been approved for quotation on the NASDAQ Global Select Market under the symbol “PNNT.” The last reported closing price for our common stock on December 6, 2013 was $11.93 per share, and our net asset value on September 30, 2013 was $10.49 per share. Our 6.25% senior notes due 2025, or the 2025 Notes, have been approved for quotation on the New York Stock Exchange, or NYSE, under the symbol “PNTA.” The last reported closing price of the 2025 Notes on December 6, 2013 was $23.93 per $25 of par.</w:t>
      </w:r>
    </w:p>
    <w:p>
      <w:pPr>
        <w:spacing w:after="0" w:line="79"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p>
      <w:pPr>
        <w:jc w:val="both"/>
        <w:ind w:right="100" w:firstLine="456"/>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8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p>
      <w:pPr>
        <w:ind w:right="52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1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Prospectus dated January 30, 2014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60" w:type="dxa"/>
            <w:vAlign w:val="bottom"/>
            <w:gridSpan w:val="5"/>
          </w:tcPr>
          <w:p>
            <w:pPr>
              <w:ind w:left="12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100" w:type="dxa"/>
            <w:vAlign w:val="bottom"/>
            <w:gridSpan w:val="10"/>
            <w:vMerge w:val="restart"/>
          </w:tcPr>
          <w:p>
            <w:pPr>
              <w:spacing w:after="0"/>
              <w:rPr>
                <w:rFonts w:ascii="Arial" w:cs="Arial" w:eastAsia="Arial" w:hAnsi="Arial"/>
                <w:sz w:val="18"/>
                <w:szCs w:val="18"/>
                <w:color w:val="0000EE"/>
                <w:w w:val="94"/>
              </w:rPr>
            </w:pPr>
            <w:hyperlink w:anchor="page77">
              <w:r>
                <w:rPr>
                  <w:rFonts w:ascii="Arial" w:cs="Arial" w:eastAsia="Arial" w:hAnsi="Arial"/>
                  <w:sz w:val="18"/>
                  <w:szCs w:val="18"/>
                  <w:color w:val="0000EE"/>
                  <w:w w:val="94"/>
                </w:rPr>
                <w:t>PROSPECTUS SUMMARY</w:t>
              </w:r>
            </w:hyperlink>
          </w:p>
        </w:tc>
        <w:tc>
          <w:tcPr>
            <w:tcW w:w="8800" w:type="dxa"/>
            <w:vAlign w:val="bottom"/>
            <w:gridSpan w:val="23"/>
            <w:vMerge w:val="restart"/>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100" w:type="dxa"/>
            <w:vAlign w:val="bottom"/>
            <w:tcBorders>
              <w:bottom w:val="single" w:sz="8" w:color="0000EE"/>
            </w:tcBorders>
            <w:gridSpan w:val="10"/>
            <w:vMerge w:val="continue"/>
          </w:tcPr>
          <w:p>
            <w:pPr>
              <w:spacing w:after="0"/>
              <w:rPr>
                <w:sz w:val="14"/>
                <w:szCs w:val="14"/>
                <w:color w:val="auto"/>
              </w:rPr>
            </w:pPr>
          </w:p>
        </w:tc>
        <w:tc>
          <w:tcPr>
            <w:tcW w:w="8800" w:type="dxa"/>
            <w:vAlign w:val="bottom"/>
            <w:gridSpan w:val="23"/>
            <w:vMerge w:val="continue"/>
          </w:tcPr>
          <w:p>
            <w:pPr>
              <w:spacing w:after="0"/>
              <w:rPr>
                <w:sz w:val="14"/>
                <w:szCs w:val="14"/>
                <w:color w:val="auto"/>
              </w:rPr>
            </w:pPr>
          </w:p>
        </w:tc>
        <w:tc>
          <w:tcPr>
            <w:tcW w:w="4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FEES AND EXPENSES</w:t>
              </w:r>
            </w:hyperlink>
          </w:p>
        </w:tc>
        <w:tc>
          <w:tcPr>
            <w:tcW w:w="9100" w:type="dxa"/>
            <w:vAlign w:val="bottom"/>
            <w:gridSpan w:val="25"/>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84">
              <w:r>
                <w:rPr>
                  <w:rFonts w:ascii="Arial" w:cs="Arial" w:eastAsia="Arial" w:hAnsi="Arial"/>
                  <w:sz w:val="18"/>
                  <w:szCs w:val="18"/>
                  <w:color w:val="0000EE"/>
                  <w:w w:val="93"/>
                </w:rPr>
                <w:t>RISK FACTORS</w:t>
              </w:r>
            </w:hyperlink>
          </w:p>
        </w:tc>
        <w:tc>
          <w:tcPr>
            <w:tcW w:w="9640" w:type="dxa"/>
            <w:vAlign w:val="bottom"/>
            <w:gridSpan w:val="30"/>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112">
              <w:r>
                <w:rPr>
                  <w:rFonts w:ascii="Arial" w:cs="Arial" w:eastAsia="Arial" w:hAnsi="Arial"/>
                  <w:sz w:val="18"/>
                  <w:szCs w:val="18"/>
                  <w:color w:val="0000EE"/>
                  <w:w w:val="95"/>
                </w:rPr>
                <w:t>FORWARD-LOOKING STATEMENTS</w:t>
              </w:r>
            </w:hyperlink>
          </w:p>
        </w:tc>
        <w:tc>
          <w:tcPr>
            <w:tcW w:w="7960" w:type="dxa"/>
            <w:vAlign w:val="bottom"/>
            <w:gridSpan w:val="1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USE OF PROCEEDS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1"/>
          </w:tcPr>
          <w:p>
            <w:pPr>
              <w:spacing w:after="0" w:line="196" w:lineRule="exact"/>
              <w:rPr>
                <w:rFonts w:ascii="Arial" w:cs="Arial" w:eastAsia="Arial" w:hAnsi="Arial"/>
                <w:sz w:val="18"/>
                <w:szCs w:val="18"/>
                <w:color w:val="0000EE"/>
                <w:w w:val="97"/>
              </w:rPr>
            </w:pPr>
            <w:hyperlink w:anchor="page114">
              <w:r>
                <w:rPr>
                  <w:rFonts w:ascii="Arial" w:cs="Arial" w:eastAsia="Arial" w:hAnsi="Arial"/>
                  <w:sz w:val="18"/>
                  <w:szCs w:val="18"/>
                  <w:color w:val="0000EE"/>
                  <w:w w:val="97"/>
                </w:rPr>
                <w:t>SELECTED FINANCIAL DATA</w:t>
              </w:r>
            </w:hyperlink>
          </w:p>
        </w:tc>
        <w:tc>
          <w:tcPr>
            <w:tcW w:w="8460" w:type="dxa"/>
            <w:vAlign w:val="bottom"/>
            <w:gridSpan w:val="2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MANAGEMENT’S DISCUSSION AND ANALYSIS OF FINANCIAL CONDITION AND RESULTS OF OPERATIONS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92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RATIO OF EARNINGS TO FIXED CHARGES</w:t>
              </w:r>
            </w:hyperlink>
          </w:p>
        </w:tc>
        <w:tc>
          <w:tcPr>
            <w:tcW w:w="198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PRICE RANGE OF COMMON STOCK</w:t>
              </w:r>
            </w:hyperlink>
          </w:p>
        </w:tc>
        <w:tc>
          <w:tcPr>
            <w:tcW w:w="7400" w:type="dxa"/>
            <w:vAlign w:val="bottom"/>
            <w:gridSpan w:val="1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SALES OF COMMON STOCK BELOW NET ASSET VALUE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DISTRIBUTIONS</w:t>
              </w:r>
            </w:hyperlink>
          </w:p>
        </w:tc>
        <w:tc>
          <w:tcPr>
            <w:tcW w:w="6260" w:type="dxa"/>
            <w:vAlign w:val="bottom"/>
            <w:gridSpan w:val="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141">
              <w:r>
                <w:rPr>
                  <w:rFonts w:ascii="Arial" w:cs="Arial" w:eastAsia="Arial" w:hAnsi="Arial"/>
                  <w:sz w:val="18"/>
                  <w:szCs w:val="18"/>
                  <w:color w:val="0000EE"/>
                  <w:w w:val="92"/>
                </w:rPr>
                <w:t>BUSINESS</w:t>
              </w:r>
            </w:hyperlink>
          </w:p>
        </w:tc>
        <w:tc>
          <w:tcPr>
            <w:tcW w:w="500" w:type="dxa"/>
            <w:vAlign w:val="bottom"/>
            <w:tcBorders>
              <w:top w:val="single" w:sz="8" w:color="0000EE"/>
            </w:tcBorders>
            <w:gridSpan w:val="4"/>
          </w:tcPr>
          <w:p>
            <w:pPr>
              <w:spacing w:after="0"/>
              <w:rPr>
                <w:sz w:val="17"/>
                <w:szCs w:val="17"/>
                <w:color w:val="auto"/>
              </w:rPr>
            </w:pPr>
          </w:p>
        </w:tc>
        <w:tc>
          <w:tcPr>
            <w:tcW w:w="9540" w:type="dxa"/>
            <w:vAlign w:val="bottom"/>
            <w:gridSpan w:val="2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22"/>
          </w:tcPr>
          <w:p>
            <w:pPr>
              <w:spacing w:after="0" w:line="196" w:lineRule="exact"/>
              <w:rPr>
                <w:rFonts w:ascii="Arial" w:cs="Arial" w:eastAsia="Arial" w:hAnsi="Arial"/>
                <w:sz w:val="18"/>
                <w:szCs w:val="18"/>
                <w:color w:val="0000EE"/>
                <w:w w:val="96"/>
              </w:rPr>
            </w:pPr>
            <w:hyperlink w:anchor="page146">
              <w:r>
                <w:rPr>
                  <w:rFonts w:ascii="Arial" w:cs="Arial" w:eastAsia="Arial" w:hAnsi="Arial"/>
                  <w:sz w:val="18"/>
                  <w:szCs w:val="18"/>
                  <w:color w:val="0000EE"/>
                  <w:w w:val="96"/>
                </w:rPr>
                <w:t>INVESTMENT OBJECTIVES AND POLICIES</w:t>
              </w:r>
            </w:hyperlink>
          </w:p>
        </w:tc>
        <w:tc>
          <w:tcPr>
            <w:tcW w:w="7360" w:type="dxa"/>
            <w:vAlign w:val="bottom"/>
            <w:gridSpan w:val="1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152">
              <w:r>
                <w:rPr>
                  <w:rFonts w:ascii="Arial" w:cs="Arial" w:eastAsia="Arial" w:hAnsi="Arial"/>
                  <w:sz w:val="18"/>
                  <w:szCs w:val="18"/>
                  <w:color w:val="0000EE"/>
                  <w:w w:val="93"/>
                </w:rPr>
                <w:t>PORTFOLIO COMPANIES</w:t>
              </w:r>
            </w:hyperlink>
          </w:p>
        </w:tc>
        <w:tc>
          <w:tcPr>
            <w:tcW w:w="8840" w:type="dxa"/>
            <w:vAlign w:val="bottom"/>
            <w:gridSpan w:val="2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MANAGEMENT</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CONTROL PERSONS AND PRINCIPAL STOCKHOLDERS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CERTAIN RELATIONSHIPS AND TRANSACTIONS</w:t>
              </w:r>
            </w:hyperlink>
          </w:p>
        </w:tc>
        <w:tc>
          <w:tcPr>
            <w:tcW w:w="6360" w:type="dxa"/>
            <w:vAlign w:val="bottom"/>
            <w:gridSpan w:val="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6"/>
              </w:rPr>
            </w:pPr>
            <w:hyperlink w:anchor="page172">
              <w:r>
                <w:rPr>
                  <w:rFonts w:ascii="Arial" w:cs="Arial" w:eastAsia="Arial" w:hAnsi="Arial"/>
                  <w:sz w:val="18"/>
                  <w:szCs w:val="18"/>
                  <w:color w:val="0000EE"/>
                  <w:w w:val="96"/>
                </w:rPr>
                <w:t>DETERMINATION OF NET ASSET VALUE</w:t>
              </w:r>
            </w:hyperlink>
          </w:p>
        </w:tc>
        <w:tc>
          <w:tcPr>
            <w:tcW w:w="640" w:type="dxa"/>
            <w:vAlign w:val="bottom"/>
            <w:tcBorders>
              <w:top w:val="single" w:sz="8" w:color="0000EE"/>
            </w:tcBorders>
            <w:gridSpan w:val="6"/>
          </w:tcPr>
          <w:p>
            <w:pPr>
              <w:spacing w:after="0"/>
              <w:rPr>
                <w:sz w:val="17"/>
                <w:szCs w:val="17"/>
                <w:color w:val="auto"/>
              </w:rPr>
            </w:pPr>
          </w:p>
        </w:tc>
        <w:tc>
          <w:tcPr>
            <w:tcW w:w="6880" w:type="dxa"/>
            <w:vAlign w:val="bottom"/>
            <w:gridSpan w:val="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DIVIDEND REINVESTMENT PLAN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DESCRIPTION OF OUR CAPITAL STOCK</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0000EE"/>
            </w:tcBorders>
            <w:gridSpan w:val="23"/>
          </w:tcPr>
          <w:p>
            <w:pPr>
              <w:spacing w:after="0" w:line="196" w:lineRule="exact"/>
              <w:rPr>
                <w:rFonts w:ascii="Arial" w:cs="Arial" w:eastAsia="Arial" w:hAnsi="Arial"/>
                <w:sz w:val="18"/>
                <w:szCs w:val="18"/>
                <w:color w:val="0000EE"/>
                <w:w w:val="93"/>
              </w:rPr>
            </w:pPr>
            <w:hyperlink w:anchor="page183">
              <w:r>
                <w:rPr>
                  <w:rFonts w:ascii="Arial" w:cs="Arial" w:eastAsia="Arial" w:hAnsi="Arial"/>
                  <w:sz w:val="18"/>
                  <w:szCs w:val="18"/>
                  <w:color w:val="0000EE"/>
                  <w:w w:val="93"/>
                </w:rPr>
                <w:t>DESCRIPTION OF OUR PREFERRED STOCK</w:t>
              </w:r>
            </w:hyperlink>
          </w:p>
        </w:tc>
        <w:tc>
          <w:tcPr>
            <w:tcW w:w="7320" w:type="dxa"/>
            <w:vAlign w:val="bottom"/>
            <w:gridSpan w:val="10"/>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184">
              <w:r>
                <w:rPr>
                  <w:rFonts w:ascii="Arial" w:cs="Arial" w:eastAsia="Arial" w:hAnsi="Arial"/>
                  <w:sz w:val="18"/>
                  <w:szCs w:val="18"/>
                  <w:color w:val="0000EE"/>
                  <w:w w:val="94"/>
                </w:rPr>
                <w:t>DESCRIPTION OF OUR WARRANTS</w:t>
              </w:r>
            </w:hyperlink>
          </w:p>
        </w:tc>
        <w:tc>
          <w:tcPr>
            <w:tcW w:w="7980" w:type="dxa"/>
            <w:vAlign w:val="bottom"/>
            <w:gridSpan w:val="18"/>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w:anchor="page186">
              <w:r>
                <w:rPr>
                  <w:rFonts w:ascii="Arial" w:cs="Arial" w:eastAsia="Arial" w:hAnsi="Arial"/>
                  <w:sz w:val="18"/>
                  <w:szCs w:val="18"/>
                  <w:color w:val="0000EE"/>
                  <w:w w:val="94"/>
                </w:rPr>
                <w:t>DESCRIPTION OF OUR SUBSCRIPTION RIGHTS</w:t>
              </w:r>
            </w:hyperlink>
          </w:p>
        </w:tc>
        <w:tc>
          <w:tcPr>
            <w:tcW w:w="7000" w:type="dxa"/>
            <w:vAlign w:val="bottom"/>
            <w:gridSpan w:val="9"/>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188">
              <w:r>
                <w:rPr>
                  <w:rFonts w:ascii="Arial" w:cs="Arial" w:eastAsia="Arial" w:hAnsi="Arial"/>
                  <w:sz w:val="18"/>
                  <w:szCs w:val="18"/>
                  <w:color w:val="0000EE"/>
                  <w:w w:val="94"/>
                </w:rPr>
                <w:t>DESCRIPTION OF OUR DEBT SECURITIES</w:t>
              </w:r>
            </w:hyperlink>
          </w:p>
        </w:tc>
        <w:tc>
          <w:tcPr>
            <w:tcW w:w="7440" w:type="dxa"/>
            <w:vAlign w:val="bottom"/>
            <w:gridSpan w:val="13"/>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201">
              <w:r>
                <w:rPr>
                  <w:rFonts w:ascii="Arial" w:cs="Arial" w:eastAsia="Arial" w:hAnsi="Arial"/>
                  <w:sz w:val="18"/>
                  <w:szCs w:val="18"/>
                  <w:color w:val="0000EE"/>
                  <w:w w:val="94"/>
                </w:rPr>
                <w:t>DESCRIPTION OF OUR UNITS</w:t>
              </w:r>
            </w:hyperlink>
          </w:p>
        </w:tc>
        <w:tc>
          <w:tcPr>
            <w:tcW w:w="8440" w:type="dxa"/>
            <w:vAlign w:val="bottom"/>
            <w:gridSpan w:val="21"/>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REGULATION</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940" w:type="dxa"/>
            <w:vAlign w:val="bottom"/>
            <w:gridSpan w:val="1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BROKERAGE ALLOCATIONS AND OTHER PRACTICES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940" w:type="dxa"/>
            <w:vAlign w:val="bottom"/>
            <w:tcBorders>
              <w:right w:val="single" w:sz="8" w:color="0000EE"/>
            </w:tcBorders>
            <w:gridSpan w:val="13"/>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30"/>
          </w:tcPr>
          <w:p>
            <w:pPr>
              <w:spacing w:after="0" w:line="196" w:lineRule="exact"/>
              <w:rPr>
                <w:rFonts w:ascii="Arial" w:cs="Arial" w:eastAsia="Arial" w:hAnsi="Arial"/>
                <w:sz w:val="18"/>
                <w:szCs w:val="18"/>
                <w:color w:val="0000EE"/>
                <w:w w:val="96"/>
              </w:rPr>
            </w:pPr>
            <w:hyperlink w:anchor="page209">
              <w:r>
                <w:rPr>
                  <w:rFonts w:ascii="Arial" w:cs="Arial" w:eastAsia="Arial" w:hAnsi="Arial"/>
                  <w:sz w:val="18"/>
                  <w:szCs w:val="18"/>
                  <w:color w:val="0000EE"/>
                  <w:w w:val="96"/>
                </w:rPr>
                <w:t>MATERIAL U.S. FEDERAL INCOME TAX CONSIDERATIONS</w:t>
              </w:r>
            </w:hyperlink>
          </w:p>
        </w:tc>
        <w:tc>
          <w:tcPr>
            <w:tcW w:w="6020" w:type="dxa"/>
            <w:vAlign w:val="bottom"/>
            <w:gridSpan w:val="3"/>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w:anchor="page215">
              <w:r>
                <w:rPr>
                  <w:rFonts w:ascii="Arial" w:cs="Arial" w:eastAsia="Arial" w:hAnsi="Arial"/>
                  <w:sz w:val="18"/>
                  <w:szCs w:val="18"/>
                  <w:color w:val="0000EE"/>
                  <w:w w:val="97"/>
                </w:rPr>
                <w:t>PLAN OF DISTRIBUTION</w:t>
              </w:r>
            </w:hyperlink>
          </w:p>
        </w:tc>
        <w:tc>
          <w:tcPr>
            <w:tcW w:w="8840" w:type="dxa"/>
            <w:vAlign w:val="bottom"/>
            <w:gridSpan w:val="24"/>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SUB-ADMINISTRATOR, CUSTODIAN, TRANSFER AGENT AND TRUSTEE</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96"/>
        </w:trPr>
        <w:tc>
          <w:tcPr>
            <w:tcW w:w="594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LEGAL MATTERS</w:t>
              </w:r>
            </w:hyperlink>
          </w:p>
        </w:tc>
        <w:tc>
          <w:tcPr>
            <w:tcW w:w="4960" w:type="dxa"/>
            <w:vAlign w:val="bottom"/>
            <w:gridSpan w:val="2"/>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1940" w:type="dxa"/>
            <w:vAlign w:val="bottom"/>
            <w:gridSpan w:val="1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INDEPENDENT REGISTERED PUBLIC ACCOUNTING FIRM</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96"/>
        </w:trPr>
        <w:tc>
          <w:tcPr>
            <w:tcW w:w="480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INDEX TO CONSOLIDATED FINANCIAL STATEMENTS</w:t>
              </w:r>
            </w:hyperlink>
          </w:p>
        </w:tc>
        <w:tc>
          <w:tcPr>
            <w:tcW w:w="6100" w:type="dxa"/>
            <w:vAlign w:val="bottom"/>
            <w:gridSpan w:val="4"/>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2540" w:type="dxa"/>
            <w:vAlign w:val="bottom"/>
            <w:tcBorders>
              <w:top w:val="single" w:sz="8" w:color="0000EE"/>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5"/>
              </w:rPr>
              <w:t>PART C OTHER INFORMATION</w:t>
            </w:r>
          </w:p>
        </w:tc>
        <w:tc>
          <w:tcPr>
            <w:tcW w:w="1940" w:type="dxa"/>
            <w:vAlign w:val="bottom"/>
            <w:tcBorders>
              <w:top w:val="single" w:sz="8" w:color="0000EE"/>
            </w:tcBorders>
            <w:gridSpan w:val="13"/>
          </w:tcPr>
          <w:p>
            <w:pPr>
              <w:spacing w:after="0"/>
              <w:rPr>
                <w:sz w:val="17"/>
                <w:szCs w:val="17"/>
                <w:color w:val="auto"/>
              </w:rPr>
            </w:pPr>
          </w:p>
        </w:tc>
        <w:tc>
          <w:tcPr>
            <w:tcW w:w="6420" w:type="dxa"/>
            <w:vAlign w:val="bottom"/>
            <w:gridSpan w:val="7"/>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96"/>
        </w:trPr>
        <w:tc>
          <w:tcPr>
            <w:tcW w:w="10900" w:type="dxa"/>
            <w:vAlign w:val="bottom"/>
            <w:gridSpan w:val="33"/>
          </w:tcPr>
          <w:p>
            <w:pPr>
              <w:spacing w:after="0" w:line="196" w:lineRule="exact"/>
              <w:rPr>
                <w:sz w:val="20"/>
                <w:szCs w:val="20"/>
                <w:color w:val="auto"/>
              </w:rPr>
            </w:pPr>
            <w:r>
              <w:rPr>
                <w:rFonts w:ascii="Arial" w:cs="Arial" w:eastAsia="Arial" w:hAnsi="Arial"/>
                <w:sz w:val="18"/>
                <w:szCs w:val="18"/>
                <w:color w:val="0000EE"/>
              </w:rPr>
              <w:t>SIGNATURES</w:t>
            </w: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C-12</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$1,000,000,000 of our common stock, preferred stock, warrants representing rights to purchase shares of our common stock, preferred stock or debt securities, subscription rights, debt securities, or units on the terms to be determined at the time of the offering.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616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6465" cy="58616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443"/>
        <w:spacing w:after="0" w:line="268" w:lineRule="auto"/>
        <w:rPr>
          <w:sz w:val="20"/>
          <w:szCs w:val="20"/>
          <w:color w:val="auto"/>
        </w:rPr>
      </w:pPr>
      <w:r>
        <w:rPr>
          <w:rFonts w:ascii="Arial" w:cs="Arial" w:eastAsia="Arial" w:hAnsi="Arial"/>
          <w:sz w:val="17"/>
          <w:szCs w:val="17"/>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which apply to both us and our consolidated small business investment company, or SBIC, subsidiaries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if any, except where the context suggests otherwise: the terms “we,” “us,” “our” and “Company”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“PennantPark Investment Advisers” or “Investment Adviser” refers to PennantPark Investment Advisers, LLC; and “PennantPark Investment Administration” or “Administrator” refers to PennantPark Investment Administration, LLC; “SBA” refers to the Small Business Administration; “Credit Facility” refers to our multi-currency, senior secured revolving credit facility; “2025 Notes” refers to our 6.25% senior notes due 2025; “1940 Act” refers to the Investment Company Act of 1940, as amended; “Code” refers to the Internal Revenue Code of 1986, as amended; “RIC” refers to a regulated investment company under the Code; and “BDC” refers to a business development company under the 1940 Act.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21" w:lineRule="exact"/>
        <w:rPr>
          <w:sz w:val="20"/>
          <w:szCs w:val="20"/>
          <w:color w:val="auto"/>
        </w:rPr>
      </w:pPr>
    </w:p>
    <w:p>
      <w:pPr>
        <w:ind w:left="200" w:right="340" w:firstLine="443"/>
        <w:spacing w:after="0" w:line="34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124" w:lineRule="exact"/>
        <w:rPr>
          <w:sz w:val="20"/>
          <w:szCs w:val="20"/>
          <w:color w:val="auto"/>
        </w:rPr>
      </w:pPr>
    </w:p>
    <w:p>
      <w:pPr>
        <w:ind w:left="200" w:right="60" w:firstLine="443"/>
        <w:spacing w:after="0" w:line="290" w:lineRule="auto"/>
        <w:rPr>
          <w:sz w:val="20"/>
          <w:szCs w:val="20"/>
          <w:color w:val="auto"/>
        </w:rPr>
      </w:pPr>
      <w:r>
        <w:rPr>
          <w:rFonts w:ascii="Arial" w:cs="Arial" w:eastAsia="Arial" w:hAnsi="Arial"/>
          <w:sz w:val="16"/>
          <w:szCs w:val="16"/>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 regions.</w:t>
      </w:r>
    </w:p>
    <w:p>
      <w:pPr>
        <w:spacing w:after="0" w:line="166" w:lineRule="exact"/>
        <w:rPr>
          <w:sz w:val="20"/>
          <w:szCs w:val="20"/>
          <w:color w:val="auto"/>
        </w:rPr>
      </w:pPr>
    </w:p>
    <w:p>
      <w:pPr>
        <w:ind w:left="200" w:right="40" w:firstLine="443"/>
        <w:spacing w:after="0" w:line="279" w:lineRule="auto"/>
        <w:rPr>
          <w:sz w:val="20"/>
          <w:szCs w:val="20"/>
          <w:color w:val="auto"/>
        </w:rPr>
      </w:pPr>
      <w:r>
        <w:rPr>
          <w:rFonts w:ascii="Arial" w:cs="Arial" w:eastAsia="Arial" w:hAnsi="Arial"/>
          <w:sz w:val="17"/>
          <w:szCs w:val="17"/>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or any future credit facility, the SBA debentures, proceeds from the rotation of our portfolio and proceeds from public and private offerings of securities to finance our investment objectives.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200" w:right="360" w:firstLine="443"/>
        <w:spacing w:after="0" w:line="277"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61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6465" cy="58616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Act. In addition, for federal income tax purposes we have elected to be treated, and intend to qualify annually, as a RIC under the Code.</w:t>
      </w:r>
    </w:p>
    <w:p>
      <w:pPr>
        <w:spacing w:after="0" w:line="225" w:lineRule="exact"/>
        <w:rPr>
          <w:sz w:val="20"/>
          <w:szCs w:val="20"/>
          <w:color w:val="auto"/>
        </w:rPr>
      </w:pPr>
    </w:p>
    <w:p>
      <w:pPr>
        <w:ind w:left="200" w:right="100" w:firstLine="443"/>
        <w:spacing w:after="0" w:line="257"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200" w:right="20" w:firstLine="443"/>
        <w:spacing w:after="0" w:line="289"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$1.8 billion in debt and equity capital and has invested approximately $3.0 billion in almost 300 companies with 125 different financial sponsors through its managed funds.</w:t>
      </w:r>
    </w:p>
    <w:p>
      <w:pPr>
        <w:spacing w:after="0" w:line="167"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20" w:firstLine="443"/>
        <w:spacing w:after="0" w:line="273" w:lineRule="auto"/>
        <w:rPr>
          <w:sz w:val="20"/>
          <w:szCs w:val="20"/>
          <w:color w:val="auto"/>
        </w:rPr>
      </w:pPr>
      <w:r>
        <w:rPr>
          <w:rFonts w:ascii="Arial" w:cs="Arial" w:eastAsia="Arial" w:hAnsi="Arial"/>
          <w:sz w:val="17"/>
          <w:szCs w:val="17"/>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increasing difficulty in raising debt through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See “Business” for more information.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200" w:right="320" w:firstLine="443"/>
        <w:spacing w:after="0" w:line="277" w:lineRule="auto"/>
        <w:rPr>
          <w:sz w:val="20"/>
          <w:szCs w:val="20"/>
          <w:color w:val="auto"/>
        </w:rPr>
      </w:pPr>
      <w:r>
        <w:rPr>
          <w:rFonts w:ascii="Arial" w:cs="Arial" w:eastAsia="Arial" w:hAnsi="Arial"/>
          <w:sz w:val="18"/>
          <w:szCs w:val="18"/>
          <w:color w:val="auto"/>
        </w:rPr>
        <w:t>We believe that we have competitive advantages over other capital providers in middle-market companies, such as a management team with an average of over 25 years of experience, a disciplined investment approach</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for more information.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 See “Risk Factors—Risks Relating to our Business and Structure—We operate in a highly competitive market for investment opportunities” for more information.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121"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We currently use and expect to continue to use leverage from our Credit Facility, our SBA debentures and our 2025 Notes to make investments. As a result, we may continue to be exposed to the risks associated with leverage. See “Risk Factors — Risks Relating to our Business and Structure” for more information. We believe that our capital resources provide us with the flexibility to take advantage of market opportunities when they arise. Our use of leverage, as calculated under the asset coverage requirements of the 1940 Act, may generally range between 60% to 80% of our net assets. We cannot assure investors that our leverage will remain within that range. The amount of leverage that we employ will depend on our assessment of the market and other factors at the time of any proposed borrowing. See “Management’s Discussion and Analysis of Financial Condition and Results of Operations — Liquidity and Capital Resources” for more information.</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229" w:lineRule="exact"/>
        <w:rPr>
          <w:sz w:val="20"/>
          <w:szCs w:val="20"/>
          <w:color w:val="auto"/>
        </w:rPr>
      </w:pPr>
    </w:p>
    <w:p>
      <w:pPr>
        <w:ind w:left="200" w:right="20" w:firstLine="443"/>
        <w:spacing w:after="0" w:line="279" w:lineRule="auto"/>
        <w:rPr>
          <w:sz w:val="20"/>
          <w:szCs w:val="20"/>
          <w:color w:val="auto"/>
        </w:rPr>
      </w:pPr>
      <w:r>
        <w:rPr>
          <w:rFonts w:ascii="Arial" w:cs="Arial" w:eastAsia="Arial" w:hAnsi="Arial"/>
          <w:sz w:val="17"/>
          <w:szCs w:val="17"/>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71" w:lineRule="exact"/>
        <w:rPr>
          <w:sz w:val="20"/>
          <w:szCs w:val="20"/>
          <w:color w:val="auto"/>
        </w:rPr>
      </w:pPr>
    </w:p>
    <w:p>
      <w:pPr>
        <w:ind w:left="200" w:right="300" w:firstLine="443"/>
        <w:spacing w:after="0" w:line="257"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 Administration Agreements” for more information.</w:t>
      </w:r>
    </w:p>
    <w:p>
      <w:pPr>
        <w:spacing w:after="0" w:line="188" w:lineRule="exact"/>
        <w:rPr>
          <w:sz w:val="20"/>
          <w:szCs w:val="20"/>
          <w:color w:val="auto"/>
        </w:rPr>
      </w:pPr>
    </w:p>
    <w:p>
      <w:pPr>
        <w:ind w:left="200" w:right="60" w:firstLine="443"/>
        <w:spacing w:after="0" w:line="312"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674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6465" cy="60674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firstLine="443"/>
        <w:spacing w:after="0" w:line="264" w:lineRule="auto"/>
        <w:rPr>
          <w:sz w:val="20"/>
          <w:szCs w:val="20"/>
          <w:color w:val="auto"/>
        </w:rPr>
      </w:pPr>
      <w:r>
        <w:rPr>
          <w:rFonts w:ascii="Arial" w:cs="Arial" w:eastAsia="Arial" w:hAnsi="Arial"/>
          <w:sz w:val="18"/>
          <w:szCs w:val="18"/>
          <w:color w:val="auto"/>
        </w:rPr>
        <w:t>Our wholly-owned SBIC Funds received licenses from the SBA to operate as SBICs under Section 301(c) of the 1958 Act and are regulated by the SBA. The SBA regulates, among other matters, investing activities and periodically examines our SBIC Funds’ operations. We serve as the investment adviser and administrator to our SBIC Funds. See “Regulation” for more information.</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information regarding our outstanding borrowings as of September 30, 2013, the corresponding interest rate charged on such borrowings as of that date and the length of time that it may take us to invest any proceeds in new or existing portfolio companies.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color w:val="auto"/>
        </w:rPr>
        <w:t>On November 21, 2013, upon the recommendations of the audit committee, the board of directors dismissed KPMG LLP, and engaged McGladrey LLP, as the Company’s independent registered public accounting firm for the year ending September 30, 2014. For further information, see Form 8-K filed on November 25, 2013.</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21" w:lineRule="exact"/>
        <w:rPr>
          <w:sz w:val="20"/>
          <w:szCs w:val="20"/>
          <w:color w:val="auto"/>
        </w:rPr>
      </w:pPr>
    </w:p>
    <w:p>
      <w:pPr>
        <w:ind w:left="200" w:right="620" w:firstLine="443"/>
        <w:spacing w:after="0" w:line="277" w:lineRule="auto"/>
        <w:rPr>
          <w:sz w:val="20"/>
          <w:szCs w:val="20"/>
          <w:color w:val="auto"/>
        </w:rPr>
      </w:pPr>
      <w:r>
        <w:rPr>
          <w:rFonts w:ascii="Arial" w:cs="Arial" w:eastAsia="Arial" w:hAnsi="Arial"/>
          <w:sz w:val="18"/>
          <w:szCs w:val="18"/>
          <w:color w:val="auto"/>
        </w:rPr>
        <w:t>For the years ended September 30, 2013, 2012, 2011, 2010 and 2009, our ratios of earnings to fixed charges were 6.0, 5.4, 1.9, 4.5 and 7.7, respectively. See “Ratio of Earnings to Fixed Charges” for more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200" w:right="80" w:firstLine="443"/>
        <w:spacing w:after="0" w:line="277" w:lineRule="auto"/>
        <w:rPr>
          <w:sz w:val="20"/>
          <w:szCs w:val="20"/>
          <w:color w:val="auto"/>
        </w:rPr>
      </w:pPr>
      <w:r>
        <w:rPr>
          <w:rFonts w:ascii="Arial" w:cs="Arial" w:eastAsia="Arial" w:hAnsi="Arial"/>
          <w:sz w:val="18"/>
          <w:szCs w:val="18"/>
          <w:color w:val="auto"/>
        </w:rPr>
        <w:t>We intend to continue making quarterly distributions to our common stockholders. Our quarterly distributions, if any, are determined by our board of directors. See “Distributions” for more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Preferred Stock</w:t>
      </w:r>
    </w:p>
    <w:p>
      <w:pPr>
        <w:spacing w:after="0" w:line="121" w:lineRule="exact"/>
        <w:rPr>
          <w:sz w:val="20"/>
          <w:szCs w:val="20"/>
          <w:color w:val="auto"/>
        </w:rPr>
      </w:pPr>
    </w:p>
    <w:p>
      <w:pPr>
        <w:ind w:left="200" w:right="200" w:firstLine="443"/>
        <w:spacing w:after="0" w:line="297"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“Risk Factors—Risks Relating to our Business and Structure” for more information.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121" w:lineRule="exact"/>
        <w:rPr>
          <w:sz w:val="20"/>
          <w:szCs w:val="20"/>
          <w:color w:val="auto"/>
        </w:rPr>
      </w:pPr>
    </w:p>
    <w:p>
      <w:pPr>
        <w:ind w:left="200" w:right="40" w:firstLine="443"/>
        <w:spacing w:after="0" w:line="257" w:lineRule="auto"/>
        <w:rPr>
          <w:sz w:val="20"/>
          <w:szCs w:val="20"/>
          <w:color w:val="auto"/>
        </w:rPr>
      </w:pPr>
      <w:r>
        <w:rPr>
          <w:rFonts w:ascii="Arial" w:cs="Arial" w:eastAsia="Arial" w:hAnsi="Arial"/>
          <w:sz w:val="18"/>
          <w:szCs w:val="18"/>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71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6465" cy="38715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200" w:right="300" w:firstLine="443"/>
        <w:spacing w:after="0" w:line="277" w:lineRule="auto"/>
        <w:rPr>
          <w:sz w:val="20"/>
          <w:szCs w:val="20"/>
          <w:color w:val="auto"/>
        </w:rPr>
      </w:pPr>
      <w:r>
        <w:rPr>
          <w:rFonts w:ascii="Arial" w:cs="Arial" w:eastAsia="Arial" w:hAnsi="Arial"/>
          <w:sz w:val="18"/>
          <w:szCs w:val="18"/>
          <w:color w:val="auto"/>
        </w:rPr>
        <w:t>We may offer, from time to time, up to $1 billion of our securities, on terms to be determined at the time of each such offering and set forth in a supplement to this prospectus.</w:t>
      </w:r>
    </w:p>
    <w:p>
      <w:pPr>
        <w:spacing w:after="0" w:line="170" w:lineRule="exact"/>
        <w:rPr>
          <w:sz w:val="20"/>
          <w:szCs w:val="20"/>
          <w:color w:val="auto"/>
        </w:rPr>
      </w:pPr>
    </w:p>
    <w:p>
      <w:pPr>
        <w:ind w:left="200" w:right="40" w:firstLine="443"/>
        <w:spacing w:after="0" w:line="291"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We may sell our common stock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67" w:lineRule="exact"/>
        <w:rPr>
          <w:sz w:val="20"/>
          <w:szCs w:val="20"/>
          <w:color w:val="auto"/>
        </w:rPr>
      </w:pPr>
    </w:p>
    <w:p>
      <w:pPr>
        <w:ind w:left="200" w:right="160" w:firstLine="443"/>
        <w:spacing w:after="0" w:line="277"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200" w:firstLine="553"/>
        <w:spacing w:after="0" w:line="270" w:lineRule="auto"/>
        <w:rPr>
          <w:sz w:val="20"/>
          <w:szCs w:val="20"/>
          <w:color w:val="auto"/>
        </w:rPr>
      </w:pPr>
      <w:r>
        <w:rPr>
          <w:rFonts w:ascii="Arial" w:cs="Arial" w:eastAsia="Arial" w:hAnsi="Arial"/>
          <w:sz w:val="17"/>
          <w:szCs w:val="17"/>
          <w:color w:val="auto"/>
        </w:rPr>
        <w:t xml:space="preserve">Our administrative and principal executive offices are located at 590 Madison Avenue, 15th Floor, New York, NY 10022. Our common stock is quoted on the NASDAQ Global Select Market under the symbol “PNNT.” Our 2025 Notes are quoted on the NYSE under the symbol “PNTA.” Our phone number is (212) 905-1000, and our internet website address is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that contains material that we file with the SEC on the EDGAR Database.</w:t>
      </w:r>
    </w:p>
    <w:p>
      <w:pPr>
        <w:spacing w:after="0" w:line="2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0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Sales load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8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0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10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9"/>
                <w:szCs w:val="19"/>
                <w:color w:val="auto"/>
                <w:vertAlign w:val="superscript"/>
              </w:rPr>
              <w:t>(3)</w:t>
            </w: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Management fees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3.02%</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8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2.32%</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
        </w:trPr>
        <w:tc>
          <w:tcPr>
            <w:tcW w:w="10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700" w:type="dxa"/>
            <w:vAlign w:val="bottom"/>
            <w:gridSpan w:val="2"/>
            <w:vMerge w:val="continue"/>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8.08%</w:t>
            </w:r>
            <w:r>
              <w:rPr>
                <w:rFonts w:ascii="Arial" w:cs="Arial" w:eastAsia="Arial" w:hAnsi="Arial"/>
                <w:sz w:val="15"/>
                <w:szCs w:val="15"/>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right="320" w:hanging="452"/>
        <w:spacing w:after="0" w:line="25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spacing w:after="0" w:line="1"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for the three months ended September 30, 2013.</w:t>
      </w:r>
    </w:p>
    <w:p>
      <w:pPr>
        <w:spacing w:after="0" w:line="9" w:lineRule="exact"/>
        <w:rPr>
          <w:rFonts w:ascii="Arial" w:cs="Arial" w:eastAsia="Arial" w:hAnsi="Arial"/>
          <w:sz w:val="18"/>
          <w:szCs w:val="18"/>
          <w:color w:val="auto"/>
        </w:rPr>
      </w:pPr>
    </w:p>
    <w:p>
      <w:pPr>
        <w:ind w:left="460" w:right="40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assets on September 30, 2013. See “Certain Relationships and Transactions—Investment Management Agreement” for more information.</w:t>
      </w:r>
    </w:p>
    <w:p>
      <w:pPr>
        <w:ind w:left="460" w:right="20" w:hanging="452"/>
        <w:spacing w:after="0" w:line="28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three months ended September 30, 2013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September 30, 2013, our unrealized capital gains did not exceed our cumulative realized and unrealized capital losses. As we cannot predict our future net investment income or capital gains, the incentive fee paid in future years, if any, may be substantially different than the fee earned during the three months ended September 30, 2013. For more detailed information about the incentive fee, please see “Certain Relationships and Transactions—Investment Management Agreement” for more information.</w:t>
      </w:r>
    </w:p>
    <w:p>
      <w:pPr>
        <w:spacing w:after="0" w:line="6" w:lineRule="exact"/>
        <w:rPr>
          <w:rFonts w:ascii="Arial" w:cs="Arial" w:eastAsia="Arial" w:hAnsi="Arial"/>
          <w:sz w:val="16"/>
          <w:szCs w:val="16"/>
          <w:color w:val="auto"/>
        </w:rPr>
      </w:pPr>
    </w:p>
    <w:p>
      <w:pPr>
        <w:ind w:left="460" w:right="20" w:hanging="452"/>
        <w:spacing w:after="0" w:line="29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 of September 30, 2013, we had $284.5 million of unused borrowing capacity, subject to maintenance of the applicable total assets to debt ratio, under the 1940 Act, and $145.5 million in borrowings outstanding under our $430.0 million Credit Facility and had $71.3 million in aggregate principal of 2025 Notes at an annual interest rate of 6.25%. As of September 30, 2013, SBIC LP had $150.0 million outstanding with a weighted average annual interest rate of 3.70%, exclusive of the 3.43% of upfront fees (4.04% inclusive of the 3.43% upfront fee). We may use proceeds of an offering of securities under this registration statement to repay outstanding obligations under our Credit Facility. After completing any such offering, we may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200"/>
        <w:spacing w:after="0" w:line="279" w:lineRule="auto"/>
        <w:rPr>
          <w:sz w:val="20"/>
          <w:szCs w:val="20"/>
          <w:color w:val="auto"/>
        </w:rPr>
      </w:pPr>
      <w:r>
        <w:rPr>
          <w:rFonts w:ascii="Arial" w:cs="Arial" w:eastAsia="Arial" w:hAnsi="Arial"/>
          <w:sz w:val="17"/>
          <w:szCs w:val="17"/>
          <w:color w:val="auto"/>
        </w:rPr>
        <w:t>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77" w:lineRule="exact"/>
        <w:rPr>
          <w:sz w:val="20"/>
          <w:szCs w:val="20"/>
          <w:color w:val="auto"/>
        </w:rPr>
      </w:pPr>
    </w:p>
    <w:p>
      <w:pPr>
        <w:ind w:left="460" w:right="12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September 30, 2013, annualized for a full year.</w:t>
      </w:r>
    </w:p>
    <w:p>
      <w:pPr>
        <w:spacing w:after="0" w:line="92" w:lineRule="exact"/>
        <w:rPr>
          <w:rFonts w:ascii="Arial" w:cs="Arial" w:eastAsia="Arial" w:hAnsi="Arial"/>
          <w:sz w:val="18"/>
          <w:szCs w:val="18"/>
          <w:color w:val="auto"/>
        </w:rPr>
      </w:pPr>
    </w:p>
    <w:p>
      <w:pPr>
        <w:ind w:left="460" w:right="260" w:hanging="452"/>
        <w:spacing w:after="0" w:line="297"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For a presentation and calculation of total annual expenses based on average total assets, see page 27 of this prospectus.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3.50% sales load (underwriting discounts and commissions) and offering expenses totaling 0.34%, (2) total net annual expenses of 5.66% of average net assets attributable to common shares as set forth in the table above (other than performance-based incentive fees) and (3) a 5% annual return.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You would pay the following expenses on a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1,000 common stock investment</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1 Year</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3 Years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5 Years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10 Years</w:t>
            </w:r>
          </w:p>
        </w:tc>
      </w:tr>
      <w:tr>
        <w:trPr>
          <w:trHeight w:val="182"/>
        </w:trPr>
        <w:tc>
          <w:tcPr>
            <w:tcW w:w="47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7"/>
              </w:rPr>
              <w:t>Assuming a 5% annual return (assumes no return from net realized</w:t>
            </w:r>
          </w:p>
        </w:tc>
        <w:tc>
          <w:tcPr>
            <w:tcW w:w="3340" w:type="dxa"/>
            <w:vAlign w:val="bottom"/>
            <w:tcBorders>
              <w:top w:val="single" w:sz="8" w:color="CCEEFF"/>
            </w:tcBorders>
            <w:shd w:val="clear" w:color="auto" w:fill="CCEEFF"/>
          </w:tcPr>
          <w:p>
            <w:pPr>
              <w:ind w:left="180"/>
              <w:spacing w:after="0" w:line="182" w:lineRule="exact"/>
              <w:rPr>
                <w:sz w:val="20"/>
                <w:szCs w:val="20"/>
                <w:color w:val="auto"/>
              </w:rPr>
            </w:pPr>
            <w:r>
              <w:rPr>
                <w:rFonts w:ascii="Arial" w:cs="Arial" w:eastAsia="Arial" w:hAnsi="Arial"/>
                <w:sz w:val="18"/>
                <w:szCs w:val="18"/>
                <w:color w:val="auto"/>
              </w:rPr>
              <w:t>capital gains or net unrealized capital</w:t>
            </w:r>
          </w:p>
        </w:tc>
        <w:tc>
          <w:tcPr>
            <w:tcW w:w="1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44"/>
        </w:trPr>
        <w:tc>
          <w:tcPr>
            <w:tcW w:w="8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appreciation)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200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306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r>
      <w:tr>
        <w:trPr>
          <w:trHeight w:val="202"/>
        </w:trPr>
        <w:tc>
          <w:tcPr>
            <w:tcW w:w="8040" w:type="dxa"/>
            <w:vAlign w:val="bottom"/>
            <w:gridSpan w:val="2"/>
          </w:tcPr>
          <w:p>
            <w:pPr>
              <w:spacing w:after="0" w:line="201" w:lineRule="exact"/>
              <w:rPr>
                <w:sz w:val="20"/>
                <w:szCs w:val="20"/>
                <w:color w:val="auto"/>
              </w:rPr>
            </w:pPr>
            <w:r>
              <w:rPr>
                <w:rFonts w:ascii="Arial" w:cs="Arial" w:eastAsia="Arial" w:hAnsi="Arial"/>
                <w:sz w:val="18"/>
                <w:szCs w:val="18"/>
                <w:color w:val="auto"/>
                <w:w w:val="99"/>
              </w:rPr>
              <w:t>Assuming a 5% annual return (assumes return from only realized capital gains and thus subject to the</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8040" w:type="dxa"/>
            <w:vAlign w:val="bottom"/>
            <w:gridSpan w:val="2"/>
          </w:tcPr>
          <w:p>
            <w:pPr>
              <w:ind w:left="180"/>
              <w:spacing w:after="0"/>
              <w:rPr>
                <w:sz w:val="20"/>
                <w:szCs w:val="20"/>
                <w:color w:val="auto"/>
              </w:rPr>
            </w:pPr>
            <w:r>
              <w:rPr>
                <w:rFonts w:ascii="Arial" w:cs="Arial" w:eastAsia="Arial" w:hAnsi="Arial"/>
                <w:sz w:val="18"/>
                <w:szCs w:val="18"/>
                <w:color w:val="auto"/>
              </w:rPr>
              <w:t>capital gains incentive fee)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102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226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346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r>
    </w:tbl>
    <w:p>
      <w:pPr>
        <w:spacing w:after="0" w:line="20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of less than 5% on net investment income, the incentive fee under our Investment Management Agreement would not be earned or payable. If we were to earn any amount on net realized gains from our inception to date, our expenses, and returns to investors, would be higher. The example assumes that all dividends and distributions are reinvested at NAV. Under certain circumstances, reinvestment of dividends and distributions under our dividend reinvestment plan may occur at a price per share that differs from NAV. See “Distributions” for more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Before you invest in our securities, you should be aware of various risks, including those described below. You should carefully consider these risk factors, together with all of the other information included in this prospectus,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and 2025 Notes, or any securities we may issue, may decline, and you may lose all or part of your investment.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21" w:lineRule="exact"/>
        <w:rPr>
          <w:sz w:val="20"/>
          <w:szCs w:val="20"/>
          <w:color w:val="auto"/>
        </w:rPr>
      </w:pPr>
    </w:p>
    <w:p>
      <w:pPr>
        <w:ind w:right="20" w:firstLine="228"/>
        <w:spacing w:after="0" w:line="264"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7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U.S.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and the failure of major financial institutions.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We may in the future have difficulty accessing debt and equity capital, and a severe disruption in the global financial markets, deterioration in credit and financing conditions or uncertainty regarding U.S. government spending and deficit levels could have a material adverse effect on our business, financial condition and results of operations.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Volatility or a prolonged disruption in the credit markets could materially damage our business.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debt and equity capital. As a BDC, we are generally not able to issue additional shares of our common stock at a price less than NAV without first obtaining approval for such issuance from our stockholders and our independent directors. Additionally, our ability to incur indebtedness is limited by the asset coverage requirements for a BDC, as defined in the 1940 Act, which we refer to as the asset coverage ratio, exclusive of the SBA debentures pursuant to our SEC exemptive relief. Declining portfolio values negatively impact our ability to borrow additional funds under our Credit Facility because our NAV is reduced for purposes of the asset coverage requirement. If the fair value of our assets declines substantially, we may fail to maintain the asset coverage ratio stipulated by the 1940 Act, which could, in turn, cause us to lose our status as a BDC and materially impair our business operations. A protracted disruption in the credit markets could also materially decrease demand for our investments.</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significant disruption in the capital markets experienced in the past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loans we originate and could have a material adverse impact on our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and results of operations.</w:t>
      </w:r>
    </w:p>
    <w:p>
      <w:pPr>
        <w:spacing w:after="0" w:line="295" w:lineRule="exact"/>
        <w:rPr>
          <w:sz w:val="20"/>
          <w:szCs w:val="20"/>
          <w:color w:val="auto"/>
        </w:rPr>
      </w:pPr>
    </w:p>
    <w:p>
      <w:pPr>
        <w:ind w:right="320" w:firstLine="228"/>
        <w:spacing w:after="0" w:line="277" w:lineRule="auto"/>
        <w:rPr>
          <w:sz w:val="20"/>
          <w:szCs w:val="20"/>
          <w:color w:val="auto"/>
        </w:rPr>
      </w:pPr>
      <w:r>
        <w:rPr>
          <w:rFonts w:ascii="Arial" w:cs="Arial" w:eastAsia="Arial" w:hAnsi="Arial"/>
          <w:sz w:val="18"/>
          <w:szCs w:val="18"/>
          <w:b w:val="1"/>
          <w:bCs w:val="1"/>
          <w:i w:val="1"/>
          <w:iCs w:val="1"/>
          <w:color w:val="auto"/>
        </w:rPr>
        <w:t>Market developments may adversely affect our business and results of operations by reducing availability and/or triggering mandatory prepayment under our Credit Facility, the 2025 Notes and SBA debentures.</w:t>
      </w:r>
    </w:p>
    <w:p>
      <w:pPr>
        <w:spacing w:after="0" w:line="62"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In addition to the applicable asset coverage ratio that restricts our ability to borrow under our Credit Facility, the Credit Facility and the indenture governing the 2025 Notes contain various covenants which, if not complied with, could accelerate repayment under the Credit Facility and 2025 Notes, thereby having a material adverse effect on our business, financial condition and results of operations. Our borrowings under our Credit Facility are collateralized by the assets in our investment portfolio, excluding those portfolio investments held by our SBIC Funds. The agreements governing the Credit Facility require us to comply with certain financial and operational covenants. These covenants include:</w:t>
      </w:r>
    </w:p>
    <w:p>
      <w:pPr>
        <w:spacing w:after="0" w:line="78"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requirement to maintain a minimum amount of stockholder’s equity;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24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 addition to the Credit Facility, we have issued the 2025 Notes and SBIC LP has issued SBA debentures that require us and SBIC LP to generate sufficient cash flow to make required interest payments. Further, SBIC LP must maintain a minimum capitalization that, if impaired, could materially and adversely affect our liquidity, financial condition and results of operations by accelerating repayment under the SBA debentures. Our borrowings under the SBA debentures are secured by the assets of SBIC LP.</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as applicable. This could have a material adverse effect on our operations, as it would reduce availability under the Credit Facility and could trigger mandatory prepayment obligations under the terms of the Credit Facility and the 2025 Notes.</w:t>
      </w:r>
    </w:p>
    <w:p>
      <w:pPr>
        <w:spacing w:after="0" w:line="296" w:lineRule="exact"/>
        <w:rPr>
          <w:sz w:val="20"/>
          <w:szCs w:val="20"/>
          <w:color w:val="auto"/>
        </w:rPr>
      </w:pPr>
    </w:p>
    <w:p>
      <w:pPr>
        <w:ind w:right="600" w:firstLine="228"/>
        <w:spacing w:after="0" w:line="277" w:lineRule="auto"/>
        <w:rPr>
          <w:sz w:val="20"/>
          <w:szCs w:val="20"/>
          <w:color w:val="auto"/>
        </w:rPr>
      </w:pPr>
      <w:r>
        <w:rPr>
          <w:rFonts w:ascii="Arial" w:cs="Arial" w:eastAsia="Arial" w:hAnsi="Arial"/>
          <w:sz w:val="18"/>
          <w:szCs w:val="18"/>
          <w:b w:val="1"/>
          <w:bCs w:val="1"/>
          <w:i w:val="1"/>
          <w:iCs w:val="1"/>
          <w:color w:val="auto"/>
        </w:rPr>
        <w:t>Any unrealized losses we experience on our investment portfolio may be an indication of future realized losses, which could reduce our income available for distribution.</w:t>
      </w:r>
    </w:p>
    <w:p>
      <w:pPr>
        <w:spacing w:after="0" w:line="62"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88"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 and 2025 Notes.</w:t>
      </w:r>
    </w:p>
    <w:p>
      <w:pPr>
        <w:spacing w:after="0" w:line="289" w:lineRule="exact"/>
        <w:rPr>
          <w:sz w:val="20"/>
          <w:szCs w:val="20"/>
          <w:color w:val="auto"/>
        </w:rPr>
      </w:pPr>
    </w:p>
    <w:p>
      <w:pPr>
        <w:ind w:right="500" w:firstLine="228"/>
        <w:spacing w:after="0" w:line="277" w:lineRule="auto"/>
        <w:rPr>
          <w:sz w:val="20"/>
          <w:szCs w:val="20"/>
          <w:color w:val="auto"/>
        </w:rPr>
      </w:pPr>
      <w:r>
        <w:rPr>
          <w:rFonts w:ascii="Arial" w:cs="Arial" w:eastAsia="Arial" w:hAnsi="Arial"/>
          <w:sz w:val="18"/>
          <w:szCs w:val="18"/>
          <w:b w:val="1"/>
          <w:bCs w:val="1"/>
          <w:i w:val="1"/>
          <w:iCs w:val="1"/>
          <w:color w:val="auto"/>
        </w:rPr>
        <w:t>Following periods of volatility in the market price of a company’s securities, securities class action litigation has often been brought against that company.</w:t>
      </w:r>
    </w:p>
    <w:p>
      <w:pPr>
        <w:spacing w:after="0" w:line="62"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If the trading price of our stock or 2025 Notes fluctuates significantly, we may be the target of securities litigation in the future. Securities litigation could result in substantial costs and divert management’s attention and resources from our business and cause a material adverse effect on our business, financial condition and results of operations.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borrowers may default on their payments, which may have a materially negative effect on our financial performance.</w:t>
      </w:r>
    </w:p>
    <w:p>
      <w:pPr>
        <w:spacing w:after="0" w:line="117"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14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addition, current market conditions have affected consumer confidence levels, which may harm the business of our portfolio companies and result in adverse changes in payment patterns. Increased delinquencies and default rates would negatively impact our results of operations. Deterioration in the quality of our credit portfolio could have a material adverse effect on our capital, financial condition and results of operations. If interest rates rise, some of our portfolio companies may not be able to pay the escalating interest on our loans and may default.</w:t>
      </w:r>
    </w:p>
    <w:p>
      <w:pPr>
        <w:spacing w:after="0" w:line="1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make long-term loans and debt investments,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277" w:lineRule="exact"/>
        <w:rPr>
          <w:sz w:val="20"/>
          <w:szCs w:val="20"/>
          <w:color w:val="auto"/>
        </w:rPr>
      </w:pPr>
    </w:p>
    <w:p>
      <w:pPr>
        <w:ind w:right="240" w:firstLine="228"/>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your best interest.</w:t>
      </w:r>
    </w:p>
    <w:p>
      <w:pPr>
        <w:spacing w:after="0" w:line="300" w:lineRule="exact"/>
        <w:rPr>
          <w:sz w:val="20"/>
          <w:szCs w:val="20"/>
          <w:color w:val="auto"/>
        </w:rPr>
      </w:pPr>
    </w:p>
    <w:p>
      <w:pPr>
        <w:jc w:val="both"/>
        <w:ind w:right="400" w:firstLine="228"/>
        <w:spacing w:after="0" w:line="264" w:lineRule="auto"/>
        <w:rPr>
          <w:sz w:val="20"/>
          <w:szCs w:val="20"/>
          <w:color w:val="auto"/>
        </w:rPr>
      </w:pPr>
      <w:r>
        <w:rPr>
          <w:rFonts w:ascii="Arial" w:cs="Arial" w:eastAsia="Arial" w:hAnsi="Arial"/>
          <w:sz w:val="18"/>
          <w:szCs w:val="18"/>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73"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We depend on the diligence, skill and network of business contacts of the senior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Subject to the overall supervision of our board of directors,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our Investment Management Agreement or Administration Agreement discussed above is terminated, our costs under new agreements that we enter into may increase. In addition, we will likely incur significant time and expense in locating alternative parties to provide the services we expect to receive under our Investment Management Agreement and Administration Agreement. Any new investment management agreement would also be subject to approval by our stockholders.</w:t>
      </w:r>
    </w:p>
    <w:p>
      <w:pPr>
        <w:spacing w:after="0" w:line="295" w:lineRule="exact"/>
        <w:rPr>
          <w:sz w:val="20"/>
          <w:szCs w:val="20"/>
          <w:color w:val="auto"/>
        </w:rPr>
      </w:pPr>
    </w:p>
    <w:p>
      <w:pPr>
        <w:ind w:right="260" w:firstLine="228"/>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have a material adverse effect on our business, financial condition and results of operations.</w:t>
      </w:r>
    </w:p>
    <w:p>
      <w:pPr>
        <w:spacing w:after="0" w:line="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business depends on the communications and information systems of the Investment Adviser and the Administrator. Any failure or interruption of such systems could cause delays or other problems in our activities. This, in turn, could have a material adverse effect on our business, financial condition and results of operations.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financial condition and results of operation depend on our ability to manage future growth effectively.</w:t>
      </w:r>
    </w:p>
    <w:p>
      <w:pPr>
        <w:spacing w:after="0" w:line="2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ability to achieve our investment objectives depends on our ability to grow, which depends, in turn, on our Investment Adviser’s ability to identify, invest in and monitor companies that meet our investment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time to time, and we can offer no assurance that we will be able to identify and make investments that are consistent with our investment objectives.</w:t>
      </w:r>
    </w:p>
    <w:p>
      <w:pPr>
        <w:spacing w:after="0" w:line="237" w:lineRule="exact"/>
        <w:rPr>
          <w:sz w:val="20"/>
          <w:szCs w:val="20"/>
          <w:color w:val="auto"/>
        </w:rPr>
      </w:pPr>
    </w:p>
    <w:p>
      <w:pPr>
        <w:ind w:right="440" w:firstLine="456"/>
        <w:spacing w:after="0" w:line="257"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not replicate the historical performance of other investment companies with which our investment professionals have been affiliated.</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advised by the Investment Adviser. Accordingly, we can offer no assurance that we will replicate the historical performance of other investment companies with which our investment professionals have been affiliated, and we caution that our investment returns could be substantially lower than the returns achieved by such other companies.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Any failure on our part to maintain our status as a business development company would reduce our operating flexibility.</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of RIC tax status would substantially reduce net assets and income available for debt service and distributions.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operated and continue to operate so as to maintain our election to be taxed as a RIC under Subchapter M of the Code. If we meet source of income, quarterly asset diversification, and distribution requirements, we generally will not be subject to corporate-level income taxation on income we timely distribute, or deem to distribute, to our stockholders as distributions.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an excise tax if we do not distribute an amount at least equal to the sum of (1) 98% of our net ordinary income (for the calendar year), plus (2) 98.2% of the sum of our net realized capital gains (during each 12-month period ending on October 31). We generally will be required to pay an excise tax on amounts carried over and distributed to stockholders in the next year equal to 4% of the undistributed amount.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have difficulty paying our required distributions if we recognize income before or without receiving cash representing such income.</w:t>
      </w:r>
    </w:p>
    <w:p>
      <w:pPr>
        <w:spacing w:after="0" w:line="14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For federal income tax purposes, we include in income certain amounts that we have not yet received in cash, such as original issue discount, or OID, and payment-in-kind, or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w:t>
      </w:r>
    </w:p>
    <w:p>
      <w:pPr>
        <w:spacing w:after="0" w:line="17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corporate-level income tax.</w:t>
      </w:r>
    </w:p>
    <w:p>
      <w:pPr>
        <w:spacing w:after="0" w:line="266" w:lineRule="exact"/>
        <w:rPr>
          <w:sz w:val="20"/>
          <w:szCs w:val="20"/>
          <w:color w:val="auto"/>
        </w:rPr>
      </w:pPr>
    </w:p>
    <w:p>
      <w:pPr>
        <w:ind w:right="320" w:firstLine="228"/>
        <w:spacing w:after="0" w:line="375" w:lineRule="auto"/>
        <w:rPr>
          <w:sz w:val="20"/>
          <w:szCs w:val="20"/>
          <w:color w:val="auto"/>
        </w:rPr>
      </w:pPr>
      <w:r>
        <w:rPr>
          <w:rFonts w:ascii="Arial" w:cs="Arial" w:eastAsia="Arial" w:hAnsi="Arial"/>
          <w:sz w:val="15"/>
          <w:szCs w:val="15"/>
          <w:b w:val="1"/>
          <w:bCs w:val="1"/>
          <w:i w:val="1"/>
          <w:i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spacing w:after="0" w:line="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In order to satisfy the requirements applicable to a RIC, we intend to distribute to our stockholders substantially all of our net ordinary income and net capital gains except for certain net long-term capital gains, some or all of which we may retain, pay applicable income taxes with respect thereto and elect to treat as deemed distributions to our stockholders. As a BDC, we generally are required to meet the asset coverage ratio of total assets to total senior securities, which includes all of our borrowings, exclusive of the SBA debentures pursuant to SEC exemptive relief,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7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will be partially dependent on our SBIC Funds for cash distributions to enable us to meet the RIC distribution requirements. Our SBIC Funds may be limited by the SBA regulations governing SBICs from making certain distributions to us that may be necessary to maintain our status as a RIC. We may have to request a waiver of the SBA’s restrictions for our SBIC Funds to make certain distributions to maintain our RIC status. We cannot assure you that the SBA will grant such waiver, and if our SBIC Funds are unable to obtain a waiver, compliance with the SBA regulations may result in a corporate-level income tax on us.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Regulations governing our operation as a business development company will affect our ability to, and the way in which we, raise additional capital.</w:t>
      </w:r>
    </w:p>
    <w:p>
      <w:pPr>
        <w:spacing w:after="0" w:line="15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transactions or through SBA debentures. However, we may not be able to raise additional capital in the future on favorable terms or at all. We may issue additional debt securities or preferred securities, which we refer to collectively as “senior securities,” and we may borrow money from banks, through the SBA debenture program or other financial institutions, up to the maximum amount permitted by the 1940 Act. The 1940 Act permits us to issue senior securities or incur indebtedness only in amounts permissible under the asset coverage definition in the 1940 Act, exclusive of the SBA debentures pursuant to our SEC exemptive relief. Our ability to pay distributions or issue additional senior securities would be restricted if our asset coverage requirements were not met.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194" w:lineRule="exact"/>
        <w:rPr>
          <w:sz w:val="20"/>
          <w:szCs w:val="20"/>
          <w:color w:val="auto"/>
        </w:rPr>
      </w:pPr>
    </w:p>
    <w:p>
      <w:pPr>
        <w:ind w:left="900" w:hanging="325"/>
        <w:spacing w:after="0" w:line="273"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Senior Securities. </w:t>
      </w:r>
      <w:r>
        <w:rPr>
          <w:rFonts w:ascii="Arial" w:cs="Arial" w:eastAsia="Arial" w:hAnsi="Arial"/>
          <w:sz w:val="17"/>
          <w:szCs w:val="17"/>
          <w:color w:val="auto"/>
        </w:rPr>
        <w:t>As a result of issuing senior securities, we are exposed to typical risks associated with leverage, including an increased risk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205" w:lineRule="exact"/>
        <w:rPr>
          <w:rFonts w:ascii="Arial" w:cs="Arial" w:eastAsia="Arial" w:hAnsi="Arial"/>
          <w:sz w:val="17"/>
          <w:szCs w:val="17"/>
          <w:color w:val="auto"/>
        </w:rPr>
      </w:pPr>
    </w:p>
    <w:p>
      <w:pPr>
        <w:ind w:left="900" w:hanging="325"/>
        <w:spacing w:after="0" w:line="286"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securities. As a BDC, we 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we note that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201" w:lineRule="exact"/>
        <w:rPr>
          <w:rFonts w:ascii="Arial" w:cs="Arial" w:eastAsia="Arial" w:hAnsi="Arial"/>
          <w:sz w:val="16"/>
          <w:szCs w:val="16"/>
          <w:color w:val="auto"/>
        </w:rPr>
      </w:pPr>
    </w:p>
    <w:p>
      <w:pPr>
        <w:ind w:left="900" w:right="20" w:hanging="325"/>
        <w:spacing w:after="0" w:line="290"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permit,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89" w:lineRule="auto"/>
        <w:rPr>
          <w:sz w:val="20"/>
          <w:szCs w:val="20"/>
          <w:color w:val="auto"/>
        </w:rPr>
      </w:pPr>
      <w:r>
        <w:rPr>
          <w:rFonts w:ascii="Arial" w:cs="Arial" w:eastAsia="Arial" w:hAnsi="Arial"/>
          <w:sz w:val="16"/>
          <w:szCs w:val="16"/>
          <w:color w:val="auto"/>
        </w:rPr>
        <w:t>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94" w:lineRule="exact"/>
        <w:rPr>
          <w:sz w:val="20"/>
          <w:szCs w:val="20"/>
          <w:color w:val="auto"/>
        </w:rPr>
      </w:pPr>
    </w:p>
    <w:p>
      <w:pPr>
        <w:ind w:left="900" w:hanging="325"/>
        <w:spacing w:after="0" w:line="25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SBA Debentures. </w:t>
      </w:r>
      <w:r>
        <w:rPr>
          <w:rFonts w:ascii="Arial" w:cs="Arial" w:eastAsia="Arial" w:hAnsi="Arial"/>
          <w:sz w:val="18"/>
          <w:szCs w:val="18"/>
          <w:color w:val="auto"/>
        </w:rPr>
        <w:t>In addition to issuing securities and using securitizations to raise capital as described above, we have issued and may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issue, as permitted under SBA regulations and through our wholly owned subsidiaries, SBIC LP, SBIC II and any future SBIC subsidiary, SBA debentures to generate cash for funding new investments. To issue SBA debentures, we may request commitments for debt capital from the SBA. SBIC LP is and in the future SBIC II or any future SBIC subsidiary would be exposed to any losses on its portfolio of loans, however, such debentures are non-recourse to us.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SBIC Funds may be unable to make distributions to us that will enable us to meet or maintain RIC status.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order for us to continue to qualify for RIC tax treatment and to minimize corporate-level income taxes, we will be required to distribute substantially all of our consolidated net ordinary income and net capital gains, including income from our SBIC Funds. We will be partially dependent on our SBIC Funds for cash distributions to enable us to meet the RIC distribution requirements. Our SBIC Funds may be limited by SBA regulations governing SBICs from making certain distributions to us that may be necessary to maintain our status as a RIC. We may have to request a waiver of the SBA’s restrictions for our SBIC Funds to make certain distributions to maintain our RIC status. We cannot assure you that the SBA will grant such waiver and if our SBIC Funds are unable to obtain a waiver, compliance with the SBA regulations may result in corporate level income tax on us.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SBIC Funds are licensed by the SBA and are subject to SBA regulations.</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Our wholly owned subsidiaries, SBIC LP and SBIC II, received licenses to operate as SBICs under the 1958 Act and are regulated by the SBA. The SBA places certain limitations on the financing terms of investments by SBICs in portfolio companies and regulates the types of financings and prohibits investing in certain industries. Compliance with SBIC requirements may cause our SBIC Funds to invest at less competitive rates in order to qualify investments under the SBA regulations.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Further, SBA regulations require that a licensed SBIC be periodically examined and audited by the SBA to determine its compliance with the relevant regulations. If our SBIC Funds fail to comply with applicable regulations, the SBA could, depending on the severity of the violation, limit or prohibit their use of debentures, declare outstanding debentures immediately due and payable, and/or limit them from making new investments. In addition, the SBA could revoke or suspend our SBIC Funds’ licenses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19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SBA-guaranteed debentures are non-recourse to us, have a 10-year maturity, and may be prepaid at any time without penalty. The interest rate of SBA-guaranteed debentures is fixed at the time of issuance at a market-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driven spread over 10-year U.S. Treasury Notes. Leverage through SBA-guaranteed debentures is subject to required capitalization thresholds. SBA current regulations limit the amount that our SBIC Funds may borrow to a maximum of $150 million for any one SBIC, which is up to twice its regulatory capital, and a maximum of $225 million as part of a group of SBICs under common control.</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currently use borrowed funds to make investments and are exposed to the typical risks associated with leverage.</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is restricted when our asset coverage ratio is not met, exclusive of the SBA debentures pursuant to SEC exemptive relief, and any amounts that we use to service our indebtedness are not available for distribution to our common stockholders.</w:t>
      </w:r>
    </w:p>
    <w:p>
      <w:pPr>
        <w:spacing w:after="0" w:line="17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current debt is governed by the terms of our 2025 Notes, Credit Facility or the SBA debentures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Additionally, our subsidiary, SBIC LP, has received borrowed funds and SBIC II may in the future receive funds from the SBA through its debenture program. In connection with the filing of its initial SBA license application, PennantPark Investment received exemptive relief, in June 2011, from the SEC to permit us to exclude the debt of our SBIC Funds from our consolidated asset coverage ratio. Our ratio of total assets on a consolidated basis to outstanding indebtedness may be less than the applicable asset coverage ratio, which while providing increased investment flexibility, would also increase our exposure to risks associated with leverage.</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incur additional debt, it could increase the risk of investing in our shares.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have indebtedness outstanding pursuant to our 2025 Notes, Credit Facility and SBA debentures and expect in the future to borrow additional amounts under our Credit Facility or other debt securities, subject to market availability, and, may increase the size of our Credit Facility. We cannot assure you that our leverage will remain in this range.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our SBIC Funds, in connection with our Credit Facility borrowings. In the case of a liquidation event, those lenders would receive proceeds before our stockholders. Additionally, the SBA, as a lender and an administrative agent, has a superior claim over the assets of our SBIC Funds in relation to our other creditors. Any future debt issuance will increase our leverage and may be subordinate to our Credit Facility and SBA debentures. In addition, borrowings or debt issuances and SBA debentures, also known as leverage, magnify the potential for gain or loss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8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As of September 30, 2013, we had outstanding borrowings of $145.5 million under our Credit Facility, $71.3 million outstanding under our 2025 Notes and $150.0 million outstanding under the SBA debentures. Our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consolidated debt outstanding was $366.8 million and had a weighted average annual interest rate at the time of 4.05% exclusive of the fee on undrawn commitment on our Credit Facility of 0.50% and 3.43% of upfront fees on the SBA debentures. Accordingly, to cover the annual interest on our borrowings outstanding at September 30, 2013, at the then current rate, we would have to receive an annual yield of at least 1.39%.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table is designed to illustrate the effect on return to a holder of our common stock of the leverage created by our use of borrowing at September 30, 2013 of 32% of total assets (including such borrowed funds), at a weighted average rate at the time of 4.05%, and assumes hypothetical annual returns on our portfolio of minus 10 to plus 10 percent. The table also assumes that we will maintain a constant level and weighted average rate of leverage. The amount of leverage and cost of borrowings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5"/>
                <w:szCs w:val="15"/>
                <w:color w:val="auto"/>
              </w:rPr>
              <w:t>(1)</w:t>
            </w:r>
          </w:p>
        </w:tc>
        <w:tc>
          <w:tcPr>
            <w:tcW w:w="2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(10.0)%</w:t>
            </w: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(5.0)%</w:t>
            </w:r>
          </w:p>
        </w:tc>
        <w:tc>
          <w:tcPr>
            <w:tcW w:w="1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84"/>
        </w:trPr>
        <w:tc>
          <w:tcPr>
            <w:tcW w:w="486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5"/>
                <w:szCs w:val="15"/>
                <w:color w:val="auto"/>
              </w:rPr>
              <w:t>(2)</w:t>
            </w:r>
          </w:p>
        </w:tc>
        <w:tc>
          <w:tcPr>
            <w:tcW w:w="2220" w:type="dxa"/>
            <w:vAlign w:val="bottom"/>
          </w:tcPr>
          <w:p>
            <w:pPr>
              <w:jc w:val="right"/>
              <w:ind w:right="230"/>
              <w:spacing w:after="0"/>
              <w:rPr>
                <w:sz w:val="20"/>
                <w:szCs w:val="20"/>
                <w:color w:val="auto"/>
              </w:rPr>
            </w:pPr>
            <w:r>
              <w:rPr>
                <w:rFonts w:ascii="Arial" w:cs="Arial" w:eastAsia="Arial" w:hAnsi="Arial"/>
                <w:sz w:val="18"/>
                <w:szCs w:val="18"/>
                <w:color w:val="auto"/>
              </w:rPr>
              <w:t>(18.7)%</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(10.4)%</w:t>
            </w:r>
          </w:p>
        </w:tc>
        <w:tc>
          <w:tcPr>
            <w:tcW w:w="1140" w:type="dxa"/>
            <w:vAlign w:val="bottom"/>
          </w:tcPr>
          <w:p>
            <w:pPr>
              <w:ind w:left="320"/>
              <w:spacing w:after="0"/>
              <w:rPr>
                <w:sz w:val="20"/>
                <w:szCs w:val="20"/>
                <w:color w:val="auto"/>
              </w:rPr>
            </w:pPr>
            <w:r>
              <w:rPr>
                <w:rFonts w:ascii="Arial" w:cs="Arial" w:eastAsia="Arial" w:hAnsi="Arial"/>
                <w:sz w:val="18"/>
                <w:szCs w:val="18"/>
                <w:color w:val="auto"/>
              </w:rPr>
              <w:t>(2.1)%</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6.2%</w:t>
            </w:r>
          </w:p>
        </w:tc>
        <w:tc>
          <w:tcPr>
            <w:tcW w:w="900" w:type="dxa"/>
            <w:vAlign w:val="bottom"/>
          </w:tcPr>
          <w:p>
            <w:pPr>
              <w:jc w:val="right"/>
              <w:spacing w:after="0"/>
              <w:rPr>
                <w:sz w:val="20"/>
                <w:szCs w:val="20"/>
                <w:color w:val="auto"/>
              </w:rPr>
            </w:pPr>
            <w:r>
              <w:rPr>
                <w:rFonts w:ascii="Arial" w:cs="Arial" w:eastAsia="Arial" w:hAnsi="Arial"/>
                <w:sz w:val="18"/>
                <w:szCs w:val="18"/>
                <w:color w:val="auto"/>
              </w:rPr>
              <w:t>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960" w:hanging="452"/>
        <w:spacing w:after="0" w:line="25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assumed portfolio return is required by regulation of the SEC and is not a prediction of, and does not represent, our projected or actual performance.</w:t>
      </w:r>
    </w:p>
    <w:p>
      <w:pPr>
        <w:spacing w:after="0" w:line="1" w:lineRule="exact"/>
        <w:rPr>
          <w:rFonts w:ascii="Arial" w:cs="Arial" w:eastAsia="Arial" w:hAnsi="Arial"/>
          <w:sz w:val="18"/>
          <w:szCs w:val="18"/>
          <w:color w:val="auto"/>
        </w:rPr>
      </w:pPr>
    </w:p>
    <w:p>
      <w:pPr>
        <w:ind w:left="460" w:right="20" w:hanging="452"/>
        <w:spacing w:after="0" w:line="273"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 that may affect our cost of capital and net investment income.</w:t>
      </w:r>
    </w:p>
    <w:p>
      <w:pPr>
        <w:spacing w:after="0" w:line="11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2007, when we executed our original Credit Facility, through September 2013, the applicable London Interbank Offered Rate, or LIBOR, rate decreased from 5.3% to 0.2%. In periods of rising interest rates, our cost of funds will increase,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 and Results of Operations—Quantitative and Qualitative Disclosures about Market Risk” for more information.</w:t>
      </w:r>
    </w:p>
    <w:p>
      <w:pPr>
        <w:spacing w:after="0" w:line="183"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 (as defined below).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266" w:lineRule="exact"/>
        <w:rPr>
          <w:sz w:val="20"/>
          <w:szCs w:val="20"/>
          <w:color w:val="auto"/>
        </w:rPr>
      </w:pPr>
    </w:p>
    <w:p>
      <w:pPr>
        <w:ind w:right="100" w:firstLine="228"/>
        <w:spacing w:after="0" w:line="277" w:lineRule="auto"/>
        <w:rPr>
          <w:sz w:val="20"/>
          <w:szCs w:val="20"/>
          <w:color w:val="auto"/>
        </w:rPr>
      </w:pPr>
      <w:r>
        <w:rPr>
          <w:rFonts w:ascii="Arial" w:cs="Arial" w:eastAsia="Arial" w:hAnsi="Arial"/>
          <w:sz w:val="18"/>
          <w:szCs w:val="18"/>
          <w:b w:val="1"/>
          <w:bCs w:val="1"/>
          <w:i w:val="1"/>
          <w:iCs w:val="1"/>
          <w:color w:val="auto"/>
        </w:rPr>
        <w:t>We have and may in the future determine to fund a portion of our investments with debt securities, which would magnify the potential for loss and the risks of investing in us.</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a result of the issuance of the 2025 Notes and SBA debentures, we are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are not available for the payment of distributions to our common stockholders.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credit ratings may not reflect all risks of an investment in our debt securities.</w:t>
      </w:r>
    </w:p>
    <w:p>
      <w:pPr>
        <w:spacing w:after="0" w:line="117" w:lineRule="exact"/>
        <w:rPr>
          <w:sz w:val="20"/>
          <w:szCs w:val="20"/>
          <w:color w:val="auto"/>
        </w:rPr>
      </w:pPr>
    </w:p>
    <w:p>
      <w:pPr>
        <w:jc w:val="both"/>
        <w:ind w:right="340" w:firstLine="456"/>
        <w:spacing w:after="0" w:line="312"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our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255" w:lineRule="exact"/>
        <w:rPr>
          <w:sz w:val="20"/>
          <w:szCs w:val="20"/>
          <w:color w:val="auto"/>
        </w:rPr>
      </w:pPr>
    </w:p>
    <w:p>
      <w:pPr>
        <w:ind w:right="60" w:firstLine="228"/>
        <w:spacing w:after="0" w:line="277" w:lineRule="auto"/>
        <w:rPr>
          <w:sz w:val="20"/>
          <w:szCs w:val="20"/>
          <w:color w:val="auto"/>
        </w:rPr>
      </w:pPr>
      <w:r>
        <w:rPr>
          <w:rFonts w:ascii="Arial" w:cs="Arial" w:eastAsia="Arial" w:hAnsi="Arial"/>
          <w:sz w:val="18"/>
          <w:szCs w:val="18"/>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Credit Facility expires in February 2016. We utilize the Credit Facility to make investments in our portfolio companies. The life of our investments typically exceeds the duration of our indebtedness under our Credit Facility. This means that we will have to extend the maturity of our Credit Facility or refinance our indebtedness under our Credit Facility in order to avoid selling investments at a time when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275" w:lineRule="exact"/>
        <w:rPr>
          <w:sz w:val="20"/>
          <w:szCs w:val="20"/>
          <w:color w:val="auto"/>
        </w:rPr>
      </w:pPr>
    </w:p>
    <w:p>
      <w:pPr>
        <w:ind w:right="400" w:firstLine="228"/>
        <w:spacing w:after="0" w:line="277" w:lineRule="auto"/>
        <w:rPr>
          <w:sz w:val="20"/>
          <w:szCs w:val="20"/>
          <w:color w:val="auto"/>
        </w:rPr>
      </w:pPr>
      <w:r>
        <w:rPr>
          <w:rFonts w:ascii="Arial" w:cs="Arial" w:eastAsia="Arial" w:hAnsi="Arial"/>
          <w:sz w:val="18"/>
          <w:szCs w:val="18"/>
          <w:b w:val="1"/>
          <w:bCs w:val="1"/>
          <w:i w:val="1"/>
          <w:iCs w:val="1"/>
          <w:color w:val="auto"/>
        </w:rPr>
        <w:t>If we issue preferred stock, debt securities, convertible debt securities or units, the NAV and market value of our common stock may become more volatile.</w:t>
      </w:r>
    </w:p>
    <w:p>
      <w:pPr>
        <w:spacing w:after="0" w:line="62"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We cannot assure you that the issuance of preferred stock and/or debt securities would result in a higher yield or return to the holders of our common stock. The issuance of preferred stock, debt securities, convertible debt or units would likely cause the NAV and market value of our common stock to become more volatile. If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18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There is also a risk that, in the event of a sharp decline in the value of our net assets, we would be in danger of failing to maintain required asset coverage ratios which may be required by the preferred stock, debt securities, convertible debt or units or of a downgrade in the ratings of the preferred stock, debt securities, convertible debt or units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convertible debt or units.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units may have different interests than holders of common stock and may at times have disproportionate influence over our affairs.</w:t>
      </w:r>
    </w:p>
    <w:p>
      <w:pPr>
        <w:spacing w:after="0" w:line="287" w:lineRule="exact"/>
        <w:rPr>
          <w:sz w:val="20"/>
          <w:szCs w:val="20"/>
          <w:color w:val="auto"/>
        </w:rPr>
      </w:pPr>
    </w:p>
    <w:p>
      <w:pPr>
        <w:ind w:right="160" w:firstLine="228"/>
        <w:spacing w:after="0" w:line="277" w:lineRule="auto"/>
        <w:rPr>
          <w:sz w:val="20"/>
          <w:szCs w:val="20"/>
          <w:color w:val="auto"/>
        </w:rPr>
      </w:pPr>
      <w:r>
        <w:rPr>
          <w:rFonts w:ascii="Arial" w:cs="Arial" w:eastAsia="Arial" w:hAnsi="Arial"/>
          <w:sz w:val="18"/>
          <w:szCs w:val="18"/>
          <w:b w:val="1"/>
          <w:bCs w:val="1"/>
          <w:i w:val="1"/>
          <w:iCs w:val="1"/>
          <w:color w:val="auto"/>
        </w:rPr>
        <w:t>Holders of any preferred stock that we may issue will have the right to elect members of the board of directors and have class voting rights on certain matters.</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in the future issue securities for which there is no public market and for which we expect no public market to develop.</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professionals of our Investment Adviser and Administrator may serve as officers, directors or principals of entities that operate in the same or a related line of business as we do or of investment funds managed by affiliates of PennantPark Investment that currently exist or may be formed in the future. The Investment Adviser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controlled affiliates and affiliated funds. In addition, we note that any affiliated investment vehicle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will be forced to choose which investment fund should make the investment. We may co-invest on a concurrent basis with any other affiliates that the Investment Adviser has or forms in the future, subject to compliance with applicable regulations and regulatory guidance and our allocation procedures. In certain circumstances, negotiated co-investments may be made only if we receive an order from the SEC permitting us to do so. We, the Investment Adviser and our affiliated funds have submitted an exemptive application to the SEC for such an order, but there can be no assurance that such order will be obtained.</w:t>
      </w:r>
    </w:p>
    <w:p>
      <w:pPr>
        <w:spacing w:after="0" w:line="18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into a license agreement, or the License Agreement, with PennantPark Investment Advisers, pursuant to which our Investment Adviser has granted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we pay PennantPark Investment Administration, an affiliate of the Investment Adviser, our allocable portion of overhead 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trading market or market value of any publicly issued debt or convertible debt securities may be volatile.</w:t>
      </w:r>
    </w:p>
    <w:p>
      <w:pPr>
        <w:spacing w:after="0" w:line="117"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If we publicly issue debt or convertible debt securities, they may or may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factors include the following:</w:t>
      </w:r>
    </w:p>
    <w:p>
      <w:pPr>
        <w:spacing w:after="0" w:line="13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225"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Terms relating to redemption may have a material adverse effect on the return on any debt securities.</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we issue subscription rights or warrants for our common stock, your interest in us may be diluted as a result of such rights or warrants offering.</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if the subscription price or warrant price is less than our NAV per share of common stock at the time of such offering, then our stockholders would experience an immediate dilution of the aggregate NAV of their shares as a result of the offering. The amount of any such decrease in NAV is not predictable because it is not known at this time what the subscription price, warrant price or NAV per share will be on the expiration date of such rights offering or what proportion of our common stock will be purchased as a result of any such offering.</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and the 2025 Notes, future decreases of fair value of our debt will have a corresponding increase to our NAV. Further increases of fair value of our debt will have the opposite effect. Any future indebtedness that we elect the fair value option for may have similar effects on our NAV as our Credit Facility and 2025 Notes. This will tend to mitigate volatility in our earnings and NAV. As a result of these factors, results for any period should not be relied upon as being indicative of performance in future periods.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impact of recent financial reform legislation on us is uncertain.</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became effective in July 2010. Although many provisions of the Dodd-Frank Act have delayed effectiveness or will not become effective until the relevant federal agencies issue new rules to implement the Dodd-Frank Act, the Dodd-Frank Act may nevertheless have a material adverse impact on the financial services industry as a whole and on our business, financial condition and results of operations. Accordingly, we cannot predict the effect the Dodd-Frank Act or implementing its regulations will have on our business, financial condition and results of operations.</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 See “Regulation” for more information.</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board of directors may change our investment objectives, operating policies and strategies without prior notice or stockholder approval.</w:t>
      </w:r>
    </w:p>
    <w:p>
      <w:pPr>
        <w:spacing w:after="0" w:line="14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121" w:lineRule="exact"/>
        <w:rPr>
          <w:sz w:val="20"/>
          <w:szCs w:val="20"/>
          <w:color w:val="auto"/>
        </w:rPr>
      </w:pPr>
    </w:p>
    <w:p>
      <w:pPr>
        <w:ind w:right="160" w:firstLine="228"/>
        <w:spacing w:after="0" w:line="277" w:lineRule="auto"/>
        <w:rPr>
          <w:sz w:val="20"/>
          <w:szCs w:val="20"/>
          <w:color w:val="auto"/>
        </w:rPr>
      </w:pPr>
      <w:r>
        <w:rPr>
          <w:rFonts w:ascii="Arial" w:cs="Arial" w:eastAsia="Arial" w:hAnsi="Arial"/>
          <w:sz w:val="18"/>
          <w:szCs w:val="18"/>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6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All of our investments are recorded using broker or dealer quotes, or at fair value as determined in good faith by our board of directors. We expect that primarily most, if not all, of our investments (other than cash and cash equivalents) and the fair value of our Credit Facility will be classified as Level 3 under the Financial Accounting Standards Board, or FASB, Accounting Standards Codification, or ASC, 820, Fair Value Measurement. This means that our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materially reduces the reliability of such information.</w:t>
      </w:r>
    </w:p>
    <w:p>
      <w:pPr>
        <w:spacing w:after="0" w:line="179"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depreciation if we believe that the underlying portfolio company has depreciated in value. As a result, there will be uncertainty as to the value of our portfolio investments.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adjust quarterly the valuation of our portfolio to reflect our board of directors’ determination of the fair value of each investment in our portfolio.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changes in fair value are recorded in the Consolidated Statement of Operations as net change in unrealized appreciation or depreciation.</w:t>
      </w:r>
    </w:p>
    <w:p>
      <w:pPr>
        <w:spacing w:after="0" w:line="211"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At September 30, 2013, all our portfolio assets were recorded at fair value as approved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higher than the values that we ultimately realize upon the disposal of such securities.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66"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8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general disruption in the credit markets could materially damage our business.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(excluding assets held by our SBIC Funds).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8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BDC and materially impair our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255" w:lineRule="exact"/>
        <w:rPr>
          <w:sz w:val="20"/>
          <w:szCs w:val="20"/>
          <w:color w:val="auto"/>
        </w:rPr>
      </w:pPr>
    </w:p>
    <w:p>
      <w:pPr>
        <w:ind w:right="440" w:firstLine="228"/>
        <w:spacing w:after="0" w:line="277" w:lineRule="auto"/>
        <w:rPr>
          <w:sz w:val="20"/>
          <w:szCs w:val="20"/>
          <w:color w:val="auto"/>
        </w:rPr>
      </w:pPr>
      <w:r>
        <w:rPr>
          <w:rFonts w:ascii="Arial" w:cs="Arial" w:eastAsia="Arial" w:hAnsi="Arial"/>
          <w:sz w:val="18"/>
          <w:szCs w:val="18"/>
          <w:b w:val="1"/>
          <w:bCs w:val="1"/>
          <w:i w:val="1"/>
          <w:iCs w:val="1"/>
          <w:color w:val="auto"/>
        </w:rPr>
        <w:t>We rely in part on our over-the-counter securities, which faced liquidity constraints under recent market conditions, to provide us with additional liquidity.</w:t>
      </w:r>
    </w:p>
    <w:p>
      <w:pPr>
        <w:spacing w:after="0" w:line="62"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investments in prospective portfolio companies may be risky, and you could lose all or part of your investment.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intend to invest primarily in senior secured loans, mezzanine debt and selected equity investments issued by U.S. middle-market companies.</w:t>
      </w:r>
    </w:p>
    <w:p>
      <w:pPr>
        <w:spacing w:after="0" w:line="237"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b w:val="1"/>
          <w:bCs w:val="1"/>
          <w:i w:val="1"/>
          <w:iCs w:val="1"/>
          <w:color w:val="auto"/>
        </w:rPr>
        <w:t xml:space="preserve">Senior Secured Loans: </w:t>
      </w:r>
      <w:r>
        <w:rPr>
          <w:rFonts w:ascii="Arial" w:cs="Arial" w:eastAsia="Arial" w:hAnsi="Arial"/>
          <w:sz w:val="17"/>
          <w:szCs w:val="17"/>
          <w:color w:val="auto"/>
        </w:rPr>
        <w:t>When we extend senior secured loans, which we define to include first lien debt, we will generally take a security interest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available assets of these portfolio companies, 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82" w:lineRule="exact"/>
        <w:rPr>
          <w:sz w:val="20"/>
          <w:szCs w:val="20"/>
          <w:color w:val="auto"/>
        </w:rPr>
      </w:pPr>
    </w:p>
    <w:p>
      <w:pPr>
        <w:ind w:left="460" w:right="60"/>
        <w:spacing w:after="0" w:line="272" w:lineRule="auto"/>
        <w:rPr>
          <w:sz w:val="20"/>
          <w:szCs w:val="20"/>
          <w:color w:val="auto"/>
        </w:rPr>
      </w:pPr>
      <w:r>
        <w:rPr>
          <w:rFonts w:ascii="Arial" w:cs="Arial" w:eastAsia="Arial" w:hAnsi="Arial"/>
          <w:sz w:val="17"/>
          <w:szCs w:val="17"/>
          <w:b w:val="1"/>
          <w:bCs w:val="1"/>
          <w:i w:val="1"/>
          <w:iCs w:val="1"/>
          <w:color w:val="auto"/>
        </w:rPr>
        <w:t xml:space="preserve">Mezzanine Debt: </w:t>
      </w:r>
      <w:r>
        <w:rPr>
          <w:rFonts w:ascii="Arial" w:cs="Arial" w:eastAsia="Arial" w:hAnsi="Arial"/>
          <w:sz w:val="17"/>
          <w:szCs w:val="17"/>
          <w:color w:val="auto"/>
        </w:rPr>
        <w:t>Our mezzanine debt investments, which we define to include second lien secured and subordinated debt, will generally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subordinated to senior secured loans 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mezzanine debt investments, such investments may be of greater risk than cash paying loans.</w:t>
      </w:r>
    </w:p>
    <w:p>
      <w:pPr>
        <w:spacing w:after="0" w:line="178" w:lineRule="exact"/>
        <w:rPr>
          <w:sz w:val="20"/>
          <w:szCs w:val="20"/>
          <w:color w:val="auto"/>
        </w:rPr>
      </w:pPr>
    </w:p>
    <w:p>
      <w:pPr>
        <w:ind w:left="460" w:right="260"/>
        <w:spacing w:after="0" w:line="276" w:lineRule="auto"/>
        <w:rPr>
          <w:sz w:val="20"/>
          <w:szCs w:val="20"/>
          <w:color w:val="auto"/>
        </w:rPr>
      </w:pPr>
      <w:r>
        <w:rPr>
          <w:rFonts w:ascii="Arial" w:cs="Arial" w:eastAsia="Arial" w:hAnsi="Arial"/>
          <w:sz w:val="17"/>
          <w:szCs w:val="17"/>
          <w:b w:val="1"/>
          <w:bCs w:val="1"/>
          <w:i w:val="1"/>
          <w:iCs w:val="1"/>
          <w:color w:val="auto"/>
        </w:rPr>
        <w:t xml:space="preserve">Equity Investments: </w:t>
      </w:r>
      <w:r>
        <w:rPr>
          <w:rFonts w:ascii="Arial" w:cs="Arial" w:eastAsia="Arial" w:hAnsi="Arial"/>
          <w:sz w:val="17"/>
          <w:szCs w:val="17"/>
          <w:color w:val="auto"/>
        </w:rPr>
        <w:t>We have made and expect to continue to make select equity investments. In addition, when we invest in senior secured loans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131" w:lineRule="exact"/>
        <w:rPr>
          <w:sz w:val="20"/>
          <w:szCs w:val="20"/>
          <w:color w:val="auto"/>
        </w:rPr>
      </w:pPr>
    </w:p>
    <w:p>
      <w:pPr>
        <w:ind w:left="900" w:right="120" w:hanging="325"/>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6" w:lineRule="exact"/>
        <w:rPr>
          <w:rFonts w:ascii="Arial" w:cs="Arial" w:eastAsia="Arial" w:hAnsi="Arial"/>
          <w:sz w:val="18"/>
          <w:szCs w:val="18"/>
          <w:color w:val="auto"/>
        </w:rPr>
      </w:pPr>
    </w:p>
    <w:p>
      <w:pPr>
        <w:ind w:left="900" w:right="400" w:hanging="325"/>
        <w:spacing w:after="0" w:line="308"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51" w:lineRule="exact"/>
        <w:rPr>
          <w:rFonts w:ascii="Arial" w:cs="Arial" w:eastAsia="Arial" w:hAnsi="Arial"/>
          <w:sz w:val="17"/>
          <w:szCs w:val="17"/>
          <w:color w:val="auto"/>
        </w:rPr>
      </w:pPr>
    </w:p>
    <w:p>
      <w:pPr>
        <w:ind w:left="900" w:right="200" w:hanging="325"/>
        <w:spacing w:after="0" w:line="34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29" w:lineRule="exact"/>
        <w:rPr>
          <w:rFonts w:ascii="Arial" w:cs="Arial" w:eastAsia="Arial" w:hAnsi="Arial"/>
          <w:sz w:val="16"/>
          <w:szCs w:val="16"/>
          <w:color w:val="auto"/>
        </w:rPr>
      </w:pPr>
    </w:p>
    <w:p>
      <w:pPr>
        <w:ind w:left="900" w:right="200" w:hanging="325"/>
        <w:spacing w:after="0" w:line="30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59" w:lineRule="exact"/>
        <w:rPr>
          <w:rFonts w:ascii="Arial" w:cs="Arial" w:eastAsia="Arial" w:hAnsi="Arial"/>
          <w:sz w:val="16"/>
          <w:szCs w:val="16"/>
          <w:color w:val="auto"/>
        </w:rPr>
      </w:pPr>
    </w:p>
    <w:p>
      <w:pPr>
        <w:ind w:left="900" w:right="64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79" w:lineRule="exact"/>
        <w:rPr>
          <w:sz w:val="20"/>
          <w:szCs w:val="20"/>
          <w:color w:val="auto"/>
        </w:rPr>
      </w:pPr>
    </w:p>
    <w:p>
      <w:pPr>
        <w:ind w:right="80" w:firstLine="228"/>
        <w:spacing w:after="0" w:line="264" w:lineRule="auto"/>
        <w:rPr>
          <w:sz w:val="20"/>
          <w:szCs w:val="20"/>
          <w:color w:val="auto"/>
        </w:rPr>
      </w:pPr>
      <w:r>
        <w:rPr>
          <w:rFonts w:ascii="Arial" w:cs="Arial" w:eastAsia="Arial" w:hAnsi="Arial"/>
          <w:sz w:val="18"/>
          <w:szCs w:val="18"/>
          <w:b w:val="1"/>
          <w:bCs w:val="1"/>
          <w:i w:val="1"/>
          <w:iCs w:val="1"/>
          <w:color w:val="auto"/>
        </w:rPr>
        <w:t>Under the 1940 Act 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spacing w:after="0" w:line="73" w:lineRule="exact"/>
        <w:rPr>
          <w:sz w:val="20"/>
          <w:szCs w:val="20"/>
          <w:color w:val="auto"/>
        </w:rPr>
      </w:pPr>
    </w:p>
    <w:p>
      <w:pPr>
        <w:jc w:val="both"/>
        <w:ind w:right="240" w:firstLine="456"/>
        <w:spacing w:after="0" w:line="257"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286" w:lineRule="exact"/>
        <w:rPr>
          <w:sz w:val="20"/>
          <w:szCs w:val="20"/>
          <w:color w:val="auto"/>
        </w:rPr>
      </w:pPr>
    </w:p>
    <w:p>
      <w:pPr>
        <w:ind w:right="560" w:firstLine="228"/>
        <w:spacing w:after="0" w:line="277"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6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Many of our portfolio companies are susceptible to economic slowdowns or recessions and may be unable to repay loans from us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fail to make follow-on investments in our portfolio companies, this could materially impair the value of our portfolio.</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76"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8"/>
        <w:spacing w:after="0" w:line="342" w:lineRule="auto"/>
        <w:rPr>
          <w:sz w:val="20"/>
          <w:szCs w:val="20"/>
          <w:color w:val="auto"/>
        </w:rPr>
      </w:pPr>
      <w:r>
        <w:rPr>
          <w:rFonts w:ascii="Arial" w:cs="Arial" w:eastAsia="Arial" w:hAnsi="Arial"/>
          <w:sz w:val="16"/>
          <w:szCs w:val="16"/>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296" w:lineRule="exact"/>
        <w:rPr>
          <w:sz w:val="20"/>
          <w:szCs w:val="20"/>
          <w:color w:val="auto"/>
        </w:rPr>
      </w:pPr>
    </w:p>
    <w:p>
      <w:pPr>
        <w:ind w:right="100" w:firstLine="228"/>
        <w:spacing w:after="0" w:line="264" w:lineRule="auto"/>
        <w:rPr>
          <w:sz w:val="20"/>
          <w:szCs w:val="20"/>
          <w:color w:val="auto"/>
        </w:rPr>
      </w:pPr>
      <w:r>
        <w:rPr>
          <w:rFonts w:ascii="Arial" w:cs="Arial" w:eastAsia="Arial" w:hAnsi="Arial"/>
          <w:sz w:val="18"/>
          <w:szCs w:val="18"/>
          <w:b w:val="1"/>
          <w:bCs w:val="1"/>
          <w:i w:val="1"/>
          <w:i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7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invest primarily in senior secured loans, mezzanine debt and equity investments issued by our portfolio companies. The portfolio companies usually will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incentive fee may induce the Investment Adviser to make speculative investments.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295" w:lineRule="exact"/>
        <w:rPr>
          <w:sz w:val="20"/>
          <w:szCs w:val="20"/>
          <w:color w:val="auto"/>
        </w:rPr>
      </w:pPr>
    </w:p>
    <w:p>
      <w:pPr>
        <w:ind w:right="400" w:firstLine="228"/>
        <w:spacing w:after="0" w:line="277" w:lineRule="auto"/>
        <w:rPr>
          <w:sz w:val="20"/>
          <w:szCs w:val="20"/>
          <w:color w:val="auto"/>
        </w:rPr>
      </w:pPr>
      <w:r>
        <w:rPr>
          <w:rFonts w:ascii="Arial" w:cs="Arial" w:eastAsia="Arial" w:hAnsi="Arial"/>
          <w:sz w:val="18"/>
          <w:szCs w:val="18"/>
          <w:b w:val="1"/>
          <w:bCs w:val="1"/>
          <w:i w:val="1"/>
          <w:iCs w:val="1"/>
          <w:color w:val="auto"/>
        </w:rPr>
        <w:t>We may make investments that cause our stockholders to bear investment advisory fees and other expenses on such investments in addition to our management fees and expenses.</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obligated to pay our Investment Adviser incentive compensation even if we incur a loss.</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our Investment Adviser incentive compensation for a fiscal quarter even if there is a decline in the value of our portfolio or we incur a net loss for that quarter.</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investments in foreign securities may involve significant risks in addition to the risks inherent in U.S. investments.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investment strategy contemplates potential investments in securities of companies located outside of the United States. Investments in securities located outside of the United States would not be qualifying assets under Section 55(a) of the 1940 Act. Investing in companies located outside of the United States may expose us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we engage in hedging transactions, we may expose ourselves to risks associated with such transactions. We may borrow under a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82"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recent rules adopted by the Commodity Futures Trading Commission.</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Any investments in distressed debt may not produce income and may require us to bear large expenses in order to protect and recover our investment.</w:t>
      </w:r>
    </w:p>
    <w:p>
      <w:pPr>
        <w:spacing w:after="0" w:line="15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121" w:lineRule="exact"/>
        <w:rPr>
          <w:sz w:val="20"/>
          <w:szCs w:val="20"/>
          <w:color w:val="auto"/>
        </w:rPr>
      </w:pPr>
    </w:p>
    <w:p>
      <w:pPr>
        <w:jc w:val="both"/>
        <w:ind w:right="260" w:firstLine="228"/>
        <w:spacing w:after="0" w:line="340" w:lineRule="auto"/>
        <w:rPr>
          <w:sz w:val="20"/>
          <w:szCs w:val="20"/>
          <w:color w:val="auto"/>
        </w:rPr>
      </w:pPr>
      <w:r>
        <w:rPr>
          <w:rFonts w:ascii="Arial" w:cs="Arial" w:eastAsia="Arial" w:hAnsi="Arial"/>
          <w:sz w:val="15"/>
          <w:szCs w:val="15"/>
          <w:b w:val="1"/>
          <w:bCs w:val="1"/>
          <w:i w:val="1"/>
          <w:iCs w:val="1"/>
          <w:color w:val="auto"/>
        </w:rPr>
        <w:t>We may again obtain the approval of our stockholders to issue shares of our common stock at prices below the then current NAV per share of our common stock. If we receive such approval from stockholders in the future, we may again issue shares of our common stock at a price below the then current NAV per share of common stock. Any such issuance could materially dilute your interest in our common stock and reduce our NAV per share.</w:t>
      </w:r>
    </w:p>
    <w:p>
      <w:pPr>
        <w:spacing w:after="0" w:line="23"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We may again obtain the approval of our stockholders to issue shares of our common stock at prices below the then current NAV per share of our common stock in one or more offerings for a twelve-month period. Such approval has allowed, and may again allow, us to access the capital markets in a way that we typically are unable to do as a result of restrictions that, absent stockholder approval, apply to BDCs under the 1940 Act.</w:t>
      </w:r>
    </w:p>
    <w:p>
      <w:pPr>
        <w:spacing w:after="0" w:line="16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Any sale or other issuance of shares of our common stock at a price below NAV per share has resulted and will continue to result in an immediate dilution to your interest in our common stock and a reduction of our NAV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 that we make at a price below our then current NAV in the future in a prospectus supplement issued in connection with any such offering.</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is a risk that our stockholders may not receive distributions or that our distributions may not grow over time.</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applicable to us as a BDC, we may be limited in our ability to make distributions. Further, if more stockholders opt to receive cash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in our shares may involve an above average degree of risk.</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allocate the net proceeds from an offering of securities in ways with which you may not agree.</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shares may trade at discounts from NAV or at premiums that are unsustainable over the long term.</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Shares of BDCs may trade at a market price that is less than the NAV that is attributable to those shares. Our shares have traded above and below our NAV. Our shares closed on the NASDAQ Global Select Market at $11.28 and $10.61 as of September 30, 2013 and 2012, respectively. Our NAV per share was $10.49 and $10.22 as of September 30, 2013 and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900" w:right="24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BDCs or SBICs;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loss of our BDC or RIC status or any loss of our subsidiaries’ SBIC licenses;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25" w:lineRule="exact"/>
        <w:rPr>
          <w:sz w:val="20"/>
          <w:szCs w:val="20"/>
          <w:color w:val="auto"/>
        </w:rPr>
      </w:pPr>
    </w:p>
    <w:p>
      <w:pPr>
        <w:ind w:right="180" w:firstLine="571"/>
        <w:spacing w:after="0" w:line="277"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79" w:lineRule="exact"/>
        <w:rPr>
          <w:sz w:val="20"/>
          <w:szCs w:val="20"/>
          <w:color w:val="auto"/>
        </w:rPr>
      </w:pPr>
    </w:p>
    <w:p>
      <w:pPr>
        <w:ind w:right="380" w:firstLine="228"/>
        <w:spacing w:after="0" w:line="277" w:lineRule="auto"/>
        <w:rPr>
          <w:sz w:val="20"/>
          <w:szCs w:val="20"/>
          <w:color w:val="auto"/>
        </w:rPr>
      </w:pPr>
      <w:r>
        <w:rPr>
          <w:rFonts w:ascii="Arial" w:cs="Arial" w:eastAsia="Arial" w:hAnsi="Arial"/>
          <w:sz w:val="18"/>
          <w:szCs w:val="18"/>
          <w:b w:val="1"/>
          <w:bCs w:val="1"/>
          <w:i w:val="1"/>
          <w:iCs w:val="1"/>
          <w:color w:val="auto"/>
        </w:rPr>
        <w:t>We may be unable to invest the net proceeds raised from offerings on acceptable terms, which would harm our financial condition and operating results.</w:t>
      </w:r>
    </w:p>
    <w:p>
      <w:pPr>
        <w:spacing w:after="0" w:line="62"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459"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investment criteria or that any investment we complete using the proceeds from an offering will produce a sufficient return.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SBA also limits an SBIC’s choices to invest idle funds to the following types of securities:</w:t>
      </w:r>
    </w:p>
    <w:p>
      <w:pPr>
        <w:spacing w:after="0" w:line="131" w:lineRule="exact"/>
        <w:rPr>
          <w:sz w:val="20"/>
          <w:szCs w:val="20"/>
          <w:color w:val="auto"/>
        </w:rPr>
      </w:pPr>
    </w:p>
    <w:p>
      <w:pPr>
        <w:ind w:left="9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U.S. government, which mature within 15 months from the date of the investment;</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a withdrawal restriction of one year or less.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of substantial amounts of our securities may have an adverse effect on the market price of our securities.</w:t>
      </w:r>
    </w:p>
    <w:p>
      <w:pPr>
        <w:spacing w:after="0" w:line="11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You may have current tax liabilities on distributions you reinvest in our common stock.</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“Management’s Discussion and Analysis of Financial Condition and Results of Operations—Liquidity and Capital Resources—Distributions” for more information.</w:t>
      </w:r>
    </w:p>
    <w:p>
      <w:pPr>
        <w:spacing w:after="0" w:line="297" w:lineRule="exact"/>
        <w:rPr>
          <w:sz w:val="20"/>
          <w:szCs w:val="20"/>
          <w:color w:val="auto"/>
        </w:rPr>
      </w:pPr>
    </w:p>
    <w:p>
      <w:pPr>
        <w:ind w:right="220" w:firstLine="228"/>
        <w:spacing w:after="0" w:line="277" w:lineRule="auto"/>
        <w:rPr>
          <w:sz w:val="20"/>
          <w:szCs w:val="20"/>
          <w:color w:val="auto"/>
        </w:rPr>
      </w:pPr>
      <w:r>
        <w:rPr>
          <w:rFonts w:ascii="Arial" w:cs="Arial" w:eastAsia="Arial" w:hAnsi="Arial"/>
          <w:sz w:val="18"/>
          <w:szCs w:val="18"/>
          <w:b w:val="1"/>
          <w:bCs w:val="1"/>
          <w:i w:val="1"/>
          <w:iCs w:val="1"/>
          <w:color w:val="auto"/>
        </w:rPr>
        <w:t>There is a risk that our common stockholders may receive our stock as distributions in which case they may be required to pay taxes in excess of the cash they receive.</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distributions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 Oxley Act, and other rules implemented by the SEC and the listing standards of the NASDAQ Stock Market LLC and the NYSE.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8"/>
        <w:spacing w:after="0" w:line="277"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62"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65"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7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DEBT SECURITIES</w:t>
      </w:r>
    </w:p>
    <w:p>
      <w:pPr>
        <w:spacing w:after="0" w:line="121" w:lineRule="exact"/>
        <w:rPr>
          <w:sz w:val="20"/>
          <w:szCs w:val="20"/>
          <w:color w:val="auto"/>
        </w:rPr>
      </w:pPr>
    </w:p>
    <w:p>
      <w:pPr>
        <w:ind w:right="140" w:firstLine="228"/>
        <w:spacing w:after="0" w:line="277" w:lineRule="auto"/>
        <w:rPr>
          <w:sz w:val="20"/>
          <w:szCs w:val="20"/>
          <w:color w:val="auto"/>
        </w:rPr>
      </w:pPr>
      <w:r>
        <w:rPr>
          <w:rFonts w:ascii="Arial" w:cs="Arial" w:eastAsia="Arial" w:hAnsi="Arial"/>
          <w:sz w:val="18"/>
          <w:szCs w:val="18"/>
          <w:b w:val="1"/>
          <w:bCs w:val="1"/>
          <w:i w:val="1"/>
          <w:iCs w:val="1"/>
          <w:color w:val="auto"/>
        </w:rPr>
        <w:t>The 2025 Notes are unsecured and therefore are effectively subordinated to any secured indebtedness we have currently incurred or may incur in the future.</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2025 Notes are not secured by any of our assets or any of the assets of our subsidiaries. As a result, the 2025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2025 Notes. As of September 30, 2013, we had $145.5 million outstanding under the Credit Facility. The Credit Facility is secured by substantially all of the assets in our portfolio (other than assets held by our SBIC Funds), and the indebtedness under the Credit Facility is therefore effectively senior in right of payment to the 2025 Notes to the extent of the value of such assets.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2025 Notes are structurally subordinated to the indebtedness and other liabilities of our subsidiaries.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2025 Notes are obligations exclusively of PennantPark Investment Corporation and not of any of our subsidiaries. None of our subsidiaries are or act as guarantors of the 2025 Notes and the 2025 Notes are not required to be guaranteed by any subsidiaries we may acquire or create in the future. Our secured indebtedness with respect to the SBA debentures is held through our SBIC Funds. The assets of any such subsidiaries are not directly available to satisfy the claims of our creditors, including holders of the 2025 Notes.</w:t>
      </w:r>
    </w:p>
    <w:p>
      <w:pPr>
        <w:spacing w:after="0" w:line="18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2025 Notes) with respect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2025 Notes are structurally subordinated to all indebtedness and other liabilities (including trade payables) of our subsidiaries and any subsidiaries that we may in the future acquire or establish as financing vehicles or otherwise. As of September 30, 2013, SBIC LP had $150.0 million of SBA debentures outstanding. All of such indebtedness is structurally senior to the 2025 Notes. In addition, our subsidiaries may incur substantial additional indebtedness in the future, all of which would be structurally senior to the 2025 Notes.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indenture under which the 2025 Notes were issued contains limited protection for holders of the 2025 Notes.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indenture under which the 2025 Notes were issued offers limited protection to holders of the 2025 Notes. The terms of the indenture and the 2025 Notes do not restrict our or any of our subsidiaries’ ability to engage in, or otherwise be a party to, a variety of corporate transactions, circumstances or events that could have an adverse impact on investment in the 2025 Notes. In particular, the terms of the indenture and the 2025 Notes do not place any restrictions on our or our subsidiaries’ ability to:</w:t>
      </w:r>
    </w:p>
    <w:p>
      <w:pPr>
        <w:spacing w:after="0" w:line="92" w:lineRule="exact"/>
        <w:rPr>
          <w:sz w:val="20"/>
          <w:szCs w:val="20"/>
          <w:color w:val="auto"/>
        </w:rPr>
      </w:pPr>
    </w:p>
    <w:p>
      <w:pPr>
        <w:ind w:left="900" w:right="40" w:hanging="325"/>
        <w:spacing w:after="0" w:line="25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 securities or otherwise incur additional indebtedness or other obligations, including (1) any indebtedness or other obligations that would be equal in right of payment to the 2025 Notes, (2) any indebtedness or other obligations that would be secured and therefore rank effectively senior in right of payment to the 2025 Notes to the extent of the values of the assets securing such debt, (3) indebtedness of ours that is guaranteed by one or more of our subsidiaries and which therefore would rank structurally senior to the 2025 Notes and (4) securities, indebtedness or other obligations issued or incurred by our subsidiaries that would be senior in right of payment to our equity interests in our subsidiaries and therefore would rank structurally senior in right of payment to the 2025 Notes with respect to the assets of our subsidiaries, in each case other than an incurrence of indebtedness or other obligation that would cause a violation of Section 18(a)(1)(A) as modified by Section 61(a)(1) of the 1940 Act or any successor provisions;</w:t>
      </w:r>
    </w:p>
    <w:p>
      <w:pPr>
        <w:spacing w:after="0" w:line="97"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 distributions on, or purchase or redeem or make any payments in respect of, capital stock or other securities ranking junior in right of payment to the 2025 Notes;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create restrictions on the payment of distributions or other amounts to us from our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the indenture does not require us to offer to purchase the 2025 Notes in connection with a change of control or any other event.</w:t>
      </w:r>
    </w:p>
    <w:p>
      <w:pPr>
        <w:spacing w:after="0" w:line="23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Furthermore, the terms of the indenture and the 2025 Notes do not protect holders of the 2025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4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2025 Notes may have important consequences for a holder of the 2025 Notes, including making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 more difficult for us to satisfy our obligations with respect to the 2025 Notes or negatively affecting the trading value of the 2025 Notes.</w:t>
      </w:r>
    </w:p>
    <w:p>
      <w:pPr>
        <w:spacing w:after="0" w:line="22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Certain of our current debt instruments include more protections for their holders than the indenture and the 2025 Notes. In addition, other debt we issue or incur in the future could contain more protections for its holders than the indenture and the 2025 Notes, including additional covenants and events of default. The issuance or incurrence of any such debt with incremental protections could affect the market for and trading levels and prices of the 2025 Notes.</w:t>
      </w:r>
    </w:p>
    <w:p>
      <w:pPr>
        <w:spacing w:after="0" w:line="255" w:lineRule="exact"/>
        <w:rPr>
          <w:sz w:val="20"/>
          <w:szCs w:val="20"/>
          <w:color w:val="auto"/>
        </w:rPr>
      </w:pPr>
    </w:p>
    <w:p>
      <w:pPr>
        <w:jc w:val="both"/>
        <w:ind w:right="60" w:firstLine="228"/>
        <w:spacing w:after="0" w:line="264" w:lineRule="auto"/>
        <w:rPr>
          <w:sz w:val="20"/>
          <w:szCs w:val="20"/>
          <w:color w:val="auto"/>
        </w:rPr>
      </w:pPr>
      <w:r>
        <w:rPr>
          <w:rFonts w:ascii="Arial" w:cs="Arial" w:eastAsia="Arial" w:hAnsi="Arial"/>
          <w:sz w:val="18"/>
          <w:szCs w:val="18"/>
          <w:b w:val="1"/>
          <w:bCs w:val="1"/>
          <w:i w:val="1"/>
          <w:iCs w:val="1"/>
          <w:color w:val="auto"/>
        </w:rPr>
        <w:t>An active trading market for the 2025 Notes may not develop, which could limit the market price of the 2025 Notes or the ability of holders of the 2025 Notes to sell them. If a rating agency assigns the 2025 Notes a non-investment grade rating, the 2025 Notes may be subject to greater price volatility than similar securities without such a rating.</w:t>
      </w:r>
    </w:p>
    <w:p>
      <w:pPr>
        <w:spacing w:after="0" w:line="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listed the 2025 Notes on the NYSE. However, we cannot provide any assurances that an active trading market will develop for the 2025 Notes or that holders of the 2025 Notes will be able to sell their 2025 Notes. The 2025 Notes may trade at a discount from their initial offering price depending on prevailing interest rates, the market for similar securities, our credit ratings, general economic conditions, our financial condition, performance and prospects and other factors. If a rating agency assigns the 2025 Notes a non-investment grade rating, the 2025 Notes may be subject to greater price volatility than securities of similar maturity without such a non-investment grade rating. The underwriters may discontinue any market-making in the 2025 Notes at any time at their sole discretion. Accordingly, we cannot assure holders of the 2025 Notes that a liquid trading market will develop for the 2025 Notes, that they will be able to sell their 2025 Notes at a particular time or that the price holders receive upon such sale will be favorable. To the extent an active trading market does not develop, the liquidity and trading price for the 2025 Notes may be harmed. Accordingly, holders of the 2025 Notes may be required to bear the financial risk of an investment in the 2025 Notes for an indefinite period of time.</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FATCA withholding may apply to payments to certain foreign entities.</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Payments made under the 2025 Notes to a foreign financial institution or non-financial foreign entity (including such an institution or entity acting as an intermediary) may be subject to a U.S. withholding tax of 30% under a law (commonly known as “FATCA”) that was enacted in 2010. This tax may apply to certain payments of interest as well as payments made upon maturity, redemption, or sale of the 2025 Notes, unless the foreign financial institution or non-financial foreign entity complies with certain information reporting, withholding, identification, certification and related requirements imposed by FATCA. Holders of the 2025 Notes should consult their own tax advisors regarding FATCA and how it may affect their investment in the 2025 Notes.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This prospectus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52"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a supplemental prospectus that we in the future may file with SEC including annual and quarterly reports on Form 10-K/Q and current reports on Form 8-K.</w:t>
      </w:r>
    </w:p>
    <w:p>
      <w:pPr>
        <w:spacing w:after="0" w:line="1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You should understand that, under Sections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form and capitalize a subsidiary or for other general corporate or strategic purposes. Any supplements to this prospectus relating to an offering may more fully identify the use of the proceeds from such offering.</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of September 30, 2013, we had $284.5 million of unused borrowing capacity, subject to maintenance of the applicable total assets to debt ratio, as set forth in the 1940 Act, and $145.5 million (including a temporary draw of $28.0 million) in borrowings outstanding under our $430.0 million Credit Facility. Borrowings under our Credit Facility bear interest at an annual rate equal to LIBOR plus 275 basis points per annum. At September 30, 2013, the weighted average interest rate on the Credit Facility was 3.33%. The Credit Facility is a revolving facility with a stated maturity date of February 21, 2016 and is secured by substantially all of the assets in our investment portfolio, excluding assets of our SBIC Funds. Amounts repaid under our Credit Facility remain available for future borrowings. See “Management’s Discussion and Analysis of Financial Condition and Results of Operations” for more information.</w:t>
      </w:r>
    </w:p>
    <w:p>
      <w:pPr>
        <w:spacing w:after="0" w:line="16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NAV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“Regulation—Temporary Investments” for more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years. The Consolidated Statement of Operations data, Per share data and Consolidated Statement of Assets and Liabilities data for the prior five fiscal years are derived from our Consolidated Financial Statements which have been audited by KPMG LLP, an independent registered public accounting firm for those periods. These selected financial data should be read in conjunction with our Consolidated Financial Statements and related notes thereto and “Management’s Discussion and Analysis of Financial Condition and Results of Operations.”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rPr>
              <w:t>For the years ended September 30,</w:t>
            </w: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82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900" w:type="dxa"/>
            <w:vAlign w:val="bottom"/>
            <w:gridSpan w:val="2"/>
          </w:tcPr>
          <w:p>
            <w:pPr>
              <w:jc w:val="right"/>
              <w:ind w:right="188"/>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7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7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(Dollar amounts in thousands, except per share data)</w:t>
            </w: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  129,187</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113,392</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$ 91,738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$ 60,140</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$ 45,119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expenses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62,189</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56,323</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39,093</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28,065</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22,400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66,998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57,069</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52,645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32,075</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realized and unrealized gain (loss)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24,780</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6,284</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(42,382)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(15,539)</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13,083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91,778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63,353</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10,263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16,535</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35,802</w:t>
            </w:r>
          </w:p>
        </w:tc>
        <w:tc>
          <w:tcPr>
            <w:tcW w:w="0" w:type="dxa"/>
            <w:vAlign w:val="bottom"/>
          </w:tcPr>
          <w:p>
            <w:pPr>
              <w:spacing w:after="0"/>
              <w:rPr>
                <w:sz w:val="1"/>
                <w:szCs w:val="1"/>
                <w:color w:val="auto"/>
              </w:rPr>
            </w:pPr>
          </w:p>
        </w:tc>
      </w:tr>
      <w:tr>
        <w:trPr>
          <w:trHeight w:val="324"/>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Per share data:</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year end)</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10.49</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10.22</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10.13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10.69</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5"/>
                <w:szCs w:val="15"/>
                <w:color w:val="auto"/>
              </w:rPr>
              <w:t>(1)</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1.08</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1.25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5"/>
                <w:szCs w:val="15"/>
                <w:color w:val="auto"/>
              </w:rPr>
              <w:t>(1)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(0.53)</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r>
              <w:rPr>
                <w:rFonts w:ascii="Arial" w:cs="Arial" w:eastAsia="Arial" w:hAnsi="Arial"/>
                <w:sz w:val="15"/>
                <w:szCs w:val="15"/>
                <w:color w:val="auto"/>
              </w:rPr>
              <w:t>(1)</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1.20</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0.24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0.56</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5"/>
                <w:szCs w:val="15"/>
                <w:color w:val="auto"/>
              </w:rPr>
              <w:t>(1),(2)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324"/>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 of Assets and Liabilities data:</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1,153,327</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1,018,968</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928,738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711,494</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512,381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1,078,176</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990,480</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827,549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664,724</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469,760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r>
              <w:rPr>
                <w:rFonts w:ascii="Arial" w:cs="Arial" w:eastAsia="Arial" w:hAnsi="Arial"/>
                <w:sz w:val="15"/>
                <w:szCs w:val="15"/>
                <w:color w:val="auto"/>
              </w:rPr>
              <w:t>(3)</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363,900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294,452</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388,792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233,641</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175,475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NAV</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697,506</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669,717</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462,657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386,575</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300,580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5"/>
                <w:szCs w:val="15"/>
                <w:color w:val="auto"/>
              </w:rPr>
              <w:t>(4)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17.37%</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28.71%</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(7.37)%</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44.79%</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(at year end)</w:t>
            </w:r>
            <w:r>
              <w:rPr>
                <w:rFonts w:ascii="Arial" w:cs="Arial" w:eastAsia="Arial" w:hAnsi="Arial"/>
                <w:sz w:val="15"/>
                <w:szCs w:val="15"/>
                <w:color w:val="auto"/>
              </w:rPr>
              <w:t>(5)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Yield on debt portfolio (at year end)</w:t>
            </w:r>
            <w:r>
              <w:rPr>
                <w:rFonts w:ascii="Arial" w:cs="Arial" w:eastAsia="Arial" w:hAnsi="Arial"/>
                <w:sz w:val="15"/>
                <w:szCs w:val="15"/>
                <w:color w:val="auto"/>
              </w:rPr>
              <w:t>(5)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13.2%</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13.3%</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years.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taxable income calculated in accordance with income tax regulations, which may differ from amounts determined under GAAP.</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distributions, if any, reinvested in accordance with our dividend reinvestment plan.</w:t>
      </w: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Unaudited.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9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31,447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33,725</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31,057</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32,958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17,099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17,655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14,063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18,181</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12,910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10,360</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22,479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13,786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26,972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28,541</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10.49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10.43</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10.50</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w:t>
            </w:r>
          </w:p>
        </w:tc>
      </w:tr>
      <w:tr>
        <w:trPr>
          <w:trHeight w:val="365"/>
        </w:trPr>
        <w:tc>
          <w:tcPr>
            <w:tcW w:w="7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9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30,806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29,385</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26,362</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26,839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16,742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15,571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9,759</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14,997</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(12,151)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16,638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17,690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3,420</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26,397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15,846</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10.22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10.16</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10.38</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8"/>
                <w:szCs w:val="18"/>
                <w:color w:val="auto"/>
              </w:rPr>
            </w:pPr>
          </w:p>
        </w:tc>
      </w:tr>
      <w:tr>
        <w:trPr>
          <w:trHeight w:val="365"/>
        </w:trPr>
        <w:tc>
          <w:tcPr>
            <w:tcW w:w="7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9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26,139</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22,908</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22,712</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19,979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15,095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13,220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13,159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11,171</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(46,260)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(10,901)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14,351</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(31,165)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2,319</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13,587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25,522</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0.71</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10.13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11.08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11.30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11.14</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8"/>
                <w:szCs w:val="18"/>
                <w:color w:val="auto"/>
              </w:rPr>
            </w:pPr>
          </w:p>
        </w:tc>
      </w:tr>
      <w:tr>
        <w:trPr>
          <w:trHeight w:val="365"/>
        </w:trPr>
        <w:tc>
          <w:tcPr>
            <w:tcW w:w="7520" w:type="dxa"/>
            <w:vAlign w:val="bottom"/>
          </w:tcPr>
          <w:p>
            <w:pPr>
              <w:ind w:left="56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14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7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SBICs, under Section 301(c) of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8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manages our day-to-day activities.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terms of three to ten years and bear interest at a fixed or a floating rate. Interest on debt securities is generally payable quarterly or semiannually. In some cases, some of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We record prepayment penalties on loans and debt securities as income. Dividend income, if any, is recognized on an accrual basis on the ex-dividend date to the extent that we expect to collect such amounts.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Our primary operating expenses include the payment of Management Fees (as defined below)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various debt facilities. We bear all other direct or indirect costs and expenses of our operations and transactions, including:</w:t>
      </w:r>
    </w:p>
    <w:p>
      <w:pPr>
        <w:spacing w:after="0" w:line="94"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calculating our NAV, including the cost of any third-party valuation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federal and state registration fees and any exchange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1958 Act and applicable federal and state securities laws;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8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SEC requires that estimated “Total Annual Expenses” be calculated as a percentage of net assets in the chart on page 6 of this prospectus rather than as a percentage of total assets. Total assets include assets that have been funded with borrowed money (leverage). For reference, the chart below illustrates our estimated “Total Annual Expenses” as a percentage of total assets: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80" w:type="dxa"/>
            <w:vAlign w:val="bottom"/>
          </w:tcPr>
          <w:p>
            <w:pPr>
              <w:ind w:left="1100"/>
              <w:spacing w:after="0"/>
              <w:rPr>
                <w:sz w:val="20"/>
                <w:szCs w:val="20"/>
                <w:color w:val="auto"/>
              </w:rPr>
            </w:pPr>
            <w:r>
              <w:rPr>
                <w:rFonts w:ascii="Arial" w:cs="Arial" w:eastAsia="Arial" w:hAnsi="Arial"/>
                <w:sz w:val="18"/>
                <w:szCs w:val="18"/>
                <w:b w:val="1"/>
                <w:bCs w:val="1"/>
                <w:color w:val="auto"/>
                <w:w w:val="93"/>
              </w:rPr>
              <w:t>Estimated Annual Expenses (as a Percentage of Average Total Assets)</w:t>
            </w:r>
            <w:r>
              <w:rPr>
                <w:rFonts w:ascii="Arial" w:cs="Arial" w:eastAsia="Arial" w:hAnsi="Arial"/>
                <w:sz w:val="15"/>
                <w:szCs w:val="15"/>
                <w:b w:val="1"/>
                <w:bCs w:val="1"/>
                <w:color w:val="auto"/>
                <w:w w:val="93"/>
              </w:rPr>
              <w:t>(1)</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2.00%</w:t>
            </w:r>
            <w:r>
              <w:rPr>
                <w:rFonts w:ascii="Arial" w:cs="Arial" w:eastAsia="Arial" w:hAnsi="Arial"/>
                <w:sz w:val="15"/>
                <w:szCs w:val="15"/>
                <w:color w:val="auto"/>
                <w:w w:val="97"/>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Incentive fees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1.60%</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1.53%</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Other expenses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0.21%</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annual expenses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5.34%</w:t>
            </w:r>
            <w:r>
              <w:rPr>
                <w:rFonts w:ascii="Arial" w:cs="Arial" w:eastAsia="Arial" w:hAnsi="Arial"/>
                <w:sz w:val="15"/>
                <w:szCs w:val="15"/>
                <w:color w:val="auto"/>
                <w:w w:val="97"/>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Average total assets equals average adjusted gross assets for the three months ended September 30, 2013.</w:t>
      </w:r>
    </w:p>
    <w:p>
      <w:pPr>
        <w:spacing w:after="0" w:line="23" w:lineRule="exact"/>
        <w:rPr>
          <w:rFonts w:ascii="Arial" w:cs="Arial" w:eastAsia="Arial" w:hAnsi="Arial"/>
          <w:sz w:val="18"/>
          <w:szCs w:val="18"/>
          <w:color w:val="auto"/>
        </w:rPr>
      </w:pPr>
    </w:p>
    <w:p>
      <w:pPr>
        <w:ind w:left="460" w:right="78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assets. See “Certain Relationships and Transactions—Investment Management Agreement” for more information.</w:t>
      </w:r>
    </w:p>
    <w:p>
      <w:pPr>
        <w:ind w:left="460" w:right="20" w:hanging="452"/>
        <w:spacing w:after="0" w:line="281"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three months ended September 30, 2013,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September 30, 2013, our unrealized capital gains did not exceed our cumulative realized and unrealized capital losses. As we cannot predict our future net investment income or capital gains, the incentive fee paid in future years, if any, may be substantially different than the fee earned during the three months ended September 30, 2013. For more detailed information about the incentive fee, please see “Certain Relationships and Transactions—Investment Management Agreement” for more information.</w:t>
      </w:r>
    </w:p>
    <w:p>
      <w:pPr>
        <w:spacing w:after="0" w:line="6" w:lineRule="exact"/>
        <w:rPr>
          <w:rFonts w:ascii="Arial" w:cs="Arial" w:eastAsia="Arial" w:hAnsi="Arial"/>
          <w:sz w:val="16"/>
          <w:szCs w:val="16"/>
          <w:color w:val="auto"/>
        </w:rPr>
      </w:pPr>
    </w:p>
    <w:p>
      <w:pPr>
        <w:ind w:left="460" w:hanging="452"/>
        <w:spacing w:after="0" w:line="269"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As of September 30, 2013, we had $284.5 million of unused borrowing capacity, subject to maintenance of the applicable total assets to debt ratio, which is defined in the 1940 Act, and $145.5 million in borrowings outstanding under our $430 million Credit Facility and had $71.3 million in aggregate principal of 2025 Notes at an annual interest rate of 6.25%. As of September 30, 2013, SBIC LP had $150.0 million outstanding with a weighted average interest rate of 3.70%, exclusive of the 3.43% of upfront fees (4.04% inclusive of the 3.43% upfront fee).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200"/>
        <w:spacing w:after="0" w:line="256" w:lineRule="auto"/>
        <w:rPr>
          <w:sz w:val="20"/>
          <w:szCs w:val="20"/>
          <w:color w:val="auto"/>
        </w:rPr>
      </w:pPr>
      <w:r>
        <w:rPr>
          <w:rFonts w:ascii="Arial" w:cs="Arial" w:eastAsia="Arial" w:hAnsi="Arial"/>
          <w:sz w:val="18"/>
          <w:szCs w:val="18"/>
          <w:color w:val="auto"/>
        </w:rPr>
        <w:t>on prevailing interest rates and our rate of borrowing, which may be substantially higher than the estimate provided in this table. See “Risk Factors— Risks Relating to our Business and Structure—We currently use borrowed funds to make investments and are exposed to the typical risks associated with leverage” for more information.</w:t>
      </w:r>
    </w:p>
    <w:p>
      <w:pPr>
        <w:ind w:left="460" w:right="12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September 30, 2013, annualized for a full year.</w:t>
      </w:r>
    </w:p>
    <w:p>
      <w:pPr>
        <w:spacing w:after="0" w:line="1"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table above is intended to assist you in understanding the various costs and expenses that an investor in shares of our common stock will bear as a percentage of our average gross assets as of September 30, 2013.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As of September 30, 2013, our portfolio totaled $1,078.2 million and consisted of $299.5 million of senior secured loans, $357.5 million of second lien secured debt, $302.5 million of subordinated debt and $118.7 million of preferred and common equity investments. Our debt portfolio consisted of 52% fixed-rate and 48% variable-rate investments (including 44% with a LIBOR or prime floor). Our overall portfolio consisted of 61 companies with an average investment size of $17.7 million, had a weighted average yield on debt investments of 13.0% and was invested 28% in senior secured loans, 33% in second lien secured debt, 28% in subordinated debt and 11% in preferred and common equity investments.</w:t>
      </w:r>
    </w:p>
    <w:p>
      <w:pPr>
        <w:spacing w:after="0" w:line="173"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As of September 30, 2012, our portfolio totaled $990.5 million and consisted of $291.7 million of senior secured loans, $191.3 million of second lien secured debt, $400.7 million of subordinated debt and $106.8 million of preferred and common equity investments. Our debt portfolio consisted of 69% fixed-rate and 31% variable-rate investments (including 26% with a LIBOR or prime floor). As of September 30, 2012, we had one non-accrual debt investment, representing 3.2% and 1.1% of our overall portfolio on a cost and fair value basis, respectively. Our overall portfolio consisted of 54 companies with an average investment size of $18.3 million, had a weighted average yield on debt investments of 13.2% and was invested 30% in senior secured loans, 19% in second lien secured debt, 40% in subordinated debt and 11% in preferred and common equity investments.</w:t>
      </w:r>
    </w:p>
    <w:p>
      <w:pPr>
        <w:spacing w:after="0" w:line="178"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For the fiscal year ended September 30, 2013, we purchased $504.4 million of investments in 14 new and 26 existing portfolio companies with a weighted average yield of 12.7% on debt investments. This compares to purchasing $328.3 million in 13 new and 17 existing portfolio companies with an overall weighted average yield of 13.3% on debt investments, and purchasing $479.7 million in 17 new and 11 existing portfolio companies with an overall weighted average yield of 13.7% on debt investments for the fiscal years ended September 30, 2012 and 2011, respectively.</w:t>
      </w:r>
    </w:p>
    <w:p>
      <w:pPr>
        <w:spacing w:after="0" w:line="17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For the fiscal year ended September 30, 2013, sales and repayments generated proceeds of $437.1 million. For the fiscal years ended September 30, 2012 and 2011, sales and repayments generated proceeds of $201.7 million and $304.0 million,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discussion of our financial condition and results of operations are based upon our Consolidated Financial Statements, which have been prepared in accordance with U.S. generally accepted accounting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principles, or GAAP. The preparation of these Consolidated Financial Statements requires management to make estimates and assumptions that affect the reported amounts of assets, liabilities, revenues and expenses during the reporting period. Actual results could differ from these estimates. We may reclassify certain prior period amounts to conform to the current period presentation. We have eliminated all intercompany balances and transactions. References to ASC serve as a single source of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7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below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 could be material.</w:t>
      </w:r>
    </w:p>
    <w:p>
      <w:pPr>
        <w:spacing w:after="0" w:line="19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900" w:right="20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92" w:lineRule="exact"/>
        <w:rPr>
          <w:rFonts w:ascii="Arial" w:cs="Arial" w:eastAsia="Arial" w:hAnsi="Arial"/>
          <w:sz w:val="18"/>
          <w:szCs w:val="18"/>
          <w:color w:val="auto"/>
        </w:rPr>
      </w:pPr>
    </w:p>
    <w:p>
      <w:pPr>
        <w:ind w:left="900" w:right="66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the Investment Adviser and those of the independent valuation firms on a quarterly basis, periodically assesses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valuation methodologies of the independent valuation firms, and responds to and supplements the valuation recommendations of the independent valuation firms to reflect any comments; and</w:t>
      </w:r>
    </w:p>
    <w:p>
      <w:pPr>
        <w:spacing w:after="0" w:line="76" w:lineRule="exact"/>
        <w:rPr>
          <w:sz w:val="20"/>
          <w:szCs w:val="20"/>
          <w:color w:val="auto"/>
        </w:rPr>
      </w:pPr>
    </w:p>
    <w:p>
      <w:pPr>
        <w:ind w:left="900" w:right="10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7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420" w:right="760" w:hanging="944"/>
        <w:spacing w:after="0" w:line="277" w:lineRule="auto"/>
        <w:tabs>
          <w:tab w:leader="none" w:pos="14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420" w:right="560" w:hanging="944"/>
        <w:spacing w:after="0" w:line="264" w:lineRule="auto"/>
        <w:tabs>
          <w:tab w:leader="none" w:pos="14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420" w:right="600" w:hanging="944"/>
        <w:spacing w:after="0" w:line="277" w:lineRule="auto"/>
        <w:tabs>
          <w:tab w:leader="none" w:pos="14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 addition to using the above inputs in cash equivalents, investments, the 2025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adopted ASC 825-10, which provides companies with an option to report selected financial assets and liabilities at fair value, and made an irrevocable election to apply ASC 825-10 to our Credit Facility and our 2025 Notes. We elected to use the fair value option for the Credit Facility and the 2025 Notes to align the measurement attributes of both our assets and liabilities while mitigating volatility in earnings from using different measurement attributes. Due to that election and in accordance with GAAP, we incurred $2.8 million, $5.4 million and zero debt issuance costs during the fiscal years ended September 30, 2013, 2012 and 2011,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2025 Notes are reported in our Consolidated Statement of Operations. We elected not to apply ASC 825-10 to any other financial assets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liabilities, including the SBA debentures. For the fiscal years ended September 30, 2013 and 2012, our Credit Facility and 2025 Notes had a net change in unrealized depreciation (appreciation) of $2.3 million and $(1.6) million, respectively. As of September 30, 2013 and 2012, net unrealized depreciation on our Credit Facility and 2025 Notes totaled $2.8 million and $0.5 million, respectively. We use a nationally recognized independent valuation service to fair value our Credit Facility in a manner consistent with the valuation process that the board of directors approves to value investments. Our 2025 Notes trade on the NYSE and we use the closing price on the exchange to determine their fair value.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market discount or premium and deferred financing costs are capitalized and we then accrete or amortize such amounts as interest income or expense, as applicable, using the effective interest method. We record contractual prepayment penalties on loans and debt investments as income. Dividend income, if any, is recognized on an accrual basis on the ex-dividend date to the extent that we expect to collect such amounts.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117"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117" w:lineRule="exact"/>
        <w:rPr>
          <w:sz w:val="20"/>
          <w:szCs w:val="20"/>
          <w:color w:val="auto"/>
        </w:rPr>
      </w:pPr>
    </w:p>
    <w:p>
      <w:pPr>
        <w:ind w:right="100" w:firstLine="571"/>
        <w:spacing w:after="0" w:line="264"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have not collected any cash with respect to PIK securities.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11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w:t>
      </w:r>
    </w:p>
    <w:p>
      <w:pPr>
        <w:spacing w:after="0" w:line="2" w:lineRule="exact"/>
        <w:rPr>
          <w:sz w:val="20"/>
          <w:szCs w:val="20"/>
          <w:color w:val="auto"/>
        </w:rPr>
      </w:pPr>
    </w:p>
    <w:p>
      <w:pPr>
        <w:ind w:firstLine="8"/>
        <w:spacing w:after="0" w:line="254"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98% of our net ordinary income for the calendar year, (2) 98.2% of the sum of our net capital gains income (i.e. the excess, if any, of our capital gains over capital losses) for the one-year period ending on October 31 of the calendar year and (3) the sum of any net ordinary income plus net capital gain income for preceding years that were not distributed during such years. In addition, although we may distribute realized net capital gains (i.e., net long-term capital gains in excess of short-term capital losses), if any, at least annually, out of the assets legally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available for such distributions in the manner described above, we have retained and may continue to retain such net capital gains or net ordinary income to provide us with additional liquidity.</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our results of operations for the fiscal years ended September 30, 2013, 2012 and 2011.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Investment income for the fiscal year ended September 30, 2013 was $129.2 million and was attributable to $38.9 million from senior secured loan investments, $31.9 million from second lien secured debt investments, $55.1 million from subordinated debt investments and $3.3 million from preferred and common equity. The increase in investment income over the prior year was due to the growth of our portfolio which was driven by reinvesting proceeds from the rotation in our portfolio and the investment of the proceeds from our equity and debt offerings.</w:t>
      </w:r>
    </w:p>
    <w:p>
      <w:pPr>
        <w:spacing w:after="0" w:line="17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Investment income for the fiscal year ended September 30, 2012 was $113.4 million and was primarily attributable to $42.8 million from senior secured loan investments, $21.2 million from second lien secured debt investments, and $49.4 million from subordinated debt investments. The increase in investment income over the prior year was due to the growth of our portfolio which was also driven by the investment of the proceeds from our equity offerings.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Investment income for the fiscal year ended September 30, 2011 was $91.7 million and was primarily attributable to $37.1 million from senior secured loan investments, $15.2 million from second lien secured debt investments, and $38.8 million from subordinated debt investments. The increase in investment income over the prior year was due to the growth of our portfolio which was also driven by investment of the proceeds from our equity offering and rotation out of lower yielding assets.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Expenses for the fiscal year ended September 30, 2013 totaled $62.2 million. Base management fees for the same period totaled $21.3 million, incentive fees totaled $16.8 million, debt related interest and expenses totaled $18.1 million (including $2.8 million associated with the 2025 Notes and expanding our Credit Facility) and general and administrative expenses totaled $6.0 million. The increase in expenses over the prior year was primarily due to increased borrowing costs and the growth of our portfolio.</w:t>
      </w:r>
    </w:p>
    <w:p>
      <w:pPr>
        <w:spacing w:after="0" w:line="18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Expenses for the fiscal year ended September 30, 2012 totaled $56.3 million. Base management fees for the same period totaled $17.5 million, incentive fees totaled $14.2 million, Credit Facility and SBA debentures related expenses totaled $17.1 million (including $5.4 million of upfront fees associated with amending and extending our Credit Facility), general and administrative expenses totaled $7.2 million and an excise tax of $0.3 million was incurred. The increase in expenses over the prior year was primarily due to the upfront costs of amending our Credit Facility, increased borrowing costs and the growth of our portfolio.</w:t>
      </w:r>
    </w:p>
    <w:p>
      <w:pPr>
        <w:spacing w:after="0" w:line="188"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Expenses for the fiscal year ended September 30, 2011 totaled $39.1 million. Base management fees for the same period totaled $14.9 million, incentive fees totaled $13.2 million, Credit Facility and SBA debentures related expenses totaled $5.3 million, general and administrative expenses totaled $5.5 million and an excise tax</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of $0.2 million was incurred. The increase in expenses over the prior year was the result of the growth of our portfolio as well as increased borrowing costs.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Net investment income totaled $67.0 million or $1.01 per share, $57.1 million or $1.08 per share and $52.6 million or $1.25 per share for the fiscal years ended September 30, 2013, 2012 and 2011, respectively. The increase in net investment income was the result of the growth of our portfolio, while the per share net investment income decrease was the result of share issuances.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Sales and repayments of investments for the fiscal years ended September 30, 2013, 2012 and 2011 totaled $437.1 million, $201.7 million and $304.0 million, respectively, and net realized gains (losses) totaled $17.7 million, $(12.8) million and $16.3 million, respectively. Net realized gains increased over the prior year primarily due to sales, restructurings and repayments of our investments.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 or Depreciation on Investments, Credit Facility and 2025 Notes</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Net change in unrealized (depreciation) appreciation on investments totaled $4.8 million, $20.6 million and $(46.8) million for the fiscal years ended September 30, 2013, 2012 and 2011, respectively. Net change in unrealized (appreciation) depreciation on our Credit Facility and 2025 Notes totaled $2.3 million, $(1.6) million and $(11.9) million for the same periods, respectively. The decrease in net unrealized change in appreciation on investments from the fiscal year ended September 30, 2011 to the fiscal year ended September 30, 2013 was due to the overall variations in the leveraged finance markets. The increase in net unrealized change in depreciation (appreciation) on our Credit Facility and 2025 Notes was the result of the fluctuating interest rate environment.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increase in net assets resulting from operations totaled $91.8 million or $1.39 per share, $63.4 million or $1.20 per share, and $10.3 million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$0.24 per share for the fiscal years ended September 30, 2013, 2012 and 2011, respectively. The net increase in net assets from operations was higher than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prior years primarily due to realized gains and continued growth in net investment income.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17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have a $430 million multi-currency Credit Facility with certain lenders and SunTrust Bank, acting as administrative agent, and JPMorgan Chase Bank, N.A., acting as syndication agent for the lenders. As of September 30, 2013 and 2012, there was $145.5 million (including a temporary draw of $28.0 million) and $145.0 million (including a temporary draw of $35.5 million), respectively, in outstanding borrowings under the Credit Facility, with a weighted average interest rate at the time of 3.33% and 3.49%, exclusive of the fee on undrawn commitments of 0.50%. The Credit Facility is a four-year revolving facility with a stated maturity date of February 2016, and a one-year term-out period following its third year. Borrowings under the Credit Facility bear interest at 275 basis points over LIBOR. As of September 30, 2013 and 2012, we had $284.5 million and $235.0 million of unused borrowing capacity, respectively, subject to the regulatory restrictions that the 1940 Act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imposes on us as a BDC. The Credit Facility is secured by substantially all of our assets excluding assets held by our SBIC Funds.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Credit Facility contains customary affirmative and restrictive covenants, including maintenance of a minimum stockholders’ equity of the sum of</w:t>
      </w:r>
    </w:p>
    <w:p>
      <w:pPr>
        <w:spacing w:after="0" w:line="46" w:lineRule="exact"/>
        <w:rPr>
          <w:sz w:val="20"/>
          <w:szCs w:val="20"/>
          <w:color w:val="auto"/>
        </w:rPr>
      </w:pPr>
    </w:p>
    <w:p>
      <w:pPr>
        <w:ind w:right="100" w:firstLine="8"/>
        <w:spacing w:after="0" w:line="269" w:lineRule="auto"/>
        <w:tabs>
          <w:tab w:leader="none" w:pos="245" w:val="left"/>
        </w:tabs>
        <w:numPr>
          <w:ilvl w:val="0"/>
          <w:numId w:val="49"/>
        </w:numPr>
        <w:rPr>
          <w:rFonts w:ascii="Arial" w:cs="Arial" w:eastAsia="Arial" w:hAnsi="Arial"/>
          <w:sz w:val="17"/>
          <w:szCs w:val="17"/>
          <w:color w:val="auto"/>
        </w:rPr>
      </w:pPr>
      <w:r>
        <w:rPr>
          <w:rFonts w:ascii="Arial" w:cs="Arial" w:eastAsia="Arial" w:hAnsi="Arial"/>
          <w:sz w:val="17"/>
          <w:szCs w:val="17"/>
          <w:color w:val="auto"/>
        </w:rPr>
        <w:t>$220.0 million plus (b) 25% of the net proceeds from the sale of equity interests in us and our subsidiaries after the closing date of the Credit Facility and maintenance of a ratio of total assets (less total liabilities other than indebtedness) to total indebtedness of not less than 2.0:1.0 (before any exemptive relief granted by the SEC with respect to the indebtedness of our SBIC subsidiaries). In addition to the asset coverage ratio described in the preceding sentence, borrowings under our Credit Facility (and the incurrence of certain other permitted debt) are subject to compliance with a borrowing base that applies different advance rates to different types of assets in the Company’s portfolio. For a complete list of covenants contained in the Credit Facility, see our Form 8-K filed on February 22, 2012 and the Credit Facility agreement filed as an exhibit to our Form 10-Q filed on May 2, 2012. As of September 30, 2013, we were in compliance with the terms of our Credit Facility.</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January 2013, we issued $71.3 million in aggregate principal amount of 2025 Notes, after exercise of the over-allotment option, for net proceeds of $68.8 million after underwriting discounts and offering costs. Interest on the 2025 Notes is paid quarterly on 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w:t>
      </w:r>
    </w:p>
    <w:p>
      <w:pPr>
        <w:spacing w:after="0" w:line="193" w:lineRule="exact"/>
        <w:rPr>
          <w:sz w:val="20"/>
          <w:szCs w:val="20"/>
          <w:color w:val="auto"/>
        </w:rPr>
      </w:pPr>
    </w:p>
    <w:p>
      <w:pPr>
        <w:jc w:val="both"/>
        <w:ind w:right="160" w:firstLine="456"/>
        <w:spacing w:after="0" w:line="297" w:lineRule="auto"/>
        <w:rPr>
          <w:sz w:val="20"/>
          <w:szCs w:val="20"/>
          <w:color w:val="auto"/>
        </w:rPr>
      </w:pPr>
      <w:r>
        <w:rPr>
          <w:rFonts w:ascii="Arial" w:cs="Arial" w:eastAsia="Arial" w:hAnsi="Arial"/>
          <w:sz w:val="16"/>
          <w:szCs w:val="16"/>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or 2025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fiscal year ended September 30, 2013 we sold 0.7 million shares of common stock pursuant to the underwriters’ exercise of the overallotment option, resulting in net proceeds of $7.3 million. This compares to selling 19.4 million shares of our common stock resulting in net proceeds of $198.9 million for the fiscal year ended September 30, 2012. Any decision to sell shares below the then current NAV per share of our common stock is subject to stockholder approval and a determination by our board of directors that such issuance and sale is in our and our stockholders’ best interests. Any sale or other issuance of shares of our common stock at a price below NAV per share results in immediate dilution to our stockholders’ interests in our common stock and a reduction in our NAV per share.</w:t>
      </w:r>
    </w:p>
    <w:p>
      <w:pPr>
        <w:spacing w:after="0" w:line="193"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In accordance with the 1940 Act, with certain limited exceptions, PennantPark Investment is only allowed to borrow amounts such that our asset coverage ratio is met after such borrowing. As of September 30, 2013, we excluded the principal amounts of our SBA debentures from our asset coverage ratio pursuant to SEC exemptive relief. In June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158"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SBIC LP is able to borrow funds from the SBA against regulatory capital (which approximates equity capital) that is paid-in and is subject to customary regulatory requirements including but not limited to an examination by the SBA. We have funded SBIC LP with $75.0 million of equity capital and had SBA debentures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outstanding of $150.0 million as of September 30, 2013. Effective January 2013, our wholly-owned subsidiary, SBIC II, received a license from the SBA to operate as an SBIC under the 1958 Act. Our SBIC Funds are subject to a variety of regulations and oversight by the SBA concerning, among other things, the size and nature of the companies in which it may invest as well as the structure of those investments. SBA debentures are non-recourse to us, have a 10-year maturity, and may be prepaid at any time without penalty. The interest rate of SBA debentures is fixed at the time of issuance, often referred to as pooling, at a market-driven spread over 10-year U.S. Treasury Notes. SBA regulations limit the amount that SBIC LP may borrow to a maximum of $150.0 million, which is up to twice its potential regulatory capital, and may borrow to a maximum of $225 million as part of a group of SBICs under common control. SBIC LP has accessed the maximum borrowing with its $75.0 million in regulatory capital.</w:t>
      </w:r>
    </w:p>
    <w:p>
      <w:pPr>
        <w:spacing w:after="0" w:line="17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of September 30, 2013 and 2012, our $150.0 million in debt commitments were fully drawn with a weighted average interest rate of 3.70% exclusive of the 3.43% in upfront fees (4.04% after upfront fees). The SBA debentures upfront fees of 3.43% consist of a commitment fee of 1.00% and an issuance at a 2.43% discount to face. Both fees will be amortized over the lives of the loans. Our fixed rate SBA debentures as of September 30, 2013 and 2012 are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8"/>
              </w:rPr>
              <w:t>Issuance Dates</w:t>
            </w:r>
          </w:p>
        </w:tc>
        <w:tc>
          <w:tcPr>
            <w:tcW w:w="3580" w:type="dxa"/>
            <w:vAlign w:val="bottom"/>
            <w:vMerge w:val="restart"/>
          </w:tcPr>
          <w:p>
            <w:pPr>
              <w:spacing w:after="0"/>
              <w:rPr>
                <w:sz w:val="14"/>
                <w:szCs w:val="14"/>
                <w:color w:val="auto"/>
              </w:rPr>
            </w:pPr>
          </w:p>
        </w:tc>
        <w:tc>
          <w:tcPr>
            <w:tcW w:w="14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Maturity</w:t>
            </w:r>
          </w:p>
        </w:tc>
        <w:tc>
          <w:tcPr>
            <w:tcW w:w="800" w:type="dxa"/>
            <w:vAlign w:val="bottom"/>
            <w:vMerge w:val="restart"/>
          </w:tcPr>
          <w:p>
            <w:pPr>
              <w:spacing w:after="0"/>
              <w:rPr>
                <w:sz w:val="14"/>
                <w:szCs w:val="14"/>
                <w:color w:val="auto"/>
              </w:rPr>
            </w:pPr>
          </w:p>
        </w:tc>
        <w:tc>
          <w:tcPr>
            <w:tcW w:w="1460" w:type="dxa"/>
            <w:vAlign w:val="bottom"/>
            <w:gridSpan w:val="2"/>
          </w:tcPr>
          <w:p>
            <w:pPr>
              <w:ind w:left="300"/>
              <w:spacing w:after="0"/>
              <w:rPr>
                <w:sz w:val="20"/>
                <w:szCs w:val="20"/>
                <w:color w:val="auto"/>
              </w:rPr>
            </w:pPr>
            <w:r>
              <w:rPr>
                <w:rFonts w:ascii="Arial" w:cs="Arial" w:eastAsia="Arial" w:hAnsi="Arial"/>
                <w:sz w:val="14"/>
                <w:szCs w:val="14"/>
                <w:b w:val="1"/>
                <w:bCs w:val="1"/>
                <w:color w:val="auto"/>
              </w:rPr>
              <w:t>All-in</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vMerge w:val="continue"/>
          </w:tcPr>
          <w:p>
            <w:pPr>
              <w:spacing w:after="0"/>
              <w:rPr>
                <w:sz w:val="14"/>
                <w:szCs w:val="14"/>
                <w:color w:val="auto"/>
              </w:rPr>
            </w:pPr>
          </w:p>
        </w:tc>
        <w:tc>
          <w:tcPr>
            <w:tcW w:w="3580" w:type="dxa"/>
            <w:vAlign w:val="bottom"/>
            <w:tcBorders>
              <w:bottom w:val="single" w:sz="8" w:color="CCEEFF"/>
            </w:tcBorders>
            <w:vMerge w:val="continue"/>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xml:space="preserve">Coupon Rate </w:t>
            </w:r>
            <w:r>
              <w:rPr>
                <w:rFonts w:ascii="Arial" w:cs="Arial" w:eastAsia="Arial" w:hAnsi="Arial"/>
                <w:sz w:val="12"/>
                <w:szCs w:val="12"/>
                <w:b w:val="1"/>
                <w:bCs w:val="1"/>
                <w:color w:val="auto"/>
                <w:w w:val="90"/>
              </w:rPr>
              <w:t>(1)</w:t>
            </w:r>
          </w:p>
        </w:tc>
        <w:tc>
          <w:tcPr>
            <w:tcW w:w="4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1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September 1, 2020</w:t>
            </w:r>
          </w:p>
        </w:tc>
        <w:tc>
          <w:tcPr>
            <w:tcW w:w="8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2200" w:type="dxa"/>
            <w:vAlign w:val="bottom"/>
            <w:gridSpan w:val="2"/>
          </w:tcPr>
          <w:p>
            <w:pPr>
              <w:ind w:left="40"/>
              <w:spacing w:after="0"/>
              <w:rPr>
                <w:sz w:val="20"/>
                <w:szCs w:val="20"/>
                <w:color w:val="auto"/>
              </w:rPr>
            </w:pPr>
            <w:r>
              <w:rPr>
                <w:rFonts w:ascii="Arial" w:cs="Arial" w:eastAsia="Arial" w:hAnsi="Arial"/>
                <w:sz w:val="18"/>
                <w:szCs w:val="18"/>
                <w:color w:val="auto"/>
              </w:rPr>
              <w:t>March 1, 2021</w:t>
            </w:r>
          </w:p>
        </w:tc>
        <w:tc>
          <w:tcPr>
            <w:tcW w:w="1460" w:type="dxa"/>
            <w:vAlign w:val="bottom"/>
            <w:gridSpan w:val="2"/>
          </w:tcPr>
          <w:p>
            <w:pPr>
              <w:ind w:left="660"/>
              <w:spacing w:after="0"/>
              <w:rPr>
                <w:sz w:val="20"/>
                <w:szCs w:val="20"/>
                <w:color w:val="auto"/>
              </w:rPr>
            </w:pPr>
            <w:r>
              <w:rPr>
                <w:rFonts w:ascii="Arial" w:cs="Arial" w:eastAsia="Arial" w:hAnsi="Arial"/>
                <w:sz w:val="18"/>
                <w:szCs w:val="18"/>
                <w:color w:val="auto"/>
              </w:rPr>
              <w:t>4.46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44,500,000</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September 1, 2021</w:t>
            </w:r>
          </w:p>
        </w:tc>
        <w:tc>
          <w:tcPr>
            <w:tcW w:w="9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5"/>
              </w:rPr>
              <w:t>3.38</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Weighted average rate / Total</w:t>
            </w:r>
          </w:p>
        </w:tc>
        <w:tc>
          <w:tcPr>
            <w:tcW w:w="1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60" w:type="dxa"/>
            <w:vAlign w:val="bottom"/>
            <w:gridSpan w:val="2"/>
          </w:tcPr>
          <w:p>
            <w:pPr>
              <w:ind w:left="660"/>
              <w:spacing w:after="0"/>
              <w:rPr>
                <w:sz w:val="20"/>
                <w:szCs w:val="20"/>
                <w:color w:val="auto"/>
              </w:rPr>
            </w:pPr>
            <w:r>
              <w:rPr>
                <w:rFonts w:ascii="Arial" w:cs="Arial" w:eastAsia="Arial" w:hAnsi="Arial"/>
                <w:sz w:val="18"/>
                <w:szCs w:val="18"/>
                <w:color w:val="auto"/>
              </w:rPr>
              <w:t>3.70%</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Excludes 3.43% of upfront fees.</w:t>
      </w:r>
    </w:p>
    <w:p>
      <w:pPr>
        <w:spacing w:after="0" w:line="225"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September 30, 2013, our SBIC Funds were in compliance with their regulatory requirements.</w:t>
      </w:r>
    </w:p>
    <w:p>
      <w:pPr>
        <w:spacing w:after="0" w:line="17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On September 30, 2013 and September 30, 2012, we had cash equivalents of $58.4 million and $7.6 million, respectively, available for investing and general corporate purposes. This was primarily the result of repayments in SBIC LP. We believe our liquidity and capital resources are sufficient to take advantage of market opportunities.</w:t>
      </w:r>
    </w:p>
    <w:p>
      <w:pPr>
        <w:spacing w:after="0" w:line="181" w:lineRule="exact"/>
        <w:rPr>
          <w:sz w:val="20"/>
          <w:szCs w:val="20"/>
          <w:color w:val="auto"/>
        </w:rPr>
      </w:pPr>
    </w:p>
    <w:p>
      <w:pPr>
        <w:ind w:right="620" w:firstLine="456"/>
        <w:spacing w:after="0" w:line="264" w:lineRule="auto"/>
        <w:rPr>
          <w:sz w:val="20"/>
          <w:szCs w:val="20"/>
          <w:color w:val="auto"/>
        </w:rPr>
      </w:pPr>
      <w:r>
        <w:rPr>
          <w:rFonts w:ascii="Arial" w:cs="Arial" w:eastAsia="Arial" w:hAnsi="Arial"/>
          <w:sz w:val="18"/>
          <w:szCs w:val="18"/>
          <w:color w:val="auto"/>
        </w:rPr>
        <w:t>Our operating activities provided cash of $40.3 million for the fiscal year ended September 30, 2013, and our financing activities provided cash proceeds of $10.6 million for the same period. Our operating activities used cash primarily for investing that was offset by proceeds from sales and repayments on our investments and issuance of the 2025 Notes.</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operating activities used cash of $115.3 million for the fiscal year ended September 30, 2012, and our financing activities provided cash proceeds of $51.3 million for the same period. Our operating activities used cash primarily for investing that was provided primarily from proceeds from our follow-on public offerings of common stock.</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Our operating activities used cash of $137.8 million for the fiscal year ended September 30, 2011, and our financing activities provided cash proceeds of $207.6 million for the same period. Our operating activities used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cash primarily for investing that was provided primarily from proceeds from our follow-on public offering of common stock and draws under our Credit Facility and SBA debentures.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 summary of our significant contractual payment obligations as of September 30, 2013, including borrowings under our multi-currency Credit Facility and other contractual obligations,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95"/>
              <w:spacing w:after="0"/>
              <w:rPr>
                <w:sz w:val="20"/>
                <w:szCs w:val="20"/>
                <w:color w:val="auto"/>
              </w:rPr>
            </w:pPr>
            <w:r>
              <w:rPr>
                <w:rFonts w:ascii="Arial" w:cs="Arial" w:eastAsia="Arial" w:hAnsi="Arial"/>
                <w:sz w:val="14"/>
                <w:szCs w:val="14"/>
                <w:b w:val="1"/>
                <w:bCs w:val="1"/>
                <w:color w:val="auto"/>
              </w:rPr>
              <w:t>Payments due by period (millions)</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0"/>
                <w:szCs w:val="10"/>
                <w:color w:val="auto"/>
              </w:rPr>
            </w:pPr>
          </w:p>
        </w:tc>
        <w:tc>
          <w:tcPr>
            <w:tcW w:w="90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5"/>
              </w:rPr>
              <w:t>Less than</w:t>
            </w:r>
          </w:p>
        </w:tc>
        <w:tc>
          <w:tcPr>
            <w:tcW w:w="800" w:type="dxa"/>
            <w:vAlign w:val="bottom"/>
            <w:gridSpan w:val="2"/>
          </w:tcPr>
          <w:p>
            <w:pPr>
              <w:jc w:val="right"/>
              <w:ind w:right="73"/>
              <w:spacing w:after="0" w:line="119" w:lineRule="exact"/>
              <w:rPr>
                <w:sz w:val="20"/>
                <w:szCs w:val="20"/>
                <w:color w:val="auto"/>
              </w:rPr>
            </w:pPr>
            <w:r>
              <w:rPr>
                <w:rFonts w:ascii="Arial" w:cs="Arial" w:eastAsia="Arial" w:hAnsi="Arial"/>
                <w:sz w:val="13"/>
                <w:szCs w:val="13"/>
                <w:b w:val="1"/>
                <w:bCs w:val="1"/>
                <w:color w:val="auto"/>
              </w:rPr>
              <w:t>1-3</w:t>
            </w:r>
          </w:p>
        </w:tc>
        <w:tc>
          <w:tcPr>
            <w:tcW w:w="580" w:type="dxa"/>
            <w:vAlign w:val="bottom"/>
          </w:tcPr>
          <w:p>
            <w:pPr>
              <w:spacing w:after="0"/>
              <w:rPr>
                <w:sz w:val="10"/>
                <w:szCs w:val="10"/>
                <w:color w:val="auto"/>
              </w:rPr>
            </w:pPr>
          </w:p>
        </w:tc>
        <w:tc>
          <w:tcPr>
            <w:tcW w:w="3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3-5</w:t>
            </w:r>
          </w:p>
        </w:tc>
        <w:tc>
          <w:tcPr>
            <w:tcW w:w="60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1 year</w:t>
            </w:r>
          </w:p>
        </w:tc>
        <w:tc>
          <w:tcPr>
            <w:tcW w:w="30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years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2"/>
              </w:rPr>
              <w:t>years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2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   —</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$145.5</w:t>
            </w:r>
          </w:p>
        </w:tc>
        <w:tc>
          <w:tcPr>
            <w:tcW w:w="5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SBA debentures</w:t>
            </w:r>
          </w:p>
        </w:tc>
        <w:tc>
          <w:tcPr>
            <w:tcW w:w="2640" w:type="dxa"/>
            <w:vAlign w:val="bottom"/>
            <w:gridSpan w:val="3"/>
          </w:tcPr>
          <w:p>
            <w:pPr>
              <w:jc w:val="right"/>
              <w:ind w:right="20"/>
              <w:spacing w:after="0"/>
              <w:rPr>
                <w:sz w:val="20"/>
                <w:szCs w:val="20"/>
                <w:color w:val="auto"/>
              </w:rPr>
            </w:pPr>
            <w:r>
              <w:rPr>
                <w:rFonts w:ascii="Arial" w:cs="Arial" w:eastAsia="Arial" w:hAnsi="Arial"/>
                <w:sz w:val="18"/>
                <w:szCs w:val="18"/>
                <w:color w:val="auto"/>
              </w:rPr>
              <w:t>150.0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Notes</w:t>
            </w:r>
          </w:p>
        </w:tc>
        <w:tc>
          <w:tcPr>
            <w:tcW w:w="29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71.3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Total debt outstanding</w:t>
            </w:r>
            <w:r>
              <w:rPr>
                <w:rFonts w:ascii="Arial" w:cs="Arial" w:eastAsia="Arial" w:hAnsi="Arial"/>
                <w:sz w:val="15"/>
                <w:szCs w:val="15"/>
                <w:color w:val="auto"/>
              </w:rPr>
              <w:t>(1)</w:t>
            </w:r>
          </w:p>
        </w:tc>
        <w:tc>
          <w:tcPr>
            <w:tcW w:w="21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58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5"/>
                <w:szCs w:val="15"/>
                <w:color w:val="auto"/>
              </w:rPr>
              <w:t>(2)</w:t>
            </w:r>
          </w:p>
        </w:tc>
        <w:tc>
          <w:tcPr>
            <w:tcW w:w="2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4.8</w:t>
            </w:r>
          </w:p>
        </w:tc>
        <w:tc>
          <w:tcPr>
            <w:tcW w:w="1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2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5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30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60" w:hanging="452"/>
        <w:spacing w:after="0" w:line="25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weighted average interest rate on the total debt outstanding as of September 30, 2013 was 4.05%, exclusive of the fee on the undrawn commitment of 0.50% on the Credit Facility and 3.43% of upfront fees on SBIC LP’s SBA debentures.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Unfunded investments described in the Consolidated Statement of Assets and Liabilities represent unfunded delayed draws on investments.</w:t>
      </w:r>
    </w:p>
    <w:p>
      <w:pPr>
        <w:spacing w:after="0" w:line="22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2013, PennantPark Investment Advisers serves as our Investment Adviser in accordance with the terms of that Investment Management Agreement.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our Administration Agreement, which was most recently re-approved by our board of directors, including a majority of our directors who are not interested persons of us, in February 2013.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PennantPark Investment Advisers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66"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Administration Agreement. Any new investment management agreement would also be subject to approval by our stockholders.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 the ordinary course of business, have guaranteed certain obligations of our controlled affiliate, SuttonPark Holdings, Inc. and its subsidiaries, 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SPH. The guaranties are only triggered if there were administrative errors in acquiring assets which SPH subsequently sold or securitized.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2013 our maximum guaranty is $13.0 million. Based on SPH’s and industry historical loss rates, we believe the risk of loss is remote, thus,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not recorded a liability associated with the guaranties. The current guaranties will decline over time.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currently engage in no off-balance sheet arrangements, including any risk management of commodity pricing or other hedging practices.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our realized net capital gains for the one-year period ending on October 31 of the calendar year and</w:t>
      </w:r>
    </w:p>
    <w:p>
      <w:pPr>
        <w:spacing w:after="0" w:line="2" w:lineRule="exact"/>
        <w:rPr>
          <w:sz w:val="20"/>
          <w:szCs w:val="20"/>
          <w:color w:val="auto"/>
        </w:rPr>
      </w:pPr>
    </w:p>
    <w:p>
      <w:pPr>
        <w:ind w:right="40" w:firstLine="8"/>
        <w:spacing w:after="0" w:line="253"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 For the fiscal years ended September 30, 2013, 2012 and 2011, we elected to retain a portion of our calendar year income and incurred an excise tax of approximately $(0.1) million, $0.3 million and $0.2 million, respectively.</w:t>
      </w:r>
    </w:p>
    <w:p>
      <w:pPr>
        <w:spacing w:after="0" w:line="19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During the fiscal years ended September 30, 2013, 2012 and 2011, we declared distributions of $1.12, $1.12 and $1.07 per share, respectively, for total distributions of $74.4 million, $60.1 million and $46.3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make quarterly distributions to our stockholders. Our quarterly distributions, if any, are determined by our board of directors.</w:t>
      </w:r>
    </w:p>
    <w:p>
      <w:pPr>
        <w:spacing w:after="0" w:line="24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8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annually, we will suffer adverse tax consequences, including possible loss of RIC status. We cannot assure stockholders that they will receive any distributions at a particular level.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On November 21, 2013, upon the recommendations of the audit committee, the board of directors dismissed KPMG LLP, and engaged McGladrey LLP, as the Company’s independent registered public accounting firm for the year ending September 30, 2014. For further information, see our Form 8-K filed on November 25,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are subject to financial market risks, including changes in interest rates. As of September 30, 2013, our debt portfolio consisted of 52% fixed-rate investments and 48% variable-rate investments (including 44% with a LIBOR or prime floor).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7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Assuming that the most recent statement of assets and liabilities was to remain constant, and no actions were taken to alter the existing interest rate sensitivity, the following table shows the annualized impact of hypothetical base rate changes in interest rates.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Change In Interest</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Change In Interest Rates</w:t>
            </w:r>
          </w:p>
        </w:tc>
        <w:tc>
          <w:tcPr>
            <w:tcW w:w="4980" w:type="dxa"/>
            <w:vAlign w:val="bottom"/>
            <w:gridSpan w:val="3"/>
          </w:tcPr>
          <w:p>
            <w:pPr>
              <w:jc w:val="center"/>
              <w:ind w:left="2274"/>
              <w:spacing w:after="0" w:line="149" w:lineRule="exact"/>
              <w:rPr>
                <w:sz w:val="20"/>
                <w:szCs w:val="20"/>
                <w:color w:val="auto"/>
              </w:rPr>
            </w:pPr>
            <w:r>
              <w:rPr>
                <w:rFonts w:ascii="Arial" w:cs="Arial" w:eastAsia="Arial" w:hAnsi="Arial"/>
                <w:sz w:val="14"/>
                <w:szCs w:val="14"/>
                <w:b w:val="1"/>
                <w:bCs w:val="1"/>
                <w:color w:val="auto"/>
                <w:w w:val="95"/>
              </w:rPr>
              <w:t>Income, Net Of Interest</w:t>
            </w:r>
          </w:p>
        </w:tc>
        <w:tc>
          <w:tcPr>
            <w:tcW w:w="1240" w:type="dxa"/>
            <w:vAlign w:val="bottom"/>
            <w:gridSpan w:val="4"/>
            <w:vMerge w:val="restart"/>
          </w:tcPr>
          <w:p>
            <w:pPr>
              <w:ind w:left="5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71"/>
        </w:trPr>
        <w:tc>
          <w:tcPr>
            <w:tcW w:w="1540" w:type="dxa"/>
            <w:vAlign w:val="bottom"/>
            <w:vMerge w:val="continue"/>
          </w:tcPr>
          <w:p>
            <w:pPr>
              <w:spacing w:after="0"/>
              <w:rPr>
                <w:sz w:val="14"/>
                <w:szCs w:val="14"/>
                <w:color w:val="auto"/>
              </w:rPr>
            </w:pPr>
          </w:p>
        </w:tc>
        <w:tc>
          <w:tcPr>
            <w:tcW w:w="2940" w:type="dxa"/>
            <w:vAlign w:val="bottom"/>
          </w:tcPr>
          <w:p>
            <w:pPr>
              <w:spacing w:after="0"/>
              <w:rPr>
                <w:sz w:val="14"/>
                <w:szCs w:val="14"/>
                <w:color w:val="auto"/>
              </w:rPr>
            </w:pPr>
          </w:p>
        </w:tc>
        <w:tc>
          <w:tcPr>
            <w:tcW w:w="2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Expense (in thousands)</w:t>
            </w:r>
          </w:p>
        </w:tc>
        <w:tc>
          <w:tcPr>
            <w:tcW w:w="12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1%</w:t>
            </w:r>
          </w:p>
        </w:tc>
        <w:tc>
          <w:tcPr>
            <w:tcW w:w="29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5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(0.02)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Up 2%</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580" w:type="dxa"/>
            <w:vAlign w:val="bottom"/>
          </w:tcPr>
          <w:p>
            <w:pPr>
              <w:spacing w:after="0"/>
              <w:rPr>
                <w:sz w:val="18"/>
                <w:szCs w:val="18"/>
                <w:color w:val="auto"/>
              </w:rPr>
            </w:pP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3%</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Up 4%</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6,378</w:t>
            </w:r>
          </w:p>
        </w:tc>
        <w:tc>
          <w:tcPr>
            <w:tcW w:w="580" w:type="dxa"/>
            <w:vAlign w:val="bottom"/>
          </w:tcPr>
          <w:p>
            <w:pPr>
              <w:spacing w:after="0"/>
              <w:rPr>
                <w:sz w:val="20"/>
                <w:szCs w:val="20"/>
                <w:color w:val="auto"/>
              </w:rPr>
            </w:pP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we did not engage in interest rate hedging activities.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459" w:right="3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right="660" w:firstLine="456"/>
        <w:spacing w:after="0" w:line="279" w:lineRule="auto"/>
        <w:rPr>
          <w:sz w:val="20"/>
          <w:szCs w:val="20"/>
          <w:color w:val="auto"/>
        </w:rPr>
      </w:pPr>
      <w:r>
        <w:rPr>
          <w:rFonts w:ascii="Arial" w:cs="Arial" w:eastAsia="Arial" w:hAnsi="Arial"/>
          <w:sz w:val="17"/>
          <w:szCs w:val="17"/>
          <w:color w:val="auto"/>
        </w:rPr>
        <w:t>Information about our senior securities is shown in the following table as of September 30, 2013, 2012, 2011, 2010, 2009 and 2008 is from our Consolidated Financial Statements, which has been audited by KPMG LLP,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9"/>
              </w:rPr>
              <w:t>Asset</w:t>
            </w: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 Amount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0"/>
              </w:rPr>
              <w:t>Coverage</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5320" w:type="dxa"/>
            <w:vAlign w:val="bottom"/>
            <w:vMerge w:val="restart"/>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7"/>
              </w:rPr>
              <w:t>per Unit</w:t>
            </w:r>
            <w:r>
              <w:rPr>
                <w:rFonts w:ascii="Arial" w:cs="Arial" w:eastAsia="Arial" w:hAnsi="Arial"/>
                <w:sz w:val="12"/>
                <w:szCs w:val="12"/>
                <w:b w:val="1"/>
                <w:bCs w:val="1"/>
                <w:color w:val="auto"/>
                <w:w w:val="97"/>
              </w:rPr>
              <w:t>(2)</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Value Per</w:t>
            </w: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vMerge w:val="continue"/>
          </w:tcPr>
          <w:p>
            <w:pPr>
              <w:spacing w:after="0"/>
              <w:rPr>
                <w:sz w:val="14"/>
                <w:szCs w:val="14"/>
                <w:color w:val="auto"/>
              </w:rPr>
            </w:pPr>
          </w:p>
        </w:tc>
        <w:tc>
          <w:tcPr>
            <w:tcW w:w="5320" w:type="dxa"/>
            <w:vAlign w:val="bottom"/>
            <w:tcBorders>
              <w:bottom w:val="single" w:sz="8" w:color="CCEEFF"/>
            </w:tcBorders>
            <w:vMerge w:val="continue"/>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Outstanding</w:t>
            </w:r>
            <w:r>
              <w:rPr>
                <w:rFonts w:ascii="Arial" w:cs="Arial" w:eastAsia="Arial" w:hAnsi="Arial"/>
                <w:sz w:val="12"/>
                <w:szCs w:val="12"/>
                <w:b w:val="1"/>
                <w:bCs w:val="1"/>
                <w:color w:val="auto"/>
                <w:w w:val="96"/>
              </w:rPr>
              <w:t>(1)</w:t>
            </w:r>
          </w:p>
        </w:tc>
        <w:tc>
          <w:tcPr>
            <w:tcW w:w="4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8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Unit</w:t>
            </w:r>
            <w:r>
              <w:rPr>
                <w:rFonts w:ascii="Arial" w:cs="Arial" w:eastAsia="Arial" w:hAnsi="Arial"/>
                <w:sz w:val="12"/>
                <w:szCs w:val="12"/>
                <w:b w:val="1"/>
                <w:bCs w:val="1"/>
                <w:color w:val="auto"/>
                <w:w w:val="95"/>
              </w:rPr>
              <w:t>(3)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Facility, SBA debentures and 2025 Notes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Fiscal 2013</w:t>
            </w:r>
            <w:r>
              <w:rPr>
                <w:rFonts w:ascii="Arial" w:cs="Arial" w:eastAsia="Arial" w:hAnsi="Arial"/>
                <w:sz w:val="15"/>
                <w:szCs w:val="15"/>
                <w:color w:val="auto"/>
              </w:rPr>
              <w:t>(4)</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216,750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4,261</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r>
              <w:rPr>
                <w:rFonts w:ascii="Arial" w:cs="Arial" w:eastAsia="Arial" w:hAnsi="Arial"/>
                <w:sz w:val="15"/>
                <w:szCs w:val="15"/>
                <w:color w:val="auto"/>
              </w:rPr>
              <w:t>(4)</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145,000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5,636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Fiscal 2011</w:t>
            </w:r>
            <w:r>
              <w:rPr>
                <w:rFonts w:ascii="Arial" w:cs="Arial" w:eastAsia="Arial" w:hAnsi="Arial"/>
                <w:sz w:val="15"/>
                <w:szCs w:val="15"/>
                <w:color w:val="auto"/>
              </w:rPr>
              <w:t>(4)</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240,900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2,937</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247,600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2,655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Fiscal 2009</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225,100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2,713</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2008</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202,000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2,043</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23" w:lineRule="exact"/>
        <w:rPr>
          <w:rFonts w:ascii="Arial" w:cs="Arial" w:eastAsia="Arial" w:hAnsi="Arial"/>
          <w:sz w:val="18"/>
          <w:szCs w:val="18"/>
          <w:color w:val="auto"/>
        </w:rPr>
      </w:pPr>
    </w:p>
    <w:p>
      <w:pPr>
        <w:ind w:left="460" w:right="32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average market value per unit is derived based on the monthly average closing price of the 2025 Notes trading on NYSE under the symbol “PNTA” since issuance, which were issued in increments of $25 per unit.</w:t>
      </w:r>
    </w:p>
    <w:p>
      <w:pPr>
        <w:ind w:left="460" w:right="40" w:hanging="452"/>
        <w:spacing w:after="0" w:line="261"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These amounts exclude SBIC LP’s SBA debentures from our asset coverage per unit computation pursuant to an exemptive relief letter provided by the SEC in June 2011.</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September 30, 2013, 2012, 2011, 2010, 2009 and 2008, the ratios of earnings to fixed charges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10"/>
          </w:tcPr>
          <w:p>
            <w:pPr>
              <w:jc w:val="right"/>
              <w:ind w:right="720"/>
              <w:spacing w:after="0"/>
              <w:rPr>
                <w:sz w:val="20"/>
                <w:szCs w:val="20"/>
                <w:color w:val="auto"/>
              </w:rPr>
            </w:pPr>
            <w:r>
              <w:rPr>
                <w:rFonts w:ascii="Arial" w:cs="Arial" w:eastAsia="Arial" w:hAnsi="Arial"/>
                <w:sz w:val="14"/>
                <w:szCs w:val="14"/>
                <w:b w:val="1"/>
                <w:bCs w:val="1"/>
                <w:color w:val="auto"/>
                <w:w w:val="96"/>
              </w:rPr>
              <w:t>For the Fiscal Years Ended September 30,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w:t>
            </w:r>
            <w:r>
              <w:rPr>
                <w:rFonts w:ascii="Arial" w:cs="Arial" w:eastAsia="Arial" w:hAnsi="Arial"/>
                <w:sz w:val="15"/>
                <w:szCs w:val="15"/>
                <w:b w:val="1"/>
                <w:bCs w:val="1"/>
                <w:color w:val="auto"/>
              </w:rPr>
              <w:t>(1)</w:t>
            </w: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Net investment income (after taxes)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$ 66,998</w:t>
            </w: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57,069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52,645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32,075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Net realized gain (losses) gains on investments</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17,687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(12,798)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16,260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(15,417)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(39,244)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Add: Net change in unrealized appreciation (depreciation)</w:t>
            </w:r>
          </w:p>
        </w:tc>
        <w:tc>
          <w:tcPr>
            <w:tcW w:w="7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7,092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19,082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(58,641)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52,327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Earnings</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$ 91,777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63,353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10,263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16,535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35,802</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Fixed Charges</w:t>
            </w:r>
            <w:r>
              <w:rPr>
                <w:rFonts w:ascii="Arial" w:cs="Arial" w:eastAsia="Arial" w:hAnsi="Arial"/>
                <w:sz w:val="15"/>
                <w:szCs w:val="15"/>
                <w:b w:val="1"/>
                <w:bCs w:val="1"/>
                <w:color w:val="auto"/>
              </w:rPr>
              <w:t>(2)</w:t>
            </w:r>
          </w:p>
        </w:tc>
        <w:tc>
          <w:tcPr>
            <w:tcW w:w="7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expenses on debt</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$ 15,384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11,681</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Ratio of Total Earnings to Fixed Charges</w:t>
            </w:r>
          </w:p>
        </w:tc>
        <w:tc>
          <w:tcPr>
            <w:tcW w:w="7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Net Investment Income to Fixed Charges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Earnings include net realized and unrealized gains or losses. Net realized and unrealized gains or losses can vary substantially from period to period.</w:t>
      </w:r>
    </w:p>
    <w:p>
      <w:pPr>
        <w:spacing w:after="0" w:line="46" w:lineRule="exact"/>
        <w:rPr>
          <w:rFonts w:ascii="Arial" w:cs="Arial" w:eastAsia="Arial" w:hAnsi="Arial"/>
          <w:sz w:val="16"/>
          <w:szCs w:val="16"/>
          <w:color w:val="auto"/>
        </w:rPr>
      </w:pPr>
    </w:p>
    <w:p>
      <w:pPr>
        <w:ind w:left="460" w:right="180" w:hanging="452"/>
        <w:spacing w:after="0" w:line="261"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Fixed charges include interest and related expenses on our Credit Facility, which is indexed to LIBOR and fluctuate with changes in interest rates, the 2025 Notes and SBA debentures and amortization of debt issuance costs on our SBA debentures.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premium or (discount) to our NAV and quarterly distributions per share since October 1, 2008. On December 6, 2013, the last reported closing price of our common stock was $11.93 per share.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89"/>
              </w:rPr>
              <w:t>Premium</w:t>
            </w:r>
          </w:p>
        </w:tc>
        <w:tc>
          <w:tcPr>
            <w:tcW w:w="9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9"/>
              </w:rPr>
              <w:t>Premium</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80" w:type="dxa"/>
            <w:vAlign w:val="bottom"/>
            <w:gridSpan w:val="5"/>
            <w:vMerge w:val="restart"/>
          </w:tcPr>
          <w:p>
            <w:pPr>
              <w:ind w:left="360"/>
              <w:spacing w:after="0"/>
              <w:rPr>
                <w:sz w:val="20"/>
                <w:szCs w:val="20"/>
                <w:color w:val="auto"/>
              </w:rPr>
            </w:pPr>
            <w:r>
              <w:rPr>
                <w:rFonts w:ascii="Arial" w:cs="Arial" w:eastAsia="Arial" w:hAnsi="Arial"/>
                <w:sz w:val="12"/>
                <w:szCs w:val="12"/>
                <w:b w:val="1"/>
                <w:bCs w:val="1"/>
                <w:color w:val="auto"/>
              </w:rPr>
              <w:t>Closing Sales Price</w:t>
            </w:r>
          </w:p>
        </w:tc>
        <w:tc>
          <w:tcPr>
            <w:tcW w:w="1200" w:type="dxa"/>
            <w:vAlign w:val="bottom"/>
            <w:gridSpan w:val="2"/>
          </w:tcPr>
          <w:p>
            <w:pPr>
              <w:jc w:val="center"/>
              <w:ind w:right="520"/>
              <w:spacing w:after="0" w:line="135" w:lineRule="exact"/>
              <w:rPr>
                <w:sz w:val="20"/>
                <w:szCs w:val="20"/>
                <w:color w:val="auto"/>
              </w:rPr>
            </w:pPr>
            <w:r>
              <w:rPr>
                <w:rFonts w:ascii="Arial" w:cs="Arial" w:eastAsia="Arial" w:hAnsi="Arial"/>
                <w:sz w:val="12"/>
                <w:szCs w:val="12"/>
                <w:b w:val="1"/>
                <w:bCs w:val="1"/>
                <w:color w:val="auto"/>
                <w:w w:val="87"/>
              </w:rPr>
              <w:t>(Discount)</w:t>
            </w:r>
          </w:p>
        </w:tc>
        <w:tc>
          <w:tcPr>
            <w:tcW w:w="96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87"/>
              </w:rPr>
              <w:t>(Discount)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4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80" w:type="dxa"/>
            <w:vAlign w:val="bottom"/>
            <w:gridSpan w:val="5"/>
            <w:vMerge w:val="continue"/>
          </w:tcPr>
          <w:p>
            <w:pPr>
              <w:spacing w:after="0"/>
              <w:rPr>
                <w:sz w:val="4"/>
                <w:szCs w:val="4"/>
                <w:color w:val="auto"/>
              </w:rPr>
            </w:pPr>
          </w:p>
        </w:tc>
        <w:tc>
          <w:tcPr>
            <w:tcW w:w="1200" w:type="dxa"/>
            <w:vAlign w:val="bottom"/>
            <w:gridSpan w:val="2"/>
            <w:vMerge w:val="restart"/>
          </w:tcPr>
          <w:p>
            <w:pPr>
              <w:jc w:val="center"/>
              <w:ind w:right="540"/>
              <w:spacing w:after="0" w:line="135" w:lineRule="exact"/>
              <w:rPr>
                <w:sz w:val="20"/>
                <w:szCs w:val="20"/>
                <w:color w:val="auto"/>
              </w:rPr>
            </w:pPr>
            <w:r>
              <w:rPr>
                <w:rFonts w:ascii="Arial" w:cs="Arial" w:eastAsia="Arial" w:hAnsi="Arial"/>
                <w:sz w:val="12"/>
                <w:szCs w:val="12"/>
                <w:b w:val="1"/>
                <w:bCs w:val="1"/>
                <w:color w:val="auto"/>
                <w:w w:val="86"/>
              </w:rPr>
              <w:t>of High Sales</w:t>
            </w:r>
          </w:p>
        </w:tc>
        <w:tc>
          <w:tcPr>
            <w:tcW w:w="960" w:type="dxa"/>
            <w:vAlign w:val="bottom"/>
            <w:gridSpan w:val="2"/>
            <w:vMerge w:val="restart"/>
          </w:tcPr>
          <w:p>
            <w:pPr>
              <w:jc w:val="center"/>
              <w:ind w:right="340"/>
              <w:spacing w:after="0" w:line="135" w:lineRule="exact"/>
              <w:rPr>
                <w:sz w:val="20"/>
                <w:szCs w:val="20"/>
                <w:color w:val="auto"/>
              </w:rPr>
            </w:pPr>
            <w:r>
              <w:rPr>
                <w:rFonts w:ascii="Arial" w:cs="Arial" w:eastAsia="Arial" w:hAnsi="Arial"/>
                <w:sz w:val="12"/>
                <w:szCs w:val="12"/>
                <w:b w:val="1"/>
                <w:bCs w:val="1"/>
                <w:color w:val="auto"/>
                <w:w w:val="84"/>
              </w:rPr>
              <w:t>of Low Sales</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4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Period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jc w:val="center"/>
              <w:ind w:right="540"/>
              <w:spacing w:after="0" w:line="135" w:lineRule="exact"/>
              <w:rPr>
                <w:sz w:val="20"/>
                <w:szCs w:val="20"/>
                <w:color w:val="auto"/>
              </w:rPr>
            </w:pPr>
            <w:r>
              <w:rPr>
                <w:rFonts w:ascii="Arial" w:cs="Arial" w:eastAsia="Arial" w:hAnsi="Arial"/>
                <w:sz w:val="12"/>
                <w:szCs w:val="12"/>
                <w:b w:val="1"/>
                <w:bCs w:val="1"/>
                <w:color w:val="auto"/>
                <w:w w:val="86"/>
              </w:rPr>
              <w:t>Price to</w:t>
            </w:r>
          </w:p>
        </w:tc>
        <w:tc>
          <w:tcPr>
            <w:tcW w:w="960" w:type="dxa"/>
            <w:vAlign w:val="bottom"/>
            <w:gridSpan w:val="2"/>
          </w:tcPr>
          <w:p>
            <w:pPr>
              <w:jc w:val="center"/>
              <w:ind w:right="340"/>
              <w:spacing w:after="0" w:line="135" w:lineRule="exact"/>
              <w:rPr>
                <w:sz w:val="20"/>
                <w:szCs w:val="20"/>
                <w:color w:val="auto"/>
              </w:rPr>
            </w:pPr>
            <w:r>
              <w:rPr>
                <w:rFonts w:ascii="Arial" w:cs="Arial" w:eastAsia="Arial" w:hAnsi="Arial"/>
                <w:sz w:val="12"/>
                <w:szCs w:val="12"/>
                <w:b w:val="1"/>
                <w:bCs w:val="1"/>
                <w:color w:val="auto"/>
                <w:w w:val="86"/>
              </w:rPr>
              <w:t>Price to</w:t>
            </w:r>
          </w:p>
        </w:tc>
        <w:tc>
          <w:tcPr>
            <w:tcW w:w="200" w:type="dxa"/>
            <w:vAlign w:val="bottom"/>
          </w:tcPr>
          <w:p>
            <w:pPr>
              <w:spacing w:after="0"/>
              <w:rPr>
                <w:sz w:val="11"/>
                <w:szCs w:val="11"/>
                <w:color w:val="auto"/>
              </w:rPr>
            </w:pP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Distributions</w:t>
            </w:r>
          </w:p>
        </w:tc>
        <w:tc>
          <w:tcPr>
            <w:tcW w:w="0" w:type="dxa"/>
            <w:vAlign w:val="bottom"/>
          </w:tcPr>
          <w:p>
            <w:pPr>
              <w:spacing w:after="0"/>
              <w:rPr>
                <w:sz w:val="1"/>
                <w:szCs w:val="1"/>
                <w:color w:val="auto"/>
              </w:rPr>
            </w:pPr>
          </w:p>
        </w:tc>
      </w:tr>
      <w:tr>
        <w:trPr>
          <w:trHeight w:val="143"/>
        </w:trPr>
        <w:tc>
          <w:tcPr>
            <w:tcW w:w="47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NAV</w:t>
            </w:r>
            <w:r>
              <w:rPr>
                <w:rFonts w:ascii="Arial" w:cs="Arial" w:eastAsia="Arial" w:hAnsi="Arial"/>
                <w:sz w:val="9"/>
                <w:szCs w:val="9"/>
                <w:b w:val="1"/>
                <w:bCs w:val="1"/>
                <w:color w:val="auto"/>
              </w:rPr>
              <w:t>(1)</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High</w:t>
            </w:r>
          </w:p>
        </w:tc>
        <w:tc>
          <w:tcPr>
            <w:tcW w:w="220" w:type="dxa"/>
            <w:vAlign w:val="bottom"/>
          </w:tcPr>
          <w:p>
            <w:pPr>
              <w:spacing w:after="0"/>
              <w:rPr>
                <w:sz w:val="12"/>
                <w:szCs w:val="12"/>
                <w:color w:val="auto"/>
              </w:rPr>
            </w:pPr>
          </w:p>
        </w:tc>
        <w:tc>
          <w:tcPr>
            <w:tcW w:w="1040" w:type="dxa"/>
            <w:vAlign w:val="bottom"/>
            <w:gridSpan w:val="2"/>
          </w:tcPr>
          <w:p>
            <w:pPr>
              <w:ind w:left="200"/>
              <w:spacing w:after="0"/>
              <w:rPr>
                <w:sz w:val="20"/>
                <w:szCs w:val="20"/>
                <w:color w:val="auto"/>
              </w:rPr>
            </w:pPr>
            <w:r>
              <w:rPr>
                <w:rFonts w:ascii="Arial" w:cs="Arial" w:eastAsia="Arial" w:hAnsi="Arial"/>
                <w:sz w:val="11"/>
                <w:szCs w:val="11"/>
                <w:b w:val="1"/>
                <w:bCs w:val="1"/>
                <w:color w:val="auto"/>
              </w:rPr>
              <w:t>Low</w:t>
            </w:r>
          </w:p>
        </w:tc>
        <w:tc>
          <w:tcPr>
            <w:tcW w:w="120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98"/>
              </w:rPr>
              <w:t>NAV</w:t>
            </w:r>
            <w:r>
              <w:rPr>
                <w:rFonts w:ascii="Arial" w:cs="Arial" w:eastAsia="Arial" w:hAnsi="Arial"/>
                <w:sz w:val="9"/>
                <w:szCs w:val="9"/>
                <w:b w:val="1"/>
                <w:bCs w:val="1"/>
                <w:color w:val="auto"/>
                <w:w w:val="98"/>
              </w:rPr>
              <w:t>(2)</w:t>
            </w:r>
          </w:p>
        </w:tc>
        <w:tc>
          <w:tcPr>
            <w:tcW w:w="9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3"/>
              </w:rPr>
              <w:t>NAV</w:t>
            </w:r>
            <w:r>
              <w:rPr>
                <w:rFonts w:ascii="Arial" w:cs="Arial" w:eastAsia="Arial" w:hAnsi="Arial"/>
                <w:sz w:val="9"/>
                <w:szCs w:val="9"/>
                <w:b w:val="1"/>
                <w:bCs w:val="1"/>
                <w:color w:val="auto"/>
                <w:w w:val="93"/>
              </w:rPr>
              <w:t>(2)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Declared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Fiscal Year Ending September 30, 2014</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4740" w:type="dxa"/>
            <w:vAlign w:val="bottom"/>
            <w:gridSpan w:val="2"/>
          </w:tcPr>
          <w:p>
            <w:pPr>
              <w:spacing w:after="0"/>
              <w:rPr>
                <w:sz w:val="20"/>
                <w:szCs w:val="20"/>
                <w:color w:val="auto"/>
              </w:rPr>
            </w:pPr>
            <w:r>
              <w:rPr>
                <w:rFonts w:ascii="Arial" w:cs="Arial" w:eastAsia="Arial" w:hAnsi="Arial"/>
                <w:sz w:val="16"/>
                <w:szCs w:val="16"/>
                <w:color w:val="auto"/>
              </w:rPr>
              <w:t>First quarter (through December 6, 2013)</w:t>
            </w: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N/A</w:t>
            </w:r>
          </w:p>
        </w:tc>
        <w:tc>
          <w:tcPr>
            <w:tcW w:w="620" w:type="dxa"/>
            <w:vAlign w:val="bottom"/>
          </w:tcPr>
          <w:p>
            <w:pPr>
              <w:jc w:val="right"/>
              <w:spacing w:after="0"/>
              <w:rPr>
                <w:sz w:val="20"/>
                <w:szCs w:val="20"/>
                <w:color w:val="auto"/>
              </w:rPr>
            </w:pPr>
            <w:r>
              <w:rPr>
                <w:rFonts w:ascii="Arial" w:cs="Arial" w:eastAsia="Arial" w:hAnsi="Arial"/>
                <w:sz w:val="16"/>
                <w:szCs w:val="16"/>
                <w:color w:val="auto"/>
              </w:rPr>
              <w:t>$  12.17</w:t>
            </w:r>
          </w:p>
        </w:tc>
        <w:tc>
          <w:tcPr>
            <w:tcW w:w="200" w:type="dxa"/>
            <w:vAlign w:val="bottom"/>
          </w:tcPr>
          <w:p>
            <w:pPr>
              <w:spacing w:after="0"/>
              <w:rPr>
                <w:sz w:val="24"/>
                <w:szCs w:val="24"/>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  10.83</w:t>
            </w:r>
          </w:p>
        </w:tc>
        <w:tc>
          <w:tcPr>
            <w:tcW w:w="1200" w:type="dxa"/>
            <w:vAlign w:val="bottom"/>
            <w:gridSpan w:val="2"/>
          </w:tcPr>
          <w:p>
            <w:pPr>
              <w:jc w:val="right"/>
              <w:ind w:right="400"/>
              <w:spacing w:after="0"/>
              <w:rPr>
                <w:sz w:val="20"/>
                <w:szCs w:val="20"/>
                <w:color w:val="auto"/>
              </w:rPr>
            </w:pPr>
            <w:r>
              <w:rPr>
                <w:rFonts w:ascii="Arial" w:cs="Arial" w:eastAsia="Arial" w:hAnsi="Arial"/>
                <w:sz w:val="16"/>
                <w:szCs w:val="16"/>
                <w:color w:val="auto"/>
              </w:rPr>
              <w:t>N/A%</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N/A%</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ind w:left="280"/>
              <w:spacing w:after="0"/>
              <w:rPr>
                <w:sz w:val="20"/>
                <w:szCs w:val="20"/>
                <w:color w:val="auto"/>
              </w:rPr>
            </w:pPr>
            <w:r>
              <w:rPr>
                <w:rFonts w:ascii="Arial" w:cs="Arial" w:eastAsia="Arial" w:hAnsi="Arial"/>
                <w:sz w:val="16"/>
                <w:szCs w:val="16"/>
                <w:color w:val="auto"/>
                <w:w w:val="86"/>
              </w:rPr>
              <w:t>0.28</w:t>
            </w:r>
            <w:r>
              <w:rPr>
                <w:rFonts w:ascii="Arial" w:cs="Arial" w:eastAsia="Arial" w:hAnsi="Arial"/>
                <w:sz w:val="27"/>
                <w:szCs w:val="27"/>
                <w:color w:val="auto"/>
                <w:w w:val="86"/>
                <w:vertAlign w:val="superscript"/>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Fiscal Year Ended September 30, 2013</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Fourth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10.49</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11.83</w:t>
            </w: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10.97</w:t>
            </w:r>
          </w:p>
        </w:tc>
        <w:tc>
          <w:tcPr>
            <w:tcW w:w="660" w:type="dxa"/>
            <w:vAlign w:val="bottom"/>
          </w:tcPr>
          <w:p>
            <w:pPr>
              <w:jc w:val="right"/>
              <w:spacing w:after="0"/>
              <w:rPr>
                <w:sz w:val="20"/>
                <w:szCs w:val="20"/>
                <w:color w:val="auto"/>
              </w:rPr>
            </w:pPr>
            <w:r>
              <w:rPr>
                <w:rFonts w:ascii="Arial" w:cs="Arial" w:eastAsia="Arial" w:hAnsi="Arial"/>
                <w:sz w:val="16"/>
                <w:szCs w:val="16"/>
                <w:color w:val="auto"/>
              </w:rPr>
              <w:t>13</w:t>
            </w:r>
          </w:p>
        </w:tc>
        <w:tc>
          <w:tcPr>
            <w:tcW w:w="540" w:type="dxa"/>
            <w:vAlign w:val="bottom"/>
          </w:tcPr>
          <w:p>
            <w:pPr>
              <w:spacing w:after="0"/>
              <w:rPr>
                <w:sz w:val="22"/>
                <w:szCs w:val="22"/>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Third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10.43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11.83</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10.45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5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Second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10.50</w:t>
            </w:r>
          </w:p>
        </w:tc>
        <w:tc>
          <w:tcPr>
            <w:tcW w:w="620" w:type="dxa"/>
            <w:vAlign w:val="bottom"/>
          </w:tcPr>
          <w:p>
            <w:pPr>
              <w:jc w:val="right"/>
              <w:spacing w:after="0"/>
              <w:rPr>
                <w:sz w:val="20"/>
                <w:szCs w:val="20"/>
                <w:color w:val="auto"/>
              </w:rPr>
            </w:pPr>
            <w:r>
              <w:rPr>
                <w:rFonts w:ascii="Arial" w:cs="Arial" w:eastAsia="Arial" w:hAnsi="Arial"/>
                <w:sz w:val="16"/>
                <w:szCs w:val="16"/>
                <w:color w:val="auto"/>
              </w:rPr>
              <w:t>12.18</w:t>
            </w:r>
          </w:p>
        </w:tc>
        <w:tc>
          <w:tcPr>
            <w:tcW w:w="200" w:type="dxa"/>
            <w:vAlign w:val="bottom"/>
          </w:tcPr>
          <w:p>
            <w:pPr>
              <w:spacing w:after="0"/>
              <w:rPr>
                <w:sz w:val="22"/>
                <w:szCs w:val="22"/>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11.01</w:t>
            </w: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c>
          <w:tcPr>
            <w:tcW w:w="540" w:type="dxa"/>
            <w:vAlign w:val="bottom"/>
          </w:tcPr>
          <w:p>
            <w:pPr>
              <w:spacing w:after="0"/>
              <w:rPr>
                <w:sz w:val="22"/>
                <w:szCs w:val="22"/>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First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10.38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11.10</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10.07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5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305"/>
        </w:trPr>
        <w:tc>
          <w:tcPr>
            <w:tcW w:w="4740" w:type="dxa"/>
            <w:vAlign w:val="bottom"/>
            <w:gridSpan w:val="2"/>
          </w:tcPr>
          <w:p>
            <w:pPr>
              <w:spacing w:after="0"/>
              <w:rPr>
                <w:sz w:val="20"/>
                <w:szCs w:val="20"/>
                <w:color w:val="auto"/>
              </w:rPr>
            </w:pPr>
            <w:r>
              <w:rPr>
                <w:rFonts w:ascii="Arial" w:cs="Arial" w:eastAsia="Arial" w:hAnsi="Arial"/>
                <w:sz w:val="16"/>
                <w:szCs w:val="16"/>
                <w:b w:val="1"/>
                <w:bCs w:val="1"/>
                <w:color w:val="auto"/>
              </w:rPr>
              <w:t>Fiscal Year Ended September 30, 2012</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Fourth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10.22</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11.44</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10.36</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5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Third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10.16</w:t>
            </w:r>
          </w:p>
        </w:tc>
        <w:tc>
          <w:tcPr>
            <w:tcW w:w="620" w:type="dxa"/>
            <w:vAlign w:val="bottom"/>
          </w:tcPr>
          <w:p>
            <w:pPr>
              <w:jc w:val="right"/>
              <w:spacing w:after="0"/>
              <w:rPr>
                <w:sz w:val="20"/>
                <w:szCs w:val="20"/>
                <w:color w:val="auto"/>
              </w:rPr>
            </w:pPr>
            <w:r>
              <w:rPr>
                <w:rFonts w:ascii="Arial" w:cs="Arial" w:eastAsia="Arial" w:hAnsi="Arial"/>
                <w:sz w:val="16"/>
                <w:szCs w:val="16"/>
                <w:color w:val="auto"/>
              </w:rPr>
              <w:t>10.70</w:t>
            </w:r>
          </w:p>
        </w:tc>
        <w:tc>
          <w:tcPr>
            <w:tcW w:w="200" w:type="dxa"/>
            <w:vAlign w:val="bottom"/>
          </w:tcPr>
          <w:p>
            <w:pPr>
              <w:spacing w:after="0"/>
              <w:rPr>
                <w:sz w:val="22"/>
                <w:szCs w:val="22"/>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9.27</w:t>
            </w: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c>
          <w:tcPr>
            <w:tcW w:w="54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Second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10.38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11.23</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10.31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5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First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10.19</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11.02</w:t>
            </w: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8.57</w:t>
            </w: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54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Fiscal Year Ended September 30, 2011</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Fourth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10.13</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11.52</w:t>
            </w: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8.89</w:t>
            </w: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54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Third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11.08</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w:t>
            </w:r>
          </w:p>
        </w:tc>
        <w:tc>
          <w:tcPr>
            <w:tcW w:w="2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10.97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5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Second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11.30</w:t>
            </w:r>
          </w:p>
        </w:tc>
        <w:tc>
          <w:tcPr>
            <w:tcW w:w="620" w:type="dxa"/>
            <w:vAlign w:val="bottom"/>
          </w:tcPr>
          <w:p>
            <w:pPr>
              <w:jc w:val="right"/>
              <w:spacing w:after="0"/>
              <w:rPr>
                <w:sz w:val="20"/>
                <w:szCs w:val="20"/>
                <w:color w:val="auto"/>
              </w:rPr>
            </w:pPr>
            <w:r>
              <w:rPr>
                <w:rFonts w:ascii="Arial" w:cs="Arial" w:eastAsia="Arial" w:hAnsi="Arial"/>
                <w:sz w:val="16"/>
                <w:szCs w:val="16"/>
                <w:color w:val="auto"/>
              </w:rPr>
              <w:t>13.05</w:t>
            </w:r>
          </w:p>
        </w:tc>
        <w:tc>
          <w:tcPr>
            <w:tcW w:w="200" w:type="dxa"/>
            <w:vAlign w:val="bottom"/>
          </w:tcPr>
          <w:p>
            <w:pPr>
              <w:spacing w:after="0"/>
              <w:rPr>
                <w:sz w:val="22"/>
                <w:szCs w:val="22"/>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11.21</w:t>
            </w: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c>
          <w:tcPr>
            <w:tcW w:w="54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First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11.14</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w:t>
            </w:r>
          </w:p>
        </w:tc>
        <w:tc>
          <w:tcPr>
            <w:tcW w:w="2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10.60</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5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b w:val="1"/>
                <w:bCs w:val="1"/>
                <w:color w:val="auto"/>
              </w:rPr>
              <w:t>Fiscal Year Ended September 30, 2010</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Fourth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10.69</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2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9.17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5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Third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10.94</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11.84</w:t>
            </w: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9.02</w:t>
            </w: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54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Second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11.07</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w:t>
            </w:r>
          </w:p>
        </w:tc>
        <w:tc>
          <w:tcPr>
            <w:tcW w:w="2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8.88</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(3)</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First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11.86</w:t>
            </w:r>
          </w:p>
        </w:tc>
        <w:tc>
          <w:tcPr>
            <w:tcW w:w="620" w:type="dxa"/>
            <w:vAlign w:val="bottom"/>
          </w:tcPr>
          <w:p>
            <w:pPr>
              <w:jc w:val="right"/>
              <w:spacing w:after="0"/>
              <w:rPr>
                <w:sz w:val="20"/>
                <w:szCs w:val="20"/>
                <w:color w:val="auto"/>
              </w:rPr>
            </w:pPr>
            <w:r>
              <w:rPr>
                <w:rFonts w:ascii="Arial" w:cs="Arial" w:eastAsia="Arial" w:hAnsi="Arial"/>
                <w:sz w:val="16"/>
                <w:szCs w:val="16"/>
                <w:color w:val="auto"/>
              </w:rPr>
              <w:t>9.15</w:t>
            </w:r>
          </w:p>
        </w:tc>
        <w:tc>
          <w:tcPr>
            <w:tcW w:w="200" w:type="dxa"/>
            <w:vAlign w:val="bottom"/>
          </w:tcPr>
          <w:p>
            <w:pPr>
              <w:spacing w:after="0"/>
              <w:rPr>
                <w:sz w:val="22"/>
                <w:szCs w:val="22"/>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7.63</w:t>
            </w: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(23)</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(36)</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Fiscal Year Ended September 30, 2009</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Fourth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11.85</w:t>
            </w:r>
          </w:p>
        </w:tc>
        <w:tc>
          <w:tcPr>
            <w:tcW w:w="620" w:type="dxa"/>
            <w:vAlign w:val="bottom"/>
          </w:tcPr>
          <w:p>
            <w:pPr>
              <w:jc w:val="right"/>
              <w:spacing w:after="0"/>
              <w:rPr>
                <w:sz w:val="20"/>
                <w:szCs w:val="20"/>
                <w:color w:val="auto"/>
              </w:rPr>
            </w:pPr>
            <w:r>
              <w:rPr>
                <w:rFonts w:ascii="Arial" w:cs="Arial" w:eastAsia="Arial" w:hAnsi="Arial"/>
                <w:sz w:val="16"/>
                <w:szCs w:val="16"/>
                <w:color w:val="auto"/>
              </w:rPr>
              <w:t>9.06</w:t>
            </w:r>
          </w:p>
        </w:tc>
        <w:tc>
          <w:tcPr>
            <w:tcW w:w="200" w:type="dxa"/>
            <w:vAlign w:val="bottom"/>
          </w:tcPr>
          <w:p>
            <w:pPr>
              <w:spacing w:after="0"/>
              <w:rPr>
                <w:sz w:val="22"/>
                <w:szCs w:val="22"/>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6.28</w:t>
            </w: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(24)</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(47)</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Third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11.72</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2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3.85</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(35)</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Second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12.00</w:t>
            </w:r>
          </w:p>
        </w:tc>
        <w:tc>
          <w:tcPr>
            <w:tcW w:w="620" w:type="dxa"/>
            <w:vAlign w:val="bottom"/>
          </w:tcPr>
          <w:p>
            <w:pPr>
              <w:jc w:val="right"/>
              <w:spacing w:after="0"/>
              <w:rPr>
                <w:sz w:val="20"/>
                <w:szCs w:val="20"/>
                <w:color w:val="auto"/>
              </w:rPr>
            </w:pPr>
            <w:r>
              <w:rPr>
                <w:rFonts w:ascii="Arial" w:cs="Arial" w:eastAsia="Arial" w:hAnsi="Arial"/>
                <w:sz w:val="16"/>
                <w:szCs w:val="16"/>
                <w:color w:val="auto"/>
              </w:rPr>
              <w:t>4.05</w:t>
            </w:r>
          </w:p>
        </w:tc>
        <w:tc>
          <w:tcPr>
            <w:tcW w:w="200" w:type="dxa"/>
            <w:vAlign w:val="bottom"/>
          </w:tcPr>
          <w:p>
            <w:pPr>
              <w:spacing w:after="0"/>
              <w:rPr>
                <w:sz w:val="22"/>
                <w:szCs w:val="22"/>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2.64</w:t>
            </w: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(66)</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(78)</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First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10.24</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2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2.35</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(24)</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9" w:lineRule="exact"/>
        <w:rPr>
          <w:sz w:val="20"/>
          <w:szCs w:val="20"/>
          <w:color w:val="auto"/>
        </w:rPr>
      </w:pPr>
    </w:p>
    <w:p>
      <w:pPr>
        <w:ind w:left="340" w:right="280" w:hanging="332"/>
        <w:spacing w:after="0" w:line="266"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Calculated as of the respective high or low closing sales price divided by the quarter end NAV.</w:t>
      </w:r>
    </w:p>
    <w:p>
      <w:pPr>
        <w:spacing w:after="0" w:line="18" w:lineRule="exact"/>
        <w:rPr>
          <w:rFonts w:ascii="Arial" w:cs="Arial" w:eastAsia="Arial" w:hAnsi="Arial"/>
          <w:sz w:val="16"/>
          <w:szCs w:val="16"/>
          <w:color w:val="auto"/>
        </w:rPr>
      </w:pPr>
    </w:p>
    <w:p>
      <w:pPr>
        <w:ind w:left="340" w:hanging="332"/>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distribution of $0.28 per share payable January 2, 2014 to stockholders of record as of December 20, 2013.</w:t>
      </w:r>
    </w:p>
    <w:p>
      <w:pPr>
        <w:spacing w:after="0" w:line="226"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Shares of BDCs may trade at a market price both above and below the NAV that is attributable to those shares. Our shares have traded above and below our NAV. Our shares closed on the NASDAQ Global Select Market at $11.28 and $10.61 as of September 30, 2013 and 2012, respectively. Our NAV per share was $10.49 and $10.22 as of September 30, 2013 and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September 30, 2013, we had 11 stockholders of record.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stockholders have in the past and may again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92" w:lineRule="exact"/>
        <w:rPr>
          <w:sz w:val="20"/>
          <w:szCs w:val="20"/>
          <w:color w:val="auto"/>
        </w:rPr>
      </w:pPr>
    </w:p>
    <w:p>
      <w:pPr>
        <w:ind w:left="900" w:right="38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NAV per share;</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leverage available to us and our SBIC Funds, both before and after the offering and other borrowing terms;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8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76" w:lineRule="exact"/>
        <w:rPr>
          <w:sz w:val="20"/>
          <w:szCs w:val="20"/>
          <w:color w:val="auto"/>
        </w:rPr>
      </w:pPr>
    </w:p>
    <w:p>
      <w:pPr>
        <w:ind w:left="660" w:hanging="314"/>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existing stockholders who purchase a relatively small amount of shares in the offering or a relatively large amount of shares in the offering; and</w:t>
      </w:r>
    </w:p>
    <w:p>
      <w:pPr>
        <w:spacing w:after="0" w:line="142" w:lineRule="exact"/>
        <w:rPr>
          <w:rFonts w:ascii="Arial" w:cs="Arial" w:eastAsia="Arial" w:hAnsi="Arial"/>
          <w:sz w:val="17"/>
          <w:szCs w:val="17"/>
          <w:color w:val="auto"/>
        </w:rPr>
      </w:pPr>
    </w:p>
    <w:p>
      <w:pPr>
        <w:ind w:left="660" w:hanging="314"/>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existing stockholders who do not participate, or who are not given the opportunity to participate, in an offering below NAV per share or who do not buy additional shares in the secondary market at the same or lower price we obtain in the offering (after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offering expenses and commissions (a 5% discount from NAV); (2) an offering of 100,000 shares (10% of the outstanding shares) at $9.00 per share after offering expenses and commissions (a 10% discount from NAV); and (3) an offering of 250,000 shares (25% of the outstanding shares) at $7.50 per share after offering expenses and commissions (a 25% discount from NAV).</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95"/>
              </w:rPr>
              <w:t>Example 1</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95"/>
              </w:rPr>
              <w:t>Example 2</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95"/>
              </w:rPr>
              <w:t>Example 3</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00" w:type="dxa"/>
            <w:vAlign w:val="bottom"/>
          </w:tcPr>
          <w:p>
            <w:pPr>
              <w:spacing w:after="0"/>
              <w:rPr>
                <w:sz w:val="12"/>
                <w:szCs w:val="12"/>
                <w:color w:val="auto"/>
              </w:rPr>
            </w:pPr>
          </w:p>
        </w:tc>
        <w:tc>
          <w:tcPr>
            <w:tcW w:w="202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00" w:type="dxa"/>
            <w:vAlign w:val="bottom"/>
          </w:tcPr>
          <w:p>
            <w:pPr>
              <w:spacing w:after="0"/>
              <w:rPr>
                <w:sz w:val="12"/>
                <w:szCs w:val="12"/>
                <w:color w:val="auto"/>
              </w:rPr>
            </w:pPr>
          </w:p>
        </w:tc>
        <w:tc>
          <w:tcPr>
            <w:tcW w:w="180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Prior to Sale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at 5% Discount</w:t>
            </w:r>
          </w:p>
        </w:tc>
        <w:tc>
          <w:tcPr>
            <w:tcW w:w="100" w:type="dxa"/>
            <w:vAlign w:val="bottom"/>
          </w:tcPr>
          <w:p>
            <w:pPr>
              <w:spacing w:after="0"/>
              <w:rPr>
                <w:sz w:val="14"/>
                <w:szCs w:val="14"/>
                <w:color w:val="auto"/>
              </w:rPr>
            </w:pPr>
          </w:p>
        </w:tc>
        <w:tc>
          <w:tcPr>
            <w:tcW w:w="20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at 10% Discount</w:t>
            </w:r>
          </w:p>
        </w:tc>
        <w:tc>
          <w:tcPr>
            <w:tcW w:w="100" w:type="dxa"/>
            <w:vAlign w:val="bottom"/>
          </w:tcPr>
          <w:p>
            <w:pPr>
              <w:spacing w:after="0"/>
              <w:rPr>
                <w:sz w:val="14"/>
                <w:szCs w:val="14"/>
                <w:color w:val="auto"/>
              </w:rPr>
            </w:pPr>
          </w:p>
        </w:tc>
        <w:tc>
          <w:tcPr>
            <w:tcW w:w="18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Following</w:t>
            </w:r>
          </w:p>
        </w:tc>
        <w:tc>
          <w:tcPr>
            <w:tcW w:w="560" w:type="dxa"/>
            <w:vAlign w:val="bottom"/>
            <w:tcBorders>
              <w:top w:val="single" w:sz="8" w:color="auto"/>
            </w:tcBorders>
          </w:tcPr>
          <w:p>
            <w:pPr>
              <w:jc w:val="right"/>
              <w:ind w:right="168"/>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Following</w:t>
            </w:r>
          </w:p>
        </w:tc>
        <w:tc>
          <w:tcPr>
            <w:tcW w:w="560" w:type="dxa"/>
            <w:vAlign w:val="bottom"/>
            <w:tcBorders>
              <w:top w:val="single" w:sz="8" w:color="auto"/>
            </w:tcBorders>
          </w:tcPr>
          <w:p>
            <w:pPr>
              <w:jc w:val="right"/>
              <w:ind w:right="168"/>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Following</w:t>
            </w:r>
          </w:p>
        </w:tc>
        <w:tc>
          <w:tcPr>
            <w:tcW w:w="560" w:type="dxa"/>
            <w:vAlign w:val="bottom"/>
            <w:tcBorders>
              <w:top w:val="single" w:sz="8" w:color="auto"/>
            </w:tcBorders>
          </w:tcPr>
          <w:p>
            <w:pPr>
              <w:jc w:val="right"/>
              <w:ind w:right="168"/>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Below NAV</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Sale</w:t>
            </w: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Sale</w:t>
            </w: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Sale</w:t>
            </w: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3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i w:val="1"/>
                <w:iCs w:val="1"/>
                <w:color w:val="auto"/>
              </w:rPr>
              <w:t>Offering Price</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color w:val="auto"/>
              </w:rPr>
              <w:t>Price per share to public</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9.47</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7.89</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Net offering proceeds per share to issuer</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b w:val="1"/>
                <w:bCs w:val="1"/>
                <w:i w:val="1"/>
                <w:iCs w:val="1"/>
                <w:color w:val="auto"/>
              </w:rPr>
              <w:t>Decrease to NAV</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Total shares outstanding</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1,000,000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1,050,000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5.00 %</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1,100,000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1,250,000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25.00 %</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color w:val="auto"/>
              </w:rPr>
              <w:t>NAV per share</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9.98</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(0.20)%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9.91</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(0.90)%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9.50</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Dilution to Stockholder A</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color w:val="auto"/>
              </w:rPr>
              <w:t>Shares held by stockholder A</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Percentage held by stockholder A</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0.95%</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0.91%</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0.80%</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4"/>
              </w:rPr>
              <w:t>(20.00)%</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b w:val="1"/>
                <w:bCs w:val="1"/>
                <w:color w:val="auto"/>
              </w:rPr>
              <w:t>Total Asset Values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NAV held by stockholder A</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100,000</w:t>
            </w:r>
          </w:p>
        </w:tc>
        <w:tc>
          <w:tcPr>
            <w:tcW w:w="1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99,800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99,100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(0.90)%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95,000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30"/>
        </w:trPr>
        <w:tc>
          <w:tcPr>
            <w:tcW w:w="3940" w:type="dxa"/>
            <w:vAlign w:val="bottom"/>
          </w:tcPr>
          <w:p>
            <w:pPr>
              <w:ind w:left="300"/>
              <w:spacing w:after="0" w:line="130" w:lineRule="exact"/>
              <w:rPr>
                <w:sz w:val="20"/>
                <w:szCs w:val="20"/>
                <w:color w:val="auto"/>
              </w:rPr>
            </w:pPr>
            <w:r>
              <w:rPr>
                <w:rFonts w:ascii="Arial" w:cs="Arial" w:eastAsia="Arial" w:hAnsi="Arial"/>
                <w:sz w:val="14"/>
                <w:szCs w:val="14"/>
                <w:color w:val="auto"/>
                <w:w w:val="94"/>
              </w:rPr>
              <w:t>Total investment by stockholder A (assumed to be $10.00 per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940" w:type="dxa"/>
            <w:vAlign w:val="bottom"/>
          </w:tcPr>
          <w:p>
            <w:pPr>
              <w:ind w:left="300"/>
              <w:spacing w:after="0"/>
              <w:rPr>
                <w:sz w:val="20"/>
                <w:szCs w:val="20"/>
                <w:color w:val="auto"/>
              </w:rPr>
            </w:pPr>
            <w:r>
              <w:rPr>
                <w:rFonts w:ascii="Arial" w:cs="Arial" w:eastAsia="Arial" w:hAnsi="Arial"/>
                <w:sz w:val="14"/>
                <w:szCs w:val="14"/>
                <w:color w:val="auto"/>
              </w:rPr>
              <w:t>share)</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140" w:type="dxa"/>
            <w:vAlign w:val="bottom"/>
          </w:tcPr>
          <w:p>
            <w:pPr>
              <w:spacing w:after="0"/>
              <w:rPr>
                <w:sz w:val="15"/>
                <w:szCs w:val="15"/>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9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Total dilution to stockholder A (total NAV less total</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investment)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w:t>
            </w: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(900)</w:t>
            </w: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(5,000)</w:t>
            </w: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b w:val="1"/>
                <w:bCs w:val="1"/>
                <w:color w:val="auto"/>
              </w:rPr>
              <w:t>Per Share Amounts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NAV per share held by stockholder A</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9.98</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9.91</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940" w:type="dxa"/>
            <w:vAlign w:val="bottom"/>
          </w:tcPr>
          <w:p>
            <w:pPr>
              <w:ind w:left="300"/>
              <w:spacing w:after="0" w:line="130" w:lineRule="exact"/>
              <w:rPr>
                <w:sz w:val="20"/>
                <w:szCs w:val="20"/>
                <w:color w:val="auto"/>
              </w:rPr>
            </w:pPr>
            <w:r>
              <w:rPr>
                <w:rFonts w:ascii="Arial" w:cs="Arial" w:eastAsia="Arial" w:hAnsi="Arial"/>
                <w:sz w:val="14"/>
                <w:szCs w:val="14"/>
                <w:color w:val="auto"/>
                <w:w w:val="97"/>
              </w:rPr>
              <w:t>Investment per share held by stockholder A (assumed to be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940" w:type="dxa"/>
            <w:vAlign w:val="bottom"/>
          </w:tcPr>
          <w:p>
            <w:pPr>
              <w:ind w:left="300"/>
              <w:spacing w:after="0"/>
              <w:rPr>
                <w:sz w:val="20"/>
                <w:szCs w:val="20"/>
                <w:color w:val="auto"/>
              </w:rPr>
            </w:pPr>
            <w:r>
              <w:rPr>
                <w:rFonts w:ascii="Arial" w:cs="Arial" w:eastAsia="Arial" w:hAnsi="Arial"/>
                <w:sz w:val="14"/>
                <w:szCs w:val="14"/>
                <w:color w:val="auto"/>
              </w:rPr>
              <w:t>$10.00 per share on shares held prior to sale)</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5"/>
                <w:szCs w:val="15"/>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9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w w:val="96"/>
              </w:rPr>
              <w:t>Dilution per share held by stockholder A (NAV per share less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investment per share)</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(0.02)</w:t>
            </w: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(0.09)</w:t>
            </w: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(0.50)</w:t>
            </w: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940" w:type="dxa"/>
            <w:vAlign w:val="bottom"/>
          </w:tcPr>
          <w:p>
            <w:pPr>
              <w:ind w:left="300"/>
              <w:spacing w:after="0" w:line="130" w:lineRule="exact"/>
              <w:rPr>
                <w:sz w:val="20"/>
                <w:szCs w:val="20"/>
                <w:color w:val="auto"/>
              </w:rPr>
            </w:pPr>
            <w:r>
              <w:rPr>
                <w:rFonts w:ascii="Arial" w:cs="Arial" w:eastAsia="Arial" w:hAnsi="Arial"/>
                <w:sz w:val="14"/>
                <w:szCs w:val="14"/>
                <w:color w:val="auto"/>
              </w:rPr>
              <w:t>Percentage dilution to stockholder A (dilution per share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940" w:type="dxa"/>
            <w:vAlign w:val="bottom"/>
          </w:tcPr>
          <w:p>
            <w:pPr>
              <w:ind w:left="300"/>
              <w:spacing w:after="0"/>
              <w:rPr>
                <w:sz w:val="20"/>
                <w:szCs w:val="20"/>
                <w:color w:val="auto"/>
              </w:rPr>
            </w:pPr>
            <w:r>
              <w:rPr>
                <w:rFonts w:ascii="Arial" w:cs="Arial" w:eastAsia="Arial" w:hAnsi="Arial"/>
                <w:sz w:val="14"/>
                <w:szCs w:val="14"/>
                <w:color w:val="auto"/>
              </w:rPr>
              <w:t>divided by investment per share)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17"/>
                <w:szCs w:val="17"/>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(0.90)%</w:t>
            </w:r>
          </w:p>
        </w:tc>
        <w:tc>
          <w:tcPr>
            <w:tcW w:w="100" w:type="dxa"/>
            <w:vAlign w:val="bottom"/>
          </w:tcPr>
          <w:p>
            <w:pPr>
              <w:spacing w:after="0"/>
              <w:rPr>
                <w:sz w:val="17"/>
                <w:szCs w:val="17"/>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11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6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25% discount offering from the prior chart for stockholder A that acquires shares equal to (1) 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Prior to Sale</w:t>
            </w:r>
          </w:p>
        </w:tc>
        <w:tc>
          <w:tcPr>
            <w:tcW w:w="100" w:type="dxa"/>
            <w:vAlign w:val="bottom"/>
          </w:tcPr>
          <w:p>
            <w:pPr>
              <w:spacing w:after="0"/>
              <w:rPr>
                <w:sz w:val="14"/>
                <w:szCs w:val="14"/>
                <w:color w:val="auto"/>
              </w:rPr>
            </w:pPr>
          </w:p>
        </w:tc>
        <w:tc>
          <w:tcPr>
            <w:tcW w:w="22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50% Participation</w:t>
            </w:r>
          </w:p>
        </w:tc>
        <w:tc>
          <w:tcPr>
            <w:tcW w:w="120" w:type="dxa"/>
            <w:vAlign w:val="bottom"/>
          </w:tcPr>
          <w:p>
            <w:pPr>
              <w:spacing w:after="0"/>
              <w:rPr>
                <w:sz w:val="14"/>
                <w:szCs w:val="14"/>
                <w:color w:val="auto"/>
              </w:rPr>
            </w:pPr>
          </w:p>
        </w:tc>
        <w:tc>
          <w:tcPr>
            <w:tcW w:w="1880" w:type="dxa"/>
            <w:vAlign w:val="bottom"/>
            <w:gridSpan w:val="4"/>
          </w:tcPr>
          <w:p>
            <w:pPr>
              <w:ind w:left="24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8"/>
              </w:rPr>
              <w:t>Following</w:t>
            </w:r>
          </w:p>
        </w:tc>
        <w:tc>
          <w:tcPr>
            <w:tcW w:w="620" w:type="dxa"/>
            <w:vAlign w:val="bottom"/>
            <w:tcBorders>
              <w:top w:val="single" w:sz="8" w:color="auto"/>
            </w:tcBorders>
          </w:tcPr>
          <w:p>
            <w:pPr>
              <w:jc w:val="right"/>
              <w:ind w:right="148"/>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620" w:type="dxa"/>
            <w:vAlign w:val="bottom"/>
            <w:tcBorders>
              <w:top w:val="single" w:sz="8" w:color="auto"/>
            </w:tcBorders>
          </w:tcPr>
          <w:p>
            <w:pPr>
              <w:jc w:val="right"/>
              <w:ind w:right="168"/>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Below NAV</w:t>
            </w:r>
          </w:p>
        </w:tc>
        <w:tc>
          <w:tcPr>
            <w:tcW w:w="10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Sale</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Sale</w:t>
            </w: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Offering Price</w:t>
            </w: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tcPr>
          <w:p>
            <w:pPr>
              <w:spacing w:after="0"/>
              <w:rPr>
                <w:sz w:val="20"/>
                <w:szCs w:val="20"/>
                <w:color w:val="auto"/>
              </w:rPr>
            </w:pPr>
            <w:r>
              <w:rPr>
                <w:rFonts w:ascii="Arial" w:cs="Arial" w:eastAsia="Arial" w:hAnsi="Arial"/>
                <w:sz w:val="14"/>
                <w:szCs w:val="14"/>
                <w:color w:val="auto"/>
              </w:rPr>
              <w:t>Price per share to public</w:t>
            </w:r>
          </w:p>
        </w:tc>
        <w:tc>
          <w:tcPr>
            <w:tcW w:w="80" w:type="dxa"/>
            <w:vAlign w:val="bottom"/>
          </w:tcPr>
          <w:p>
            <w:pPr>
              <w:spacing w:after="0"/>
              <w:rPr>
                <w:sz w:val="15"/>
                <w:szCs w:val="15"/>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7.89</w:t>
            </w:r>
          </w:p>
        </w:tc>
        <w:tc>
          <w:tcPr>
            <w:tcW w:w="380" w:type="dxa"/>
            <w:vAlign w:val="bottom"/>
          </w:tcPr>
          <w:p>
            <w:pPr>
              <w:spacing w:after="0"/>
              <w:rPr>
                <w:sz w:val="15"/>
                <w:szCs w:val="15"/>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7.89</w:t>
            </w:r>
          </w:p>
        </w:tc>
        <w:tc>
          <w:tcPr>
            <w:tcW w:w="400" w:type="dxa"/>
            <w:vAlign w:val="bottom"/>
          </w:tcPr>
          <w:p>
            <w:pPr>
              <w:spacing w:after="0"/>
              <w:rPr>
                <w:sz w:val="15"/>
                <w:szCs w:val="15"/>
                <w:color w:val="auto"/>
              </w:rPr>
            </w:pPr>
          </w:p>
        </w:tc>
        <w:tc>
          <w:tcPr>
            <w:tcW w:w="70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proceeds per share to issuer</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7.50</w:t>
            </w: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7.50</w:t>
            </w:r>
          </w:p>
        </w:tc>
        <w:tc>
          <w:tcPr>
            <w:tcW w:w="4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tcPr>
          <w:p>
            <w:pPr>
              <w:spacing w:after="0"/>
              <w:rPr>
                <w:sz w:val="20"/>
                <w:szCs w:val="20"/>
                <w:color w:val="auto"/>
              </w:rPr>
            </w:pPr>
            <w:r>
              <w:rPr>
                <w:rFonts w:ascii="Arial" w:cs="Arial" w:eastAsia="Arial" w:hAnsi="Arial"/>
                <w:sz w:val="14"/>
                <w:szCs w:val="14"/>
                <w:b w:val="1"/>
                <w:bCs w:val="1"/>
                <w:i w:val="1"/>
                <w:iCs w:val="1"/>
                <w:color w:val="auto"/>
              </w:rPr>
              <w:t>Increases in Shares and Decrease to NAV</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shares outstanding</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1,000,000</w:t>
            </w: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1,250,000</w:t>
            </w: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25.00 %</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1,250,000</w:t>
            </w:r>
          </w:p>
        </w:tc>
        <w:tc>
          <w:tcPr>
            <w:tcW w:w="4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25.00 %</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tcPr>
          <w:p>
            <w:pPr>
              <w:spacing w:after="0"/>
              <w:rPr>
                <w:sz w:val="20"/>
                <w:szCs w:val="20"/>
                <w:color w:val="auto"/>
              </w:rPr>
            </w:pPr>
            <w:r>
              <w:rPr>
                <w:rFonts w:ascii="Arial" w:cs="Arial" w:eastAsia="Arial" w:hAnsi="Arial"/>
                <w:sz w:val="14"/>
                <w:szCs w:val="14"/>
                <w:color w:val="auto"/>
              </w:rPr>
              <w:t>NAV per share</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10.00</w:t>
            </w:r>
          </w:p>
        </w:tc>
        <w:tc>
          <w:tcPr>
            <w:tcW w:w="4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9.50</w:t>
            </w:r>
          </w:p>
        </w:tc>
        <w:tc>
          <w:tcPr>
            <w:tcW w:w="380" w:type="dxa"/>
            <w:vAlign w:val="bottom"/>
          </w:tcPr>
          <w:p>
            <w:pPr>
              <w:spacing w:after="0"/>
              <w:rPr>
                <w:sz w:val="15"/>
                <w:szCs w:val="15"/>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(5.00)%</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9.50</w:t>
            </w:r>
          </w:p>
        </w:tc>
        <w:tc>
          <w:tcPr>
            <w:tcW w:w="400" w:type="dxa"/>
            <w:vAlign w:val="bottom"/>
          </w:tcPr>
          <w:p>
            <w:pPr>
              <w:spacing w:after="0"/>
              <w:rPr>
                <w:sz w:val="15"/>
                <w:szCs w:val="15"/>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(Dilution)/Accretion to Participating Stockholder A</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tcPr>
          <w:p>
            <w:pPr>
              <w:spacing w:after="0"/>
              <w:rPr>
                <w:sz w:val="20"/>
                <w:szCs w:val="20"/>
                <w:color w:val="auto"/>
              </w:rPr>
            </w:pPr>
            <w:r>
              <w:rPr>
                <w:rFonts w:ascii="Arial" w:cs="Arial" w:eastAsia="Arial" w:hAnsi="Arial"/>
                <w:sz w:val="14"/>
                <w:szCs w:val="14"/>
                <w:color w:val="auto"/>
              </w:rPr>
              <w:t>Shares held by stockholder A</w:t>
            </w:r>
          </w:p>
        </w:tc>
        <w:tc>
          <w:tcPr>
            <w:tcW w:w="80" w:type="dxa"/>
            <w:vAlign w:val="bottom"/>
          </w:tcPr>
          <w:p>
            <w:pPr>
              <w:spacing w:after="0"/>
              <w:rPr>
                <w:sz w:val="15"/>
                <w:szCs w:val="15"/>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10,000</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11,250</w:t>
            </w:r>
          </w:p>
        </w:tc>
        <w:tc>
          <w:tcPr>
            <w:tcW w:w="380" w:type="dxa"/>
            <w:vAlign w:val="bottom"/>
          </w:tcPr>
          <w:p>
            <w:pPr>
              <w:spacing w:after="0"/>
              <w:rPr>
                <w:sz w:val="15"/>
                <w:szCs w:val="15"/>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12.50 %</w:t>
            </w:r>
          </w:p>
        </w:tc>
        <w:tc>
          <w:tcPr>
            <w:tcW w:w="120" w:type="dxa"/>
            <w:vAlign w:val="bottom"/>
          </w:tcPr>
          <w:p>
            <w:pPr>
              <w:spacing w:after="0"/>
              <w:rPr>
                <w:sz w:val="15"/>
                <w:szCs w:val="15"/>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13,750</w:t>
            </w:r>
          </w:p>
        </w:tc>
        <w:tc>
          <w:tcPr>
            <w:tcW w:w="400" w:type="dxa"/>
            <w:vAlign w:val="bottom"/>
          </w:tcPr>
          <w:p>
            <w:pPr>
              <w:spacing w:after="0"/>
              <w:rPr>
                <w:sz w:val="15"/>
                <w:szCs w:val="15"/>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37.50 %</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Percentage held by stockholder A</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0.90%</w:t>
            </w:r>
          </w:p>
        </w:tc>
        <w:tc>
          <w:tcPr>
            <w:tcW w:w="10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(10.00)%</w:t>
            </w: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1.10%</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780" w:type="dxa"/>
            <w:vAlign w:val="bottom"/>
          </w:tcPr>
          <w:p>
            <w:pPr>
              <w:spacing w:after="0"/>
              <w:rPr>
                <w:sz w:val="20"/>
                <w:szCs w:val="20"/>
                <w:color w:val="auto"/>
              </w:rPr>
            </w:pPr>
            <w:r>
              <w:rPr>
                <w:rFonts w:ascii="Arial" w:cs="Arial" w:eastAsia="Arial" w:hAnsi="Arial"/>
                <w:sz w:val="14"/>
                <w:szCs w:val="14"/>
                <w:b w:val="1"/>
                <w:bCs w:val="1"/>
                <w:color w:val="auto"/>
              </w:rPr>
              <w:t>Total Asset Values</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NAV held by stockholder A</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100,000</w:t>
            </w: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106,875</w:t>
            </w: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6.88 %</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130,625</w:t>
            </w:r>
          </w:p>
        </w:tc>
        <w:tc>
          <w:tcPr>
            <w:tcW w:w="4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30.63 %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780" w:type="dxa"/>
            <w:vAlign w:val="bottom"/>
          </w:tcPr>
          <w:p>
            <w:pPr>
              <w:ind w:left="280"/>
              <w:spacing w:after="0" w:line="130" w:lineRule="exact"/>
              <w:rPr>
                <w:sz w:val="20"/>
                <w:szCs w:val="20"/>
                <w:color w:val="auto"/>
              </w:rPr>
            </w:pPr>
            <w:r>
              <w:rPr>
                <w:rFonts w:ascii="Arial" w:cs="Arial" w:eastAsia="Arial" w:hAnsi="Arial"/>
                <w:sz w:val="14"/>
                <w:szCs w:val="14"/>
                <w:color w:val="auto"/>
              </w:rPr>
              <w:t>Total investment by stockholder A (assumed to be $10.00 per share on shares held prior</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80" w:type="dxa"/>
            <w:vAlign w:val="bottom"/>
          </w:tcPr>
          <w:p>
            <w:pPr>
              <w:ind w:left="280"/>
              <w:spacing w:after="0"/>
              <w:rPr>
                <w:sz w:val="20"/>
                <w:szCs w:val="20"/>
                <w:color w:val="auto"/>
              </w:rPr>
            </w:pPr>
            <w:r>
              <w:rPr>
                <w:rFonts w:ascii="Arial" w:cs="Arial" w:eastAsia="Arial" w:hAnsi="Arial"/>
                <w:sz w:val="14"/>
                <w:szCs w:val="14"/>
                <w:color w:val="auto"/>
              </w:rPr>
              <w:t>to sale)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4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109,863</w:t>
            </w:r>
          </w:p>
        </w:tc>
        <w:tc>
          <w:tcPr>
            <w:tcW w:w="38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9.86 %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129,588</w:t>
            </w:r>
          </w:p>
        </w:tc>
        <w:tc>
          <w:tcPr>
            <w:tcW w:w="40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29.59 %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(dilution)/accretion to stockholder A (total NAV less total investment)</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(2,988)</w:t>
            </w: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1,037</w:t>
            </w:r>
          </w:p>
        </w:tc>
        <w:tc>
          <w:tcPr>
            <w:tcW w:w="4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780" w:type="dxa"/>
            <w:vAlign w:val="bottom"/>
          </w:tcPr>
          <w:p>
            <w:pPr>
              <w:spacing w:after="0"/>
              <w:rPr>
                <w:sz w:val="20"/>
                <w:szCs w:val="20"/>
                <w:color w:val="auto"/>
              </w:rPr>
            </w:pPr>
            <w:r>
              <w:rPr>
                <w:rFonts w:ascii="Arial" w:cs="Arial" w:eastAsia="Arial" w:hAnsi="Arial"/>
                <w:sz w:val="14"/>
                <w:szCs w:val="14"/>
                <w:b w:val="1"/>
                <w:bCs w:val="1"/>
                <w:color w:val="auto"/>
              </w:rPr>
              <w:t>Per Share Amounts</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NAV per share held by stockholder A</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9.50</w:t>
            </w: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9.50</w:t>
            </w:r>
          </w:p>
        </w:tc>
        <w:tc>
          <w:tcPr>
            <w:tcW w:w="4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780" w:type="dxa"/>
            <w:vAlign w:val="bottom"/>
          </w:tcPr>
          <w:p>
            <w:pPr>
              <w:ind w:left="280"/>
              <w:spacing w:after="0" w:line="130" w:lineRule="exact"/>
              <w:rPr>
                <w:sz w:val="20"/>
                <w:szCs w:val="20"/>
                <w:color w:val="auto"/>
              </w:rPr>
            </w:pPr>
            <w:r>
              <w:rPr>
                <w:rFonts w:ascii="Arial" w:cs="Arial" w:eastAsia="Arial" w:hAnsi="Arial"/>
                <w:sz w:val="14"/>
                <w:szCs w:val="14"/>
                <w:color w:val="auto"/>
              </w:rPr>
              <w:t>Investment per share held by stockholder A (assumed to be $10.00 per share on shares</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80" w:type="dxa"/>
            <w:vAlign w:val="bottom"/>
          </w:tcPr>
          <w:p>
            <w:pPr>
              <w:ind w:left="280"/>
              <w:spacing w:after="0"/>
              <w:rPr>
                <w:sz w:val="20"/>
                <w:szCs w:val="20"/>
                <w:color w:val="auto"/>
              </w:rPr>
            </w:pPr>
            <w:r>
              <w:rPr>
                <w:rFonts w:ascii="Arial" w:cs="Arial" w:eastAsia="Arial" w:hAnsi="Arial"/>
                <w:sz w:val="14"/>
                <w:szCs w:val="14"/>
                <w:color w:val="auto"/>
              </w:rPr>
              <w:t>held prior to sale)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4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9.77</w:t>
            </w:r>
          </w:p>
        </w:tc>
        <w:tc>
          <w:tcPr>
            <w:tcW w:w="38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(2.30)%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9.42</w:t>
            </w:r>
          </w:p>
        </w:tc>
        <w:tc>
          <w:tcPr>
            <w:tcW w:w="40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78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(Dilution)/accretion per share held by stockholder A (NAV per share less investment per</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(0.27)</w:t>
            </w:r>
          </w:p>
        </w:tc>
        <w:tc>
          <w:tcPr>
            <w:tcW w:w="3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0.08</w:t>
            </w:r>
          </w:p>
        </w:tc>
        <w:tc>
          <w:tcPr>
            <w:tcW w:w="4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780" w:type="dxa"/>
            <w:vAlign w:val="bottom"/>
          </w:tcPr>
          <w:p>
            <w:pPr>
              <w:ind w:left="280"/>
              <w:spacing w:after="0" w:line="130" w:lineRule="exact"/>
              <w:rPr>
                <w:sz w:val="20"/>
                <w:szCs w:val="20"/>
                <w:color w:val="auto"/>
              </w:rPr>
            </w:pPr>
            <w:r>
              <w:rPr>
                <w:rFonts w:ascii="Arial" w:cs="Arial" w:eastAsia="Arial" w:hAnsi="Arial"/>
                <w:sz w:val="14"/>
                <w:szCs w:val="14"/>
                <w:color w:val="auto"/>
              </w:rPr>
              <w:t>Percentage (dilution)/accretion to stockholder A (dilution/accretion per share divided by</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Pr>
          <w:p>
            <w:pPr>
              <w:ind w:left="280"/>
              <w:spacing w:after="0"/>
              <w:rPr>
                <w:sz w:val="20"/>
                <w:szCs w:val="20"/>
                <w:color w:val="auto"/>
              </w:rPr>
            </w:pPr>
            <w:r>
              <w:rPr>
                <w:rFonts w:ascii="Arial" w:cs="Arial" w:eastAsia="Arial" w:hAnsi="Arial"/>
                <w:sz w:val="14"/>
                <w:szCs w:val="14"/>
                <w:color w:val="auto"/>
              </w:rPr>
              <w:t>investment per share)</w:t>
            </w:r>
          </w:p>
        </w:tc>
        <w:tc>
          <w:tcPr>
            <w:tcW w:w="80" w:type="dxa"/>
            <w:vAlign w:val="bottom"/>
          </w:tcPr>
          <w:p>
            <w:pPr>
              <w:spacing w:after="0"/>
              <w:rPr>
                <w:sz w:val="17"/>
                <w:szCs w:val="17"/>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17"/>
                <w:szCs w:val="17"/>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0.85%</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from NAV per share, although it is not possible to predict the level of market price decline that may occur. Actual sales prices and discounts may differ from the presentation below.</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250,000 shares (25% of the outstanding shares) at $7.50 per share after offering expenses and commissions (a 25% discount from NAV).</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92"/>
              </w:rPr>
              <w:t>Example 1</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left="448"/>
              <w:spacing w:after="0"/>
              <w:rPr>
                <w:sz w:val="20"/>
                <w:szCs w:val="20"/>
                <w:color w:val="auto"/>
              </w:rPr>
            </w:pPr>
            <w:r>
              <w:rPr>
                <w:rFonts w:ascii="Arial" w:cs="Arial" w:eastAsia="Arial" w:hAnsi="Arial"/>
                <w:sz w:val="14"/>
                <w:szCs w:val="14"/>
                <w:b w:val="1"/>
                <w:bCs w:val="1"/>
                <w:color w:val="auto"/>
                <w:w w:val="92"/>
              </w:rPr>
              <w:t>Example 2</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left="428"/>
              <w:spacing w:after="0"/>
              <w:rPr>
                <w:sz w:val="20"/>
                <w:szCs w:val="20"/>
                <w:color w:val="auto"/>
              </w:rPr>
            </w:pPr>
            <w:r>
              <w:rPr>
                <w:rFonts w:ascii="Arial" w:cs="Arial" w:eastAsia="Arial" w:hAnsi="Arial"/>
                <w:sz w:val="14"/>
                <w:szCs w:val="14"/>
                <w:b w:val="1"/>
                <w:bCs w:val="1"/>
                <w:color w:val="auto"/>
                <w:w w:val="95"/>
              </w:rPr>
              <w:t>Example 3</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left="408"/>
              <w:spacing w:after="0" w:line="149" w:lineRule="exact"/>
              <w:rPr>
                <w:sz w:val="20"/>
                <w:szCs w:val="20"/>
                <w:color w:val="auto"/>
              </w:rPr>
            </w:pPr>
            <w:r>
              <w:rPr>
                <w:rFonts w:ascii="Arial" w:cs="Arial" w:eastAsia="Arial" w:hAnsi="Arial"/>
                <w:sz w:val="14"/>
                <w:szCs w:val="14"/>
                <w:b w:val="1"/>
                <w:bCs w:val="1"/>
                <w:color w:val="auto"/>
                <w:w w:val="99"/>
              </w:rPr>
              <w:t>5% Offering</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0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9"/>
              </w:rPr>
              <w:t>Prior to Sale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at 5% Discount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at 10% Discount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rPr>
              <w:t>Following</w:t>
            </w:r>
          </w:p>
        </w:tc>
        <w:tc>
          <w:tcPr>
            <w:tcW w:w="560" w:type="dxa"/>
            <w:vAlign w:val="bottom"/>
            <w:tcBorders>
              <w:top w:val="single" w:sz="8" w:color="auto"/>
            </w:tcBorders>
          </w:tcPr>
          <w:p>
            <w:pPr>
              <w:jc w:val="right"/>
              <w:ind w:right="168"/>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8"/>
              </w:rPr>
              <w:t>Following</w:t>
            </w:r>
          </w:p>
        </w:tc>
        <w:tc>
          <w:tcPr>
            <w:tcW w:w="620" w:type="dxa"/>
            <w:vAlign w:val="bottom"/>
            <w:tcBorders>
              <w:top w:val="single" w:sz="8" w:color="auto"/>
            </w:tcBorders>
          </w:tcPr>
          <w:p>
            <w:pPr>
              <w:jc w:val="right"/>
              <w:ind w:right="168"/>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8"/>
              </w:rPr>
              <w:t>Following</w:t>
            </w:r>
          </w:p>
        </w:tc>
        <w:tc>
          <w:tcPr>
            <w:tcW w:w="620" w:type="dxa"/>
            <w:vAlign w:val="bottom"/>
            <w:tcBorders>
              <w:top w:val="single" w:sz="8" w:color="auto"/>
            </w:tcBorders>
          </w:tcPr>
          <w:p>
            <w:pPr>
              <w:ind w:left="240"/>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auto"/>
              </w:rPr>
              <w:t>Below NAV</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0"/>
              </w:rPr>
              <w:t>Sale</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Sale</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Sale</w:t>
            </w: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i w:val="1"/>
                <w:iCs w:val="1"/>
                <w:color w:val="auto"/>
              </w:rPr>
              <w:t>Offering Price</w:t>
            </w: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Price per share to public</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9.47</w:t>
            </w:r>
          </w:p>
        </w:tc>
        <w:tc>
          <w:tcPr>
            <w:tcW w:w="4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7.89</w:t>
            </w:r>
          </w:p>
        </w:tc>
        <w:tc>
          <w:tcPr>
            <w:tcW w:w="400" w:type="dxa"/>
            <w:vAlign w:val="bottom"/>
          </w:tcPr>
          <w:p>
            <w:pPr>
              <w:spacing w:after="0"/>
              <w:rPr>
                <w:sz w:val="14"/>
                <w:szCs w:val="14"/>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Net offering proceeds per share to issuer</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9.50</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9.00</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7.50</w:t>
            </w:r>
          </w:p>
        </w:tc>
        <w:tc>
          <w:tcPr>
            <w:tcW w:w="4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b w:val="1"/>
                <w:bCs w:val="1"/>
                <w:i w:val="1"/>
                <w:iCs w:val="1"/>
                <w:color w:val="auto"/>
              </w:rPr>
              <w:t>Decrease to NAV</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Total shares outstanding</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1,050,000</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5.00 %</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1,100,000</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10.00 %</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1,250,000</w:t>
            </w:r>
          </w:p>
        </w:tc>
        <w:tc>
          <w:tcPr>
            <w:tcW w:w="4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25.00 %</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NAV per share</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9.98</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(0.20)%</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9.91</w:t>
            </w:r>
          </w:p>
        </w:tc>
        <w:tc>
          <w:tcPr>
            <w:tcW w:w="4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(0.90)%</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9.50</w:t>
            </w:r>
          </w:p>
        </w:tc>
        <w:tc>
          <w:tcPr>
            <w:tcW w:w="40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Dilution to Stockholder A</w:t>
            </w: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Shares held by stockholder A</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4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2,500</w:t>
            </w:r>
          </w:p>
        </w:tc>
        <w:tc>
          <w:tcPr>
            <w:tcW w:w="400" w:type="dxa"/>
            <w:vAlign w:val="bottom"/>
          </w:tcPr>
          <w:p>
            <w:pPr>
              <w:spacing w:after="0"/>
              <w:rPr>
                <w:sz w:val="14"/>
                <w:szCs w:val="14"/>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Percentage held by stockholder A</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0.05%</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0.90%</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0.20%</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b w:val="1"/>
                <w:bCs w:val="1"/>
                <w:color w:val="auto"/>
              </w:rPr>
              <w:t>Total Asset Values</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NAV held by stockholder A</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4,990</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9,910</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23,750</w:t>
            </w:r>
          </w:p>
        </w:tc>
        <w:tc>
          <w:tcPr>
            <w:tcW w:w="4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20" w:type="dxa"/>
            <w:vAlign w:val="bottom"/>
          </w:tcPr>
          <w:p>
            <w:pPr>
              <w:ind w:left="300"/>
              <w:spacing w:after="0"/>
              <w:rPr>
                <w:sz w:val="20"/>
                <w:szCs w:val="20"/>
                <w:color w:val="auto"/>
              </w:rPr>
            </w:pPr>
            <w:r>
              <w:rPr>
                <w:rFonts w:ascii="Arial" w:cs="Arial" w:eastAsia="Arial" w:hAnsi="Arial"/>
                <w:sz w:val="14"/>
                <w:szCs w:val="14"/>
                <w:color w:val="auto"/>
              </w:rPr>
              <w:t>Total investment by stockholder A</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5,000</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9,470</w:t>
            </w:r>
          </w:p>
        </w:tc>
        <w:tc>
          <w:tcPr>
            <w:tcW w:w="4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19,725</w:t>
            </w:r>
          </w:p>
        </w:tc>
        <w:tc>
          <w:tcPr>
            <w:tcW w:w="400" w:type="dxa"/>
            <w:vAlign w:val="bottom"/>
          </w:tcPr>
          <w:p>
            <w:pPr>
              <w:spacing w:after="0"/>
              <w:rPr>
                <w:sz w:val="14"/>
                <w:szCs w:val="14"/>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42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Total dilution to stockholder A (total NAV less</w:t>
            </w: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investment)</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440</w:t>
            </w:r>
          </w:p>
        </w:tc>
        <w:tc>
          <w:tcPr>
            <w:tcW w:w="4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4,025</w:t>
            </w:r>
          </w:p>
        </w:tc>
        <w:tc>
          <w:tcPr>
            <w:tcW w:w="4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b w:val="1"/>
                <w:bCs w:val="1"/>
                <w:color w:val="auto"/>
              </w:rPr>
              <w:t>Per Share Amounts</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NAV per share held by stockholder A</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9.98</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9.91</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9.50</w:t>
            </w:r>
          </w:p>
        </w:tc>
        <w:tc>
          <w:tcPr>
            <w:tcW w:w="4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20" w:type="dxa"/>
            <w:vAlign w:val="bottom"/>
          </w:tcPr>
          <w:p>
            <w:pPr>
              <w:ind w:left="300"/>
              <w:spacing w:after="0"/>
              <w:rPr>
                <w:sz w:val="20"/>
                <w:szCs w:val="20"/>
                <w:color w:val="auto"/>
              </w:rPr>
            </w:pPr>
            <w:r>
              <w:rPr>
                <w:rFonts w:ascii="Arial" w:cs="Arial" w:eastAsia="Arial" w:hAnsi="Arial"/>
                <w:sz w:val="14"/>
                <w:szCs w:val="14"/>
                <w:color w:val="auto"/>
              </w:rPr>
              <w:t>Investment per share held by stockholder A</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9.47</w:t>
            </w:r>
          </w:p>
        </w:tc>
        <w:tc>
          <w:tcPr>
            <w:tcW w:w="4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7.89</w:t>
            </w:r>
          </w:p>
        </w:tc>
        <w:tc>
          <w:tcPr>
            <w:tcW w:w="400" w:type="dxa"/>
            <w:vAlign w:val="bottom"/>
          </w:tcPr>
          <w:p>
            <w:pPr>
              <w:spacing w:after="0"/>
              <w:rPr>
                <w:sz w:val="14"/>
                <w:szCs w:val="14"/>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42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Dilution per share held by stockholder A (NAV</w:t>
            </w: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per share less investment per share)</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0.44</w:t>
            </w:r>
          </w:p>
        </w:tc>
        <w:tc>
          <w:tcPr>
            <w:tcW w:w="4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w:t>
            </w:r>
          </w:p>
        </w:tc>
        <w:tc>
          <w:tcPr>
            <w:tcW w:w="4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420" w:type="dxa"/>
            <w:vAlign w:val="bottom"/>
          </w:tcPr>
          <w:p>
            <w:pPr>
              <w:ind w:left="300"/>
              <w:spacing w:after="0" w:line="130" w:lineRule="exact"/>
              <w:rPr>
                <w:sz w:val="20"/>
                <w:szCs w:val="20"/>
                <w:color w:val="auto"/>
              </w:rPr>
            </w:pPr>
            <w:r>
              <w:rPr>
                <w:rFonts w:ascii="Arial" w:cs="Arial" w:eastAsia="Arial" w:hAnsi="Arial"/>
                <w:sz w:val="14"/>
                <w:szCs w:val="14"/>
                <w:color w:val="auto"/>
              </w:rPr>
              <w:t>Percentage dilution to stockholder A (dilution</w:t>
            </w: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420" w:type="dxa"/>
            <w:vAlign w:val="bottom"/>
          </w:tcPr>
          <w:p>
            <w:pPr>
              <w:ind w:left="300"/>
              <w:spacing w:after="0"/>
              <w:rPr>
                <w:sz w:val="20"/>
                <w:szCs w:val="20"/>
                <w:color w:val="auto"/>
              </w:rPr>
            </w:pPr>
            <w:r>
              <w:rPr>
                <w:rFonts w:ascii="Arial" w:cs="Arial" w:eastAsia="Arial" w:hAnsi="Arial"/>
                <w:sz w:val="14"/>
                <w:szCs w:val="14"/>
                <w:color w:val="auto"/>
              </w:rPr>
              <w:t>per share divided by investment per share)</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(0.20)%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4.65 %</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October 1, 2008:</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Record Dates</w:t>
            </w:r>
          </w:p>
        </w:tc>
        <w:tc>
          <w:tcPr>
            <w:tcW w:w="3520" w:type="dxa"/>
            <w:vAlign w:val="bottom"/>
            <w:gridSpan w:val="3"/>
            <w:vMerge w:val="restart"/>
          </w:tcPr>
          <w:p>
            <w:pPr>
              <w:jc w:val="right"/>
              <w:ind w:right="1000"/>
              <w:spacing w:after="0"/>
              <w:rPr>
                <w:sz w:val="20"/>
                <w:szCs w:val="20"/>
                <w:color w:val="auto"/>
              </w:rPr>
            </w:pPr>
            <w:r>
              <w:rPr>
                <w:rFonts w:ascii="Arial" w:cs="Arial" w:eastAsia="Arial" w:hAnsi="Arial"/>
                <w:sz w:val="14"/>
                <w:szCs w:val="14"/>
                <w:b w:val="1"/>
                <w:bCs w:val="1"/>
                <w:color w:val="auto"/>
              </w:rPr>
              <w:t>Payment Dates</w:t>
            </w:r>
          </w:p>
        </w:tc>
        <w:tc>
          <w:tcPr>
            <w:tcW w:w="18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Distributions</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35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96"/>
        </w:trPr>
        <w:tc>
          <w:tcPr>
            <w:tcW w:w="8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6"/>
              </w:rPr>
              <w:t>Fiscal Year</w:t>
            </w:r>
          </w:p>
        </w:tc>
        <w:tc>
          <w:tcPr>
            <w:tcW w:w="3780" w:type="dxa"/>
            <w:vAlign w:val="bottom"/>
            <w:tcBorders>
              <w:top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b w:val="1"/>
                <w:bCs w:val="1"/>
                <w:color w:val="auto"/>
              </w:rPr>
              <w:t>Ending September 30, 2014</w:t>
            </w:r>
          </w:p>
        </w:tc>
        <w:tc>
          <w:tcPr>
            <w:tcW w:w="16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December 20, 2013</w:t>
            </w:r>
          </w:p>
        </w:tc>
        <w:tc>
          <w:tcPr>
            <w:tcW w:w="1600" w:type="dxa"/>
            <w:vAlign w:val="bottom"/>
          </w:tcPr>
          <w:p>
            <w:pPr>
              <w:spacing w:after="0"/>
              <w:rPr>
                <w:sz w:val="20"/>
                <w:szCs w:val="20"/>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January 2, 2014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53"/>
        </w:trPr>
        <w:tc>
          <w:tcPr>
            <w:tcW w:w="84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2013</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September 20, 2013</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October 1, 2013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 21, 2013</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July 1, 2013</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March 22, 2013</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April 1, 2013</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21, 2012</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January 2, 2013</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24"/>
        </w:trPr>
        <w:tc>
          <w:tcPr>
            <w:tcW w:w="46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4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2012</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September 20, 2012</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October 1, 2012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 21, 2012</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July 2, 2012</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March 22, 2012</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April 2, 2012</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23, 2011</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January 3, 2012</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24"/>
        </w:trPr>
        <w:tc>
          <w:tcPr>
            <w:tcW w:w="462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4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2011</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September 23, 2011</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October 3, 2011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 20, 2011</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July 1, 2011</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March 15, 2011</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April 1, 2011</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17, 2010</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January 3, 2011</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24"/>
        </w:trPr>
        <w:tc>
          <w:tcPr>
            <w:tcW w:w="462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4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2010</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September 14, 2010</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October 1, 2010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 24, 2010</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July 1, 2010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March 25, 2010</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April 1, 2010</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24, 2009</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January 4, 2010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4"/>
        </w:trPr>
        <w:tc>
          <w:tcPr>
            <w:tcW w:w="462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4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September 8, 2009</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October 1, 2009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 24, 2009</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July 1, 2009</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March 25, 2009</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April 1, 2009</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23, 2008</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January 4, 2009</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4"/>
        </w:trPr>
        <w:tc>
          <w:tcPr>
            <w:tcW w:w="462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 Form 1099-DIV will be sent to stockholders that will state the amount and composition of distributions and provide information with respect to appropriate tax treatment of our distributions.</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ratio for borrowings when applicable to us as a BDC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of Unregistered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did not engage in any sales of unregistered securities during the fiscal years ended September 30, 2013, 2012 and 2011, respectively.</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121"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14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 regions.</w:t>
      </w:r>
    </w:p>
    <w:p>
      <w:pPr>
        <w:spacing w:after="0" w:line="17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PennantPark Investment Corporation was organized under the Maryland General Corporation Law in January 2007. We are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federal income tax purposes we have elected to be treated, and intend to qualify annually as a RIC under the Code.</w:t>
      </w:r>
    </w:p>
    <w:p>
      <w:pPr>
        <w:spacing w:after="0" w:line="70" w:lineRule="exact"/>
        <w:rPr>
          <w:sz w:val="20"/>
          <w:szCs w:val="20"/>
          <w:color w:val="auto"/>
        </w:rPr>
      </w:pPr>
    </w:p>
    <w:p>
      <w:pPr>
        <w:ind w:right="420" w:firstLine="456"/>
        <w:spacing w:after="0" w:line="279" w:lineRule="auto"/>
        <w:rPr>
          <w:sz w:val="20"/>
          <w:szCs w:val="20"/>
          <w:color w:val="auto"/>
        </w:rPr>
      </w:pPr>
      <w:r>
        <w:rPr>
          <w:rFonts w:ascii="Arial" w:cs="Arial" w:eastAsia="Arial" w:hAnsi="Arial"/>
          <w:sz w:val="17"/>
          <w:szCs w:val="17"/>
          <w:color w:val="auto"/>
        </w:rPr>
        <w:t>Our wholly owned subsidiaries, SBIC LP and SBIC II, were organized as Delaware limited partnerships in May 2010 and July 2012, respectively. SBIC LP and SBIC II received licenses from the SBA to operate as SBICs, under Section 301(c) of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$1.8 billion in debt and equity capital and has invested approximately $3.0 billion in almost 300 companies with 125 different financial sponsors through its managed funds.</w:t>
      </w:r>
    </w:p>
    <w:p>
      <w:pPr>
        <w:spacing w:after="0" w:line="18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w:t>
      </w:r>
    </w:p>
    <w:p>
      <w:pPr>
        <w:spacing w:after="0" w:line="72" w:lineRule="exact"/>
        <w:rPr>
          <w:sz w:val="20"/>
          <w:szCs w:val="20"/>
          <w:color w:val="auto"/>
        </w:rPr>
      </w:pPr>
    </w:p>
    <w:p>
      <w:pPr>
        <w:ind w:left="900" w:hanging="325"/>
        <w:spacing w:after="0" w:line="261"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 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85" w:lineRule="exact"/>
        <w:rPr>
          <w:rFonts w:ascii="Arial" w:cs="Arial" w:eastAsia="Arial" w:hAnsi="Arial"/>
          <w:sz w:val="18"/>
          <w:szCs w:val="18"/>
          <w:color w:val="auto"/>
        </w:rPr>
      </w:pPr>
    </w:p>
    <w:p>
      <w:pPr>
        <w:ind w:left="900" w:right="220" w:hanging="325"/>
        <w:spacing w:after="0" w:line="266"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From time to time, banks, finance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hedge funds and CLO funds have, and may again, withdraw capital from the middle-market, resulting in opportunities for alternative funding sources.</w:t>
      </w:r>
    </w:p>
    <w:p>
      <w:pPr>
        <w:spacing w:after="0" w:line="81" w:lineRule="exact"/>
        <w:rPr>
          <w:rFonts w:ascii="Arial" w:cs="Arial" w:eastAsia="Arial" w:hAnsi="Arial"/>
          <w:sz w:val="18"/>
          <w:szCs w:val="18"/>
          <w:color w:val="auto"/>
        </w:rPr>
      </w:pPr>
    </w:p>
    <w:p>
      <w:pPr>
        <w:ind w:left="900" w:right="40" w:hanging="325"/>
        <w:spacing w:after="0" w:line="289"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that the current credit market dislocation for middle-market companies improves the risk-adjusted returns of our investments. </w:t>
      </w:r>
      <w:r>
        <w:rPr>
          <w:rFonts w:ascii="Arial" w:cs="Arial" w:eastAsia="Arial" w:hAnsi="Arial"/>
          <w:sz w:val="17"/>
          <w:szCs w:val="17"/>
          <w:color w:val="auto"/>
        </w:rPr>
        <w:t>In the current credit environment, market participants have reduced lending to middle-market and non-investment grade borrowers.</w:t>
      </w:r>
      <w:r>
        <w:rPr>
          <w:rFonts w:ascii="Arial" w:cs="Arial" w:eastAsia="Arial" w:hAnsi="Arial"/>
          <w:sz w:val="17"/>
          <w:szCs w:val="17"/>
          <w:b w:val="1"/>
          <w:bCs w:val="1"/>
          <w:color w:val="auto"/>
        </w:rPr>
        <w:t xml:space="preserve"> </w:t>
      </w:r>
      <w:r>
        <w:rPr>
          <w:rFonts w:ascii="Arial" w:cs="Arial" w:eastAsia="Arial" w:hAnsi="Arial"/>
          <w:sz w:val="17"/>
          <w:szCs w:val="17"/>
          <w:color w:val="auto"/>
        </w:rPr>
        <w:t>As a result, there is less competition in our market, more conservative capital structures, higher yields and stronger covenants.</w:t>
      </w:r>
    </w:p>
    <w:p>
      <w:pPr>
        <w:spacing w:after="0" w:line="63" w:lineRule="exact"/>
        <w:rPr>
          <w:rFonts w:ascii="Arial" w:cs="Arial" w:eastAsia="Arial" w:hAnsi="Arial"/>
          <w:sz w:val="17"/>
          <w:szCs w:val="17"/>
          <w:color w:val="auto"/>
        </w:rPr>
      </w:pPr>
    </w:p>
    <w:p>
      <w:pPr>
        <w:ind w:left="900" w:right="120" w:hanging="325"/>
        <w:spacing w:after="0" w:line="277"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7"/>
          <w:szCs w:val="17"/>
          <w:color w:val="auto"/>
        </w:rPr>
        <w:t>We expect that private equity firms will continue to be active investors in middle-market companies. These</w:t>
      </w:r>
      <w:r>
        <w:rPr>
          <w:rFonts w:ascii="Arial" w:cs="Arial" w:eastAsia="Arial" w:hAnsi="Arial"/>
          <w:sz w:val="17"/>
          <w:szCs w:val="17"/>
          <w:b w:val="1"/>
          <w:bCs w:val="1"/>
          <w:color w:val="auto"/>
        </w:rPr>
        <w:t xml:space="preserve"> </w:t>
      </w:r>
      <w:r>
        <w:rPr>
          <w:rFonts w:ascii="Arial" w:cs="Arial" w:eastAsia="Arial" w:hAnsi="Arial"/>
          <w:sz w:val="17"/>
          <w:szCs w:val="17"/>
          <w:color w:val="auto"/>
        </w:rPr>
        <w:t>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73"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there is a substantial supply of opportunities. </w:t>
      </w:r>
      <w:r>
        <w:rPr>
          <w:rFonts w:ascii="Arial" w:cs="Arial" w:eastAsia="Arial" w:hAnsi="Arial"/>
          <w:sz w:val="17"/>
          <w:szCs w:val="17"/>
          <w:color w:val="auto"/>
        </w:rPr>
        <w:t>A high volume of financings will come due in the next few years. Additionally, we</w:t>
      </w:r>
      <w:r>
        <w:rPr>
          <w:rFonts w:ascii="Arial" w:cs="Arial" w:eastAsia="Arial" w:hAnsi="Arial"/>
          <w:sz w:val="17"/>
          <w:szCs w:val="17"/>
          <w:b w:val="1"/>
          <w:bCs w:val="1"/>
          <w:color w:val="auto"/>
        </w:rPr>
        <w:t xml:space="preserve"> </w:t>
      </w:r>
      <w:r>
        <w:rPr>
          <w:rFonts w:ascii="Arial" w:cs="Arial" w:eastAsia="Arial" w:hAnsi="Arial"/>
          <w:sz w:val="17"/>
          <w:szCs w:val="17"/>
          <w:color w:val="auto"/>
        </w:rPr>
        <w:t>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the reduced supply of credit described above should increase lending opportunities for us. We believe this supply of opportunities coupled with lack of demand offers attractive risk-adjusted returns to investors.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Advantages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131"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Experienced Management Team</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senior investment professionals of our Investment Adviser have worked together for many years and average over 25 years of experience in mezzanine lending, leveraged finance, distressed debt and private equity businesses. These senior investment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Lending to middle-market companies requires deep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and underwriting capabilities, and more extensive ongoing monitoring are required by the lender.</w:t>
      </w:r>
    </w:p>
    <w:p>
      <w:pPr>
        <w:spacing w:after="0" w:line="214"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Disciplined Investment Approach with Strong Value Orientation</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We employ a disciplined approach in selecting investments that meet the long-standing, consistent value-oriented investment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5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for more information.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131" w:lineRule="exact"/>
        <w:rPr>
          <w:sz w:val="20"/>
          <w:szCs w:val="20"/>
          <w:color w:val="auto"/>
        </w:rPr>
      </w:pPr>
    </w:p>
    <w:p>
      <w:pPr>
        <w:ind w:left="900" w:hanging="325"/>
        <w:spacing w:after="0"/>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Ability to Source and Evaluate Transactions through our Investment Adviser’s Research Capability and Established Network</w:t>
      </w:r>
    </w:p>
    <w:p>
      <w:pPr>
        <w:spacing w:after="0" w:line="1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Flexible Transaction Structuring</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58" w:lineRule="exact"/>
        <w:rPr>
          <w:sz w:val="20"/>
          <w:szCs w:val="20"/>
          <w:color w:val="auto"/>
        </w:rPr>
      </w:pPr>
    </w:p>
    <w:p>
      <w:pPr>
        <w:jc w:val="both"/>
        <w:ind w:right="160" w:firstLine="456"/>
        <w:spacing w:after="0" w:line="297"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maintain a multi-currency $430.0 million Credit Facility which matures in February 2016 and is secured by substantially all of our investment portfolio assets (excluding the assets of our SBIC Funds), under which we had $145.5 million (including a $28.0 million temporary draw) and $145.0 million (including a $35.5 million temporary draw) of debt outstanding with a weighted average interest rate of 3.33% and 3.49% as of September 30, 2013 and 2012, respectively. Pricing of borrowings under our current Credit Facility is set at 275 basis points over LIBOR. As of September 30, 2013 and 2012, we had $284.5 million and $235.0 million, respectively, available to us under our Credit Facility. We believe that our capital resources will provide us with the flexibility to take advantage of market opportunities when they arise. Our use of leverage, as calculated under the asset coverage requirements of the 1940 Act, may generally range between 60% to 80% of our net assets.</w:t>
      </w:r>
    </w:p>
    <w:p>
      <w:pPr>
        <w:spacing w:after="0" w:line="18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As of September 30, 2013 and 2012, SBIC LP had drawn $150.0 million in SBA debentures, with a weighted average interest rate of 3.70%, exclusive of 3.43% of upfront fees (4.04% inclusive of the upfront fees), and had no remaining borrowing capacity.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SBIC LP and have a priority claim over such assets relative to all other creditors. See “Regulation” for more information.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January 2013, we issued $71.3 million in aggregate principal amount of 2025 Notes. Interest on the 2025 Notes accrues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60"/>
          </w:cols>
          <w:pgMar w:left="240" w:top="459" w:right="3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POLICIES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Investment Policy Overview</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seek to create a diversified portfolio that includes senior secured loans, mezzanine debt and equity by targeting an investment size of $10 million to $50 million in securities, on average,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64"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Over time, we expect that our portfolio will continue to consist primarily of senior secured loans, mezzanine debt and, to a lesser extent, equity investments in qualifying assets such as private or thinly traded or small market-capitalization, U.S. middle market public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Selection Criteria” for more information.</w:t>
      </w:r>
    </w:p>
    <w:p>
      <w:pPr>
        <w:spacing w:after="0" w:line="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of changes to our operating policies and strategies may adversely affect our business, our ability to make distributions and the value of our stock.</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Senior Secured Debt</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Structurally, senior secured debt (which we define to include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Mezzanine Debt</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Structurally, mezzanine debt (which we define to include second lien secured debt and subordinated debt) usually ranks subordinate in priority of payment to senior secured loans. Our second lien secured debt is subordinated debt that benefits from a security interest in the borrower. As such, other creditors may rank senior to us in the event of insolvency. Mezzanine debt ranks senior to common and preferred equity in borrowers’ capital structures. Due to its higher risk profile and often less restrictive covenants as compared to senior secured loans, mezzanine debt generally earns a higher return than senior secured loans. In many cases mezzanine investors receive opportunities to invest directly in the equity securities of borrowers and from time to time may also receive warrants to purchase equity securities. We evaluate these investment opportunities on a case-by-case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are committed to a value-oriented philosophy used by the senior investment professionals who manage our portfolio and seek to minimize the risk of capital loss without foregoing potential for capital appreciation.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efficiently and effectively.</w:t>
      </w:r>
    </w:p>
    <w:p>
      <w:pPr>
        <w:spacing w:after="0" w:line="214"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Leading and defensible competitive market positions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also seeks portfolio companies that it believes possess competitive advantages in scale, scope, customer loyalty, product pricing or product quality as compared to their competitors to protect their market position.</w:t>
      </w:r>
    </w:p>
    <w:p>
      <w:pPr>
        <w:spacing w:after="0" w:line="214"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stable borrowers with positive cash flow</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Our investment philosophy places a premium on fundamental analysis and has a distinct value-orientation. 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200"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Proven management teams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208"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sponsorship</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Investment Adviser may seek to cause us to participate in transactions sponsored by what it believes to be high-quality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ability, and a strong incentive, to contribute additional capital in difficult economic times should financial or operational issues arise so as to maintain their ownership position.</w:t>
      </w:r>
    </w:p>
    <w:p>
      <w:pPr>
        <w:spacing w:after="0" w:line="181"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 in different borrowers and industries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Investment Adviser seeks to invest our assets broadly among portfolio companies and across industries. The Investment Adviser believes that this diversified approach may reduce the risk that a downturn in any one portfolio company or industry will have a disproportionate impact on the value of our portfolio.</w:t>
      </w:r>
    </w:p>
    <w:p>
      <w:pPr>
        <w:spacing w:after="0" w:line="208"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Viable exit strategy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Investment Adviser seeks to invest in portfolio companies that we believe will provide a steady stream of cash flow to repay our loans while also reinvesting in their respective businesses. We expect that such internally generated cash flow, leading to the payment of interest on, and the repayment of the principal of, our investments in portfolio companies to be a key means by which we will exit from our investments over time. In addition, we also seek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Due Diligence</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131"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 of loan documents;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background checks.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70"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Upon the completion of due diligence and a decision to proceed with an investment in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Investment Adviser monitors credit risk of each portfolio company regularly and periodically with a goal toward identifying early, and when able and appropriate, exiting other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8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Typically, our mezzanine debt has maturities of three to ten years. Mezzanine debt may have interest-only payments in the early years with cash or PIK payments with amortization of principal deferred to the later years. In some cases, we may invest in debt securities that, by their terms, convert into equity or additional debt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securities or defers payment of interest for the first few years after our investment. Also, in some cases our mezzanine debt may be collateralized by a subordinated lien on some or all of the assets of the borrower.</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92" w:lineRule="exact"/>
        <w:rPr>
          <w:sz w:val="20"/>
          <w:szCs w:val="20"/>
          <w:color w:val="auto"/>
        </w:rPr>
      </w:pPr>
    </w:p>
    <w:p>
      <w:pPr>
        <w:ind w:left="900" w:right="200" w:hanging="67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requiring a total return on our investments (including both interest in the form of a floor and potential equity appreciation) that compensates us for credit risk;</w:t>
      </w:r>
    </w:p>
    <w:p>
      <w:pPr>
        <w:spacing w:after="0" w:line="75" w:lineRule="exact"/>
        <w:rPr>
          <w:rFonts w:ascii="Arial" w:cs="Arial" w:eastAsia="Arial" w:hAnsi="Arial"/>
          <w:sz w:val="18"/>
          <w:szCs w:val="18"/>
          <w:color w:val="auto"/>
        </w:rPr>
      </w:pPr>
    </w:p>
    <w:p>
      <w:pPr>
        <w:ind w:left="900" w:hanging="67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130" w:lineRule="exact"/>
        <w:rPr>
          <w:rFonts w:ascii="Arial" w:cs="Arial" w:eastAsia="Arial" w:hAnsi="Arial"/>
          <w:sz w:val="18"/>
          <w:szCs w:val="18"/>
          <w:color w:val="auto"/>
        </w:rPr>
      </w:pPr>
    </w:p>
    <w:p>
      <w:pPr>
        <w:jc w:val="both"/>
        <w:ind w:left="900" w:right="40" w:hanging="676"/>
        <w:spacing w:after="0" w:line="286"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16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93"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We expect to hold most of our investments to maturity or repayment, but we may sell certain investments earlier if a liquidity event takes place, such as the sale or refinancing of a portfolio company. We also may turn over investments to better position the portfolio in light of market conditions.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Monitoring</w:t>
      </w:r>
    </w:p>
    <w:p>
      <w:pPr>
        <w:spacing w:after="0" w:line="11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The Investment Adviser monitors our portfolio companies on an ongoing basis. The Investment Adviser also monitors the financial trends of each portfolio company to determine if it is meeting its business plan and to assess the appropriate course of action for each portfolio company.</w:t>
      </w:r>
    </w:p>
    <w:p>
      <w:pPr>
        <w:spacing w:after="0" w:line="3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76" w:lineRule="exact"/>
        <w:rPr>
          <w:sz w:val="20"/>
          <w:szCs w:val="20"/>
          <w:color w:val="auto"/>
        </w:rPr>
      </w:pPr>
    </w:p>
    <w:p>
      <w:pPr>
        <w:ind w:left="900" w:hanging="67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130" w:lineRule="exact"/>
        <w:rPr>
          <w:rFonts w:ascii="Arial" w:cs="Arial" w:eastAsia="Arial" w:hAnsi="Arial"/>
          <w:sz w:val="18"/>
          <w:szCs w:val="18"/>
          <w:color w:val="auto"/>
        </w:rPr>
      </w:pPr>
    </w:p>
    <w:p>
      <w:pPr>
        <w:ind w:left="900" w:right="480" w:hanging="67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67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130" w:lineRule="exact"/>
        <w:rPr>
          <w:rFonts w:ascii="Arial" w:cs="Arial" w:eastAsia="Arial" w:hAnsi="Arial"/>
          <w:sz w:val="18"/>
          <w:szCs w:val="18"/>
          <w:color w:val="auto"/>
        </w:rPr>
      </w:pPr>
    </w:p>
    <w:p>
      <w:pPr>
        <w:ind w:left="900" w:hanging="67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130" w:lineRule="exact"/>
        <w:rPr>
          <w:rFonts w:ascii="Arial" w:cs="Arial" w:eastAsia="Arial" w:hAnsi="Arial"/>
          <w:sz w:val="18"/>
          <w:szCs w:val="18"/>
          <w:color w:val="auto"/>
        </w:rPr>
      </w:pPr>
    </w:p>
    <w:p>
      <w:pPr>
        <w:ind w:left="900" w:hanging="67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Managerial assistance</w:t>
      </w:r>
    </w:p>
    <w:p>
      <w:pPr>
        <w:spacing w:after="0" w:line="11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offer managerial assistance to our portfolio companies. As a BDC, we are required to make available such managerial assistance within the meaning of Section 55 of the 1940 Act. See “Regulation” for more information.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Staffing</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do not currently have any employees. Our Investment Adviser and Administrator have hired and expect to continue to hire professionals with skills applicable to our business plan, including experience in middle-market investing, mezzanine lending, leveraged finance, distressed debt and private equity businesses.</w:t>
      </w:r>
    </w:p>
    <w:p>
      <w:pPr>
        <w:spacing w:after="0" w:line="28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Our Consolidated Portfolio</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principal investment focus is to provide senior secured loans and mezzanine debt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Aerospace and Defense</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Environmental Services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Auto Sector</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Financial Services</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   Beverage, Food and Tobacco</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Grocery</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Broadcasting and Entertainment</w:t>
            </w: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   Healthcare, Education and Childcare</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   Buildings and Real Estate</w:t>
            </w: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   Home &amp; Office Furnishings, Housewares &amp;</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Business Services</w:t>
            </w:r>
          </w:p>
        </w:tc>
        <w:tc>
          <w:tcPr>
            <w:tcW w:w="54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Durable Consumer Products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Cable Television</w:t>
            </w: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   Hotels, Motels, Inns and Gaming</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Cargo Transportation</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Insurance</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   Chemicals, Plastics and Rubber</w:t>
            </w: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w w:val="94"/>
              </w:rPr>
              <w:t>•   Leisure, Amusement, Motion Picture, Entertainment</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Communications</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Logistics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Consumer Products</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Manufacturing/Basic Industries</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   Containers Packaging &amp; Glass</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Media</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Distribution</w:t>
            </w: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   Mining, Steel, Iron and Non-Precious Metals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Diversified/Conglomerate Manufacturing</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Oil and Gas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Diversified/Conglomerate Services</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Other Media</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w w:val="99"/>
              </w:rPr>
              <w:t>•   Diversified Natural Resources, Precious Metals and Minerals</w:t>
            </w: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   Personal, Food and Miscellaneous Services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Education</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Printing and Publishing</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Electronics</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Retail Stores</w:t>
            </w:r>
          </w:p>
        </w:tc>
      </w:t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Energy/Utilities</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Telecommunications</w:t>
            </w:r>
          </w:p>
        </w:tc>
      </w:tr>
    </w:tbl>
    <w:p>
      <w:pPr>
        <w:spacing w:after="0" w:line="37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equivalents) as of September 30: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Portfolio Company</w:t>
            </w:r>
          </w:p>
        </w:tc>
        <w:tc>
          <w:tcPr>
            <w:tcW w:w="342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4"/>
              </w:rPr>
              <w:t>2013</w:t>
            </w:r>
          </w:p>
        </w:tc>
        <w:tc>
          <w:tcPr>
            <w:tcW w:w="3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Portfolio Company</w:t>
            </w:r>
          </w:p>
        </w:tc>
        <w:tc>
          <w:tcPr>
            <w:tcW w:w="26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Pre-Paid Legal Services, Inc.</w:t>
            </w: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Last Mile Funding, Corp. (3 PD, Inc.)</w:t>
            </w:r>
          </w:p>
        </w:tc>
        <w:tc>
          <w:tcPr>
            <w:tcW w:w="8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gridSpan w:val="2"/>
            <w:vMerge w:val="continue"/>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w:t>
            </w:r>
          </w:p>
        </w:tc>
        <w:tc>
          <w:tcPr>
            <w:tcW w:w="300" w:type="dxa"/>
            <w:vAlign w:val="bottom"/>
            <w:vMerge w:val="continue"/>
          </w:tcPr>
          <w:p>
            <w:pPr>
              <w:spacing w:after="0"/>
              <w:rPr>
                <w:sz w:val="17"/>
                <w:szCs w:val="17"/>
                <w:color w:val="auto"/>
              </w:rPr>
            </w:pPr>
          </w:p>
        </w:tc>
        <w:tc>
          <w:tcPr>
            <w:tcW w:w="416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49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Magnum Hunter Resources Corporation</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160" w:type="dxa"/>
            <w:vAlign w:val="bottom"/>
            <w:gridSpan w:val="2"/>
          </w:tcPr>
          <w:p>
            <w:pPr>
              <w:spacing w:after="0" w:line="201" w:lineRule="exact"/>
              <w:rPr>
                <w:sz w:val="20"/>
                <w:szCs w:val="20"/>
                <w:color w:val="auto"/>
              </w:rPr>
            </w:pPr>
            <w:r>
              <w:rPr>
                <w:rFonts w:ascii="Arial" w:cs="Arial" w:eastAsia="Arial" w:hAnsi="Arial"/>
                <w:sz w:val="18"/>
                <w:szCs w:val="18"/>
                <w:color w:val="auto"/>
              </w:rPr>
              <w:t>Magnum Hunter Resources Corporation</w:t>
            </w: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(Eureka Hunter Pipeline, LLC)</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1"/>
                <w:szCs w:val="21"/>
                <w:color w:val="auto"/>
              </w:rPr>
            </w:pPr>
          </w:p>
        </w:tc>
        <w:tc>
          <w:tcPr>
            <w:tcW w:w="4160" w:type="dxa"/>
            <w:vAlign w:val="bottom"/>
            <w:gridSpan w:val="2"/>
          </w:tcPr>
          <w:p>
            <w:pPr>
              <w:ind w:left="180"/>
              <w:spacing w:after="0"/>
              <w:rPr>
                <w:sz w:val="20"/>
                <w:szCs w:val="20"/>
                <w:color w:val="auto"/>
              </w:rPr>
            </w:pPr>
            <w:r>
              <w:rPr>
                <w:rFonts w:ascii="Arial" w:cs="Arial" w:eastAsia="Arial" w:hAnsi="Arial"/>
                <w:sz w:val="18"/>
                <w:szCs w:val="18"/>
                <w:color w:val="auto"/>
              </w:rPr>
              <w:t>(Eureka Hunter Pipeline, LLC)</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Brand Energy and Infrastructure Services, Inc.</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LTI Flexible Products, Inc.</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92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Jacobs Entertainment, Inc.</w:t>
            </w:r>
          </w:p>
        </w:tc>
        <w:tc>
          <w:tcPr>
            <w:tcW w:w="56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5"/>
                <w:szCs w:val="15"/>
                <w:color w:val="auto"/>
              </w:rPr>
            </w:pPr>
          </w:p>
        </w:tc>
        <w:tc>
          <w:tcPr>
            <w:tcW w:w="4160" w:type="dxa"/>
            <w:vAlign w:val="bottom"/>
            <w:gridSpan w:val="2"/>
          </w:tcPr>
          <w:p>
            <w:pPr>
              <w:spacing w:after="0" w:line="182" w:lineRule="exact"/>
              <w:rPr>
                <w:sz w:val="20"/>
                <w:szCs w:val="20"/>
                <w:color w:val="auto"/>
              </w:rPr>
            </w:pPr>
            <w:r>
              <w:rPr>
                <w:rFonts w:ascii="Arial" w:cs="Arial" w:eastAsia="Arial" w:hAnsi="Arial"/>
                <w:sz w:val="18"/>
                <w:szCs w:val="18"/>
                <w:color w:val="auto"/>
              </w:rPr>
              <w:t>New Service Champ Holdings, Inc.</w:t>
            </w: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5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restart"/>
          </w:tcPr>
          <w:p>
            <w:pPr>
              <w:spacing w:after="0"/>
              <w:rPr>
                <w:sz w:val="3"/>
                <w:szCs w:val="3"/>
                <w:color w:val="auto"/>
              </w:rPr>
            </w:pPr>
          </w:p>
        </w:tc>
        <w:tc>
          <w:tcPr>
            <w:tcW w:w="4160" w:type="dxa"/>
            <w:vAlign w:val="bottom"/>
            <w:gridSpan w:val="2"/>
            <w:vMerge w:val="restart"/>
          </w:tcPr>
          <w:p>
            <w:pPr>
              <w:ind w:left="180"/>
              <w:spacing w:after="0"/>
              <w:rPr>
                <w:sz w:val="20"/>
                <w:szCs w:val="20"/>
                <w:color w:val="auto"/>
              </w:rPr>
            </w:pPr>
            <w:r>
              <w:rPr>
                <w:rFonts w:ascii="Arial" w:cs="Arial" w:eastAsia="Arial" w:hAnsi="Arial"/>
                <w:sz w:val="18"/>
                <w:szCs w:val="18"/>
                <w:color w:val="auto"/>
              </w:rPr>
              <w:t>(Service Champ Inc.)</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4</w:t>
            </w:r>
          </w:p>
        </w:tc>
        <w:tc>
          <w:tcPr>
            <w:tcW w:w="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LTI Flexible Products, Inc.</w:t>
            </w:r>
          </w:p>
        </w:tc>
        <w:tc>
          <w:tcPr>
            <w:tcW w:w="560" w:type="dxa"/>
            <w:vAlign w:val="bottom"/>
            <w:tcBorders>
              <w:bottom w:val="single" w:sz="8" w:color="CCEEFF"/>
            </w:tcBorders>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4</w:t>
            </w:r>
          </w:p>
        </w:tc>
        <w:tc>
          <w:tcPr>
            <w:tcW w:w="300" w:type="dxa"/>
            <w:vAlign w:val="bottom"/>
            <w:vMerge w:val="continue"/>
          </w:tcPr>
          <w:p>
            <w:pPr>
              <w:spacing w:after="0"/>
              <w:rPr>
                <w:sz w:val="18"/>
                <w:szCs w:val="18"/>
                <w:color w:val="auto"/>
              </w:rPr>
            </w:pPr>
          </w:p>
        </w:tc>
        <w:tc>
          <w:tcPr>
            <w:tcW w:w="4160" w:type="dxa"/>
            <w:vAlign w:val="bottom"/>
            <w:tcBorders>
              <w:bottom w:val="single" w:sz="8" w:color="CCEEFF"/>
            </w:tcBorders>
            <w:gridSpan w:val="2"/>
            <w:vMerge w:val="continue"/>
          </w:tcPr>
          <w:p>
            <w:pPr>
              <w:spacing w:after="0"/>
              <w:rPr>
                <w:sz w:val="18"/>
                <w:szCs w:val="18"/>
                <w:color w:val="auto"/>
              </w:rPr>
            </w:pPr>
          </w:p>
        </w:tc>
        <w:tc>
          <w:tcPr>
            <w:tcW w:w="1160" w:type="dxa"/>
            <w:vAlign w:val="bottom"/>
            <w:tcBorders>
              <w:bottom w:val="single" w:sz="8" w:color="CCEEFF"/>
            </w:tcBorders>
            <w:gridSpan w:val="2"/>
            <w:vMerge w:val="continue"/>
          </w:tcPr>
          <w:p>
            <w:pPr>
              <w:spacing w:after="0"/>
              <w:rPr>
                <w:sz w:val="18"/>
                <w:szCs w:val="18"/>
                <w:color w:val="auto"/>
              </w:rPr>
            </w:pPr>
          </w:p>
        </w:tc>
        <w:tc>
          <w:tcPr>
            <w:tcW w:w="16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920" w:type="dxa"/>
            <w:vAlign w:val="bottom"/>
            <w:gridSpan w:val="2"/>
          </w:tcPr>
          <w:p>
            <w:pPr>
              <w:ind w:left="20"/>
              <w:spacing w:after="0" w:line="156" w:lineRule="exact"/>
              <w:rPr>
                <w:sz w:val="20"/>
                <w:szCs w:val="20"/>
                <w:color w:val="auto"/>
              </w:rPr>
            </w:pPr>
            <w:r>
              <w:rPr>
                <w:rFonts w:ascii="Arial" w:cs="Arial" w:eastAsia="Arial" w:hAnsi="Arial"/>
                <w:sz w:val="18"/>
                <w:szCs w:val="18"/>
                <w:color w:val="auto"/>
              </w:rPr>
              <w:t>Vestcom International, Inc.</w:t>
            </w:r>
          </w:p>
        </w:tc>
        <w:tc>
          <w:tcPr>
            <w:tcW w:w="560" w:type="dxa"/>
            <w:vAlign w:val="bottom"/>
            <w:gridSpan w:val="2"/>
          </w:tcPr>
          <w:p>
            <w:pPr>
              <w:jc w:val="right"/>
              <w:ind w:right="200"/>
              <w:spacing w:after="0" w:line="156"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5"/>
                <w:szCs w:val="15"/>
                <w:color w:val="auto"/>
              </w:rPr>
            </w:pPr>
          </w:p>
        </w:tc>
        <w:tc>
          <w:tcPr>
            <w:tcW w:w="416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Pre-Paid Legal Services, Inc.</w:t>
            </w:r>
          </w:p>
        </w:tc>
        <w:tc>
          <w:tcPr>
            <w:tcW w:w="116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3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6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American Gilsonite Company</w:t>
            </w:r>
          </w:p>
        </w:tc>
        <w:tc>
          <w:tcPr>
            <w:tcW w:w="116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3</w:t>
            </w:r>
          </w:p>
        </w:tc>
        <w:tc>
          <w:tcPr>
            <w:tcW w:w="16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Instant Web, Inc.</w:t>
            </w: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446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920" w:type="dxa"/>
            <w:vAlign w:val="bottom"/>
            <w:gridSpan w:val="2"/>
            <w:vMerge w:val="continue"/>
            <w:shd w:val="clear" w:color="auto" w:fill="CCEEFF"/>
          </w:tcPr>
          <w:p>
            <w:pPr>
              <w:spacing w:after="0"/>
              <w:rPr>
                <w:sz w:val="5"/>
                <w:szCs w:val="5"/>
                <w:color w:val="auto"/>
              </w:rPr>
            </w:pPr>
          </w:p>
        </w:tc>
        <w:tc>
          <w:tcPr>
            <w:tcW w:w="560" w:type="dxa"/>
            <w:vAlign w:val="bottom"/>
            <w:gridSpan w:val="2"/>
            <w:vMerge w:val="continue"/>
            <w:shd w:val="clear" w:color="auto" w:fill="CCEEFF"/>
          </w:tcPr>
          <w:p>
            <w:pPr>
              <w:spacing w:after="0"/>
              <w:rPr>
                <w:sz w:val="5"/>
                <w:szCs w:val="5"/>
                <w:color w:val="auto"/>
              </w:rPr>
            </w:pPr>
          </w:p>
        </w:tc>
        <w:tc>
          <w:tcPr>
            <w:tcW w:w="300" w:type="dxa"/>
            <w:vAlign w:val="bottom"/>
          </w:tcPr>
          <w:p>
            <w:pPr>
              <w:spacing w:after="0"/>
              <w:rPr>
                <w:sz w:val="5"/>
                <w:szCs w:val="5"/>
                <w:color w:val="auto"/>
              </w:rPr>
            </w:pPr>
          </w:p>
        </w:tc>
        <w:tc>
          <w:tcPr>
            <w:tcW w:w="4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Brand Energy and Infrastructure Services, Inc.</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920" w:type="dxa"/>
            <w:vAlign w:val="bottom"/>
            <w:gridSpan w:val="2"/>
            <w:vMerge w:val="restart"/>
          </w:tcPr>
          <w:p>
            <w:pPr>
              <w:ind w:left="20"/>
              <w:spacing w:after="0"/>
              <w:rPr>
                <w:sz w:val="20"/>
                <w:szCs w:val="20"/>
                <w:color w:val="auto"/>
              </w:rPr>
            </w:pPr>
            <w:r>
              <w:rPr>
                <w:rFonts w:ascii="Arial" w:cs="Arial" w:eastAsia="Arial" w:hAnsi="Arial"/>
                <w:sz w:val="18"/>
                <w:szCs w:val="18"/>
                <w:color w:val="auto"/>
              </w:rPr>
              <w:t>Penton Media, Inc.</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2"/>
                <w:szCs w:val="12"/>
                <w:color w:val="auto"/>
              </w:rPr>
            </w:pPr>
          </w:p>
        </w:tc>
        <w:tc>
          <w:tcPr>
            <w:tcW w:w="4160" w:type="dxa"/>
            <w:vAlign w:val="bottom"/>
            <w:gridSpan w:val="2"/>
            <w:vMerge w:val="continue"/>
            <w:shd w:val="clear" w:color="auto" w:fill="CCEEFF"/>
          </w:tcPr>
          <w:p>
            <w:pPr>
              <w:spacing w:after="0"/>
              <w:rPr>
                <w:sz w:val="12"/>
                <w:szCs w:val="12"/>
                <w:color w:val="auto"/>
              </w:rPr>
            </w:pPr>
          </w:p>
        </w:tc>
        <w:tc>
          <w:tcPr>
            <w:tcW w:w="116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920" w:type="dxa"/>
            <w:vAlign w:val="bottom"/>
            <w:gridSpan w:val="2"/>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4460" w:type="dxa"/>
            <w:vAlign w:val="bottom"/>
            <w:gridSpan w:val="3"/>
            <w:vMerge w:val="restart"/>
          </w:tcPr>
          <w:p>
            <w:pPr>
              <w:ind w:left="300"/>
              <w:spacing w:after="0"/>
              <w:rPr>
                <w:sz w:val="20"/>
                <w:szCs w:val="20"/>
                <w:color w:val="auto"/>
              </w:rPr>
            </w:pPr>
            <w:r>
              <w:rPr>
                <w:rFonts w:ascii="Arial" w:cs="Arial" w:eastAsia="Arial" w:hAnsi="Arial"/>
                <w:sz w:val="18"/>
                <w:szCs w:val="18"/>
                <w:color w:val="auto"/>
              </w:rPr>
              <w:t>Learning Care Group, Inc.</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TRAK Acquisition Corp.</w:t>
            </w: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4460" w:type="dxa"/>
            <w:vAlign w:val="bottom"/>
            <w:gridSpan w:val="3"/>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920" w:type="dxa"/>
            <w:vAlign w:val="bottom"/>
            <w:gridSpan w:val="2"/>
            <w:vMerge w:val="continue"/>
            <w:shd w:val="clear" w:color="auto" w:fill="CCEEFF"/>
          </w:tcPr>
          <w:p>
            <w:pPr>
              <w:spacing w:after="0"/>
              <w:rPr>
                <w:sz w:val="8"/>
                <w:szCs w:val="8"/>
                <w:color w:val="auto"/>
              </w:rPr>
            </w:pPr>
          </w:p>
        </w:tc>
        <w:tc>
          <w:tcPr>
            <w:tcW w:w="560" w:type="dxa"/>
            <w:vAlign w:val="bottom"/>
            <w:gridSpan w:val="2"/>
            <w:vMerge w:val="continue"/>
            <w:shd w:val="clear" w:color="auto" w:fill="CCEEFF"/>
          </w:tcPr>
          <w:p>
            <w:pPr>
              <w:spacing w:after="0"/>
              <w:rPr>
                <w:sz w:val="8"/>
                <w:szCs w:val="8"/>
                <w:color w:val="auto"/>
              </w:rPr>
            </w:pPr>
          </w:p>
        </w:tc>
        <w:tc>
          <w:tcPr>
            <w:tcW w:w="300" w:type="dxa"/>
            <w:vAlign w:val="bottom"/>
          </w:tcPr>
          <w:p>
            <w:pPr>
              <w:spacing w:after="0"/>
              <w:rPr>
                <w:sz w:val="8"/>
                <w:szCs w:val="8"/>
                <w:color w:val="auto"/>
              </w:rPr>
            </w:pPr>
          </w:p>
        </w:tc>
        <w:tc>
          <w:tcPr>
            <w:tcW w:w="4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Penton Media, Inc.</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920" w:type="dxa"/>
            <w:vAlign w:val="bottom"/>
            <w:gridSpan w:val="2"/>
            <w:vMerge w:val="restart"/>
          </w:tcPr>
          <w:p>
            <w:pPr>
              <w:ind w:left="20"/>
              <w:spacing w:after="0"/>
              <w:rPr>
                <w:sz w:val="20"/>
                <w:szCs w:val="20"/>
                <w:color w:val="auto"/>
              </w:rPr>
            </w:pPr>
            <w:r>
              <w:rPr>
                <w:rFonts w:ascii="Arial" w:cs="Arial" w:eastAsia="Arial" w:hAnsi="Arial"/>
                <w:sz w:val="18"/>
                <w:szCs w:val="18"/>
                <w:color w:val="auto"/>
              </w:rPr>
              <w:t>Varel International Energy Mezzanine Funding Corp.</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0"/>
                <w:szCs w:val="10"/>
                <w:color w:val="auto"/>
              </w:rPr>
            </w:pPr>
          </w:p>
        </w:tc>
        <w:tc>
          <w:tcPr>
            <w:tcW w:w="4160" w:type="dxa"/>
            <w:vAlign w:val="bottom"/>
            <w:gridSpan w:val="2"/>
            <w:vMerge w:val="continue"/>
            <w:shd w:val="clear" w:color="auto" w:fill="CCEEFF"/>
          </w:tcPr>
          <w:p>
            <w:pPr>
              <w:spacing w:after="0"/>
              <w:rPr>
                <w:sz w:val="10"/>
                <w:szCs w:val="10"/>
                <w:color w:val="auto"/>
              </w:rPr>
            </w:pPr>
          </w:p>
        </w:tc>
        <w:tc>
          <w:tcPr>
            <w:tcW w:w="116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920" w:type="dxa"/>
            <w:vAlign w:val="bottom"/>
            <w:gridSpan w:val="2"/>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4460" w:type="dxa"/>
            <w:vAlign w:val="bottom"/>
            <w:gridSpan w:val="3"/>
            <w:vMerge w:val="restart"/>
          </w:tcPr>
          <w:p>
            <w:pPr>
              <w:ind w:left="300"/>
              <w:spacing w:after="0"/>
              <w:rPr>
                <w:sz w:val="20"/>
                <w:szCs w:val="20"/>
                <w:color w:val="auto"/>
              </w:rPr>
            </w:pPr>
            <w:r>
              <w:rPr>
                <w:rFonts w:ascii="Arial" w:cs="Arial" w:eastAsia="Arial" w:hAnsi="Arial"/>
                <w:sz w:val="18"/>
                <w:szCs w:val="18"/>
                <w:color w:val="auto"/>
              </w:rPr>
              <w:t>Prince Mineral Holdings Corp.</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60" w:type="dxa"/>
            <w:vAlign w:val="bottom"/>
            <w:gridSpan w:val="3"/>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2"/>
          </w:tcPr>
          <w:p>
            <w:pPr>
              <w:jc w:val="right"/>
              <w:ind w:right="1370"/>
              <w:spacing w:after="0"/>
              <w:rPr>
                <w:sz w:val="20"/>
                <w:szCs w:val="20"/>
                <w:color w:val="auto"/>
              </w:rPr>
            </w:pPr>
            <w:r>
              <w:rPr>
                <w:rFonts w:ascii="Arial" w:cs="Arial" w:eastAsia="Arial" w:hAnsi="Arial"/>
                <w:sz w:val="18"/>
                <w:szCs w:val="18"/>
                <w:color w:val="auto"/>
              </w:rPr>
              <w:t>74</w:t>
            </w:r>
          </w:p>
        </w:tc>
        <w:tc>
          <w:tcPr>
            <w:tcW w:w="2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50" w:name="page151"/>
    <w:bookmarkEnd w:id="1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3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4920" w:type="dxa"/>
            <w:vAlign w:val="bottom"/>
            <w:gridSpan w:val="3"/>
          </w:tcPr>
          <w:p>
            <w:pPr>
              <w:ind w:left="20"/>
              <w:spacing w:after="0"/>
              <w:rPr>
                <w:sz w:val="20"/>
                <w:szCs w:val="20"/>
                <w:color w:val="auto"/>
              </w:rPr>
            </w:pPr>
            <w:r>
              <w:rPr>
                <w:rFonts w:ascii="Arial" w:cs="Arial" w:eastAsia="Arial" w:hAnsi="Arial"/>
                <w:sz w:val="18"/>
                <w:szCs w:val="18"/>
                <w:b w:val="1"/>
                <w:bCs w:val="1"/>
                <w:color w:val="auto"/>
              </w:rPr>
              <w:t>Industry</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4"/>
              </w:rPr>
              <w:t>2013</w:t>
            </w:r>
          </w:p>
        </w:tc>
        <w:tc>
          <w:tcPr>
            <w:tcW w:w="4320" w:type="dxa"/>
            <w:vAlign w:val="bottom"/>
            <w:gridSpan w:val="3"/>
          </w:tcPr>
          <w:p>
            <w:pPr>
              <w:ind w:left="300"/>
              <w:spacing w:after="0"/>
              <w:rPr>
                <w:sz w:val="20"/>
                <w:szCs w:val="20"/>
                <w:color w:val="auto"/>
              </w:rPr>
            </w:pPr>
            <w:r>
              <w:rPr>
                <w:rFonts w:ascii="Arial" w:cs="Arial" w:eastAsia="Arial" w:hAnsi="Arial"/>
                <w:sz w:val="18"/>
                <w:szCs w:val="18"/>
                <w:b w:val="1"/>
                <w:bCs w:val="1"/>
                <w:color w:val="auto"/>
              </w:rPr>
              <w:t>Industry</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424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Food and Miscellaneous Services</w:t>
            </w: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34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Education &amp; Childcare</w:t>
            </w:r>
          </w:p>
        </w:tc>
        <w:tc>
          <w:tcPr>
            <w:tcW w:w="9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Personal,</w:t>
            </w:r>
          </w:p>
        </w:tc>
        <w:tc>
          <w:tcPr>
            <w:tcW w:w="4240" w:type="dxa"/>
            <w:vAlign w:val="bottom"/>
            <w:gridSpan w:val="2"/>
            <w:vMerge w:val="continue"/>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30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71"/>
              </w:rPr>
              <w:t>Healthcare,</w:t>
            </w:r>
          </w:p>
        </w:tc>
        <w:tc>
          <w:tcPr>
            <w:tcW w:w="334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920" w:type="dxa"/>
            <w:vAlign w:val="bottom"/>
            <w:gridSpan w:val="3"/>
          </w:tcPr>
          <w:p>
            <w:pPr>
              <w:ind w:left="20"/>
              <w:spacing w:after="0"/>
              <w:rPr>
                <w:sz w:val="20"/>
                <w:szCs w:val="20"/>
                <w:color w:val="auto"/>
              </w:rPr>
            </w:pPr>
            <w:r>
              <w:rPr>
                <w:rFonts w:ascii="Arial" w:cs="Arial" w:eastAsia="Arial" w:hAnsi="Arial"/>
                <w:sz w:val="18"/>
                <w:szCs w:val="18"/>
                <w:color w:val="auto"/>
              </w:rPr>
              <w:t>Printing and Publishing</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Business Services</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9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Energy / Utilities</w:t>
            </w:r>
          </w:p>
        </w:tc>
        <w:tc>
          <w:tcPr>
            <w:tcW w:w="5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8</w:t>
            </w:r>
          </w:p>
        </w:tc>
        <w:tc>
          <w:tcPr>
            <w:tcW w:w="300" w:type="dxa"/>
            <w:vAlign w:val="bottom"/>
          </w:tcPr>
          <w:p>
            <w:pPr>
              <w:spacing w:after="0"/>
              <w:rPr>
                <w:sz w:val="16"/>
                <w:szCs w:val="16"/>
                <w:color w:val="auto"/>
              </w:rPr>
            </w:pPr>
          </w:p>
        </w:tc>
        <w:tc>
          <w:tcPr>
            <w:tcW w:w="4020" w:type="dxa"/>
            <w:vAlign w:val="bottom"/>
            <w:gridSpan w:val="2"/>
          </w:tcPr>
          <w:p>
            <w:pPr>
              <w:spacing w:after="0" w:line="189" w:lineRule="exact"/>
              <w:rPr>
                <w:sz w:val="20"/>
                <w:szCs w:val="20"/>
                <w:color w:val="auto"/>
              </w:rPr>
            </w:pPr>
            <w:r>
              <w:rPr>
                <w:rFonts w:ascii="Arial" w:cs="Arial" w:eastAsia="Arial" w:hAnsi="Arial"/>
                <w:sz w:val="18"/>
                <w:szCs w:val="18"/>
                <w:color w:val="auto"/>
              </w:rPr>
              <w:t>Auto Sector</w:t>
            </w:r>
          </w:p>
        </w:tc>
        <w:tc>
          <w:tcPr>
            <w:tcW w:w="12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restart"/>
          </w:tcPr>
          <w:p>
            <w:pPr>
              <w:spacing w:after="0"/>
              <w:rPr>
                <w:sz w:val="3"/>
                <w:szCs w:val="3"/>
                <w:color w:val="auto"/>
              </w:rPr>
            </w:pPr>
          </w:p>
        </w:tc>
        <w:tc>
          <w:tcPr>
            <w:tcW w:w="4020" w:type="dxa"/>
            <w:vAlign w:val="bottom"/>
            <w:gridSpan w:val="2"/>
            <w:vMerge w:val="restart"/>
            <w:shd w:val="clear" w:color="auto" w:fill="CCEEFF"/>
          </w:tcPr>
          <w:p>
            <w:pPr>
              <w:spacing w:after="0" w:line="196" w:lineRule="exact"/>
              <w:rPr>
                <w:sz w:val="20"/>
                <w:szCs w:val="20"/>
                <w:color w:val="auto"/>
              </w:rPr>
            </w:pPr>
            <w:r>
              <w:rPr>
                <w:rFonts w:ascii="Arial" w:cs="Arial" w:eastAsia="Arial" w:hAnsi="Arial"/>
                <w:sz w:val="18"/>
                <w:szCs w:val="18"/>
                <w:color w:val="auto"/>
              </w:rPr>
              <w:t>Business Services</w:t>
            </w:r>
          </w:p>
        </w:tc>
        <w:tc>
          <w:tcPr>
            <w:tcW w:w="1260" w:type="dxa"/>
            <w:vAlign w:val="bottom"/>
            <w:gridSpan w:val="2"/>
            <w:vMerge w:val="restart"/>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00" w:type="dxa"/>
            <w:vAlign w:val="bottom"/>
            <w:vMerge w:val="restart"/>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gridSpan w:val="3"/>
            <w:shd w:val="clear" w:color="auto" w:fill="CCEEFF"/>
          </w:tcPr>
          <w:p>
            <w:pPr>
              <w:ind w:left="20"/>
              <w:spacing w:after="0" w:line="156" w:lineRule="exact"/>
              <w:rPr>
                <w:sz w:val="20"/>
                <w:szCs w:val="20"/>
                <w:color w:val="auto"/>
              </w:rPr>
            </w:pPr>
            <w:r>
              <w:rPr>
                <w:rFonts w:ascii="Arial" w:cs="Arial" w:eastAsia="Arial" w:hAnsi="Arial"/>
                <w:sz w:val="18"/>
                <w:szCs w:val="18"/>
                <w:color w:val="auto"/>
              </w:rPr>
              <w:t>Electronics</w:t>
            </w:r>
          </w:p>
        </w:tc>
        <w:tc>
          <w:tcPr>
            <w:tcW w:w="560" w:type="dxa"/>
            <w:vAlign w:val="bottom"/>
            <w:tcBorders>
              <w:bottom w:val="single" w:sz="8" w:color="CCEEFF"/>
            </w:tcBorders>
            <w:gridSpan w:val="2"/>
            <w:shd w:val="clear" w:color="auto" w:fill="CCEEFF"/>
          </w:tcPr>
          <w:p>
            <w:pPr>
              <w:jc w:val="right"/>
              <w:ind w:right="200"/>
              <w:spacing w:after="0" w:line="156" w:lineRule="exact"/>
              <w:rPr>
                <w:sz w:val="20"/>
                <w:szCs w:val="20"/>
                <w:color w:val="auto"/>
              </w:rPr>
            </w:pPr>
            <w:r>
              <w:rPr>
                <w:rFonts w:ascii="Arial" w:cs="Arial" w:eastAsia="Arial" w:hAnsi="Arial"/>
                <w:sz w:val="18"/>
                <w:szCs w:val="18"/>
                <w:color w:val="auto"/>
              </w:rPr>
              <w:t>7</w:t>
            </w:r>
          </w:p>
        </w:tc>
        <w:tc>
          <w:tcPr>
            <w:tcW w:w="300" w:type="dxa"/>
            <w:vAlign w:val="bottom"/>
            <w:vMerge w:val="continue"/>
          </w:tcPr>
          <w:p>
            <w:pPr>
              <w:spacing w:after="0"/>
              <w:rPr>
                <w:sz w:val="18"/>
                <w:szCs w:val="18"/>
                <w:color w:val="auto"/>
              </w:rPr>
            </w:pPr>
          </w:p>
        </w:tc>
        <w:tc>
          <w:tcPr>
            <w:tcW w:w="4020" w:type="dxa"/>
            <w:vAlign w:val="bottom"/>
            <w:gridSpan w:val="2"/>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920" w:type="dxa"/>
            <w:vAlign w:val="bottom"/>
            <w:gridSpan w:val="3"/>
            <w:vMerge w:val="restart"/>
          </w:tcPr>
          <w:p>
            <w:pPr>
              <w:ind w:left="20"/>
              <w:spacing w:after="0"/>
              <w:rPr>
                <w:sz w:val="20"/>
                <w:szCs w:val="20"/>
                <w:color w:val="auto"/>
              </w:rPr>
            </w:pPr>
            <w:r>
              <w:rPr>
                <w:rFonts w:ascii="Arial" w:cs="Arial" w:eastAsia="Arial" w:hAnsi="Arial"/>
                <w:sz w:val="18"/>
                <w:szCs w:val="18"/>
                <w:color w:val="auto"/>
              </w:rPr>
              <w:t>Healthcare, Education &amp; Childcare</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7</w:t>
            </w:r>
          </w:p>
        </w:tc>
        <w:tc>
          <w:tcPr>
            <w:tcW w:w="4320" w:type="dxa"/>
            <w:vAlign w:val="bottom"/>
            <w:gridSpan w:val="3"/>
          </w:tcPr>
          <w:p>
            <w:pPr>
              <w:ind w:left="300"/>
              <w:spacing w:after="0" w:line="142" w:lineRule="exact"/>
              <w:rPr>
                <w:sz w:val="20"/>
                <w:szCs w:val="20"/>
                <w:color w:val="auto"/>
              </w:rPr>
            </w:pPr>
            <w:r>
              <w:rPr>
                <w:rFonts w:ascii="Arial" w:cs="Arial" w:eastAsia="Arial" w:hAnsi="Arial"/>
                <w:sz w:val="16"/>
                <w:szCs w:val="16"/>
                <w:color w:val="auto"/>
              </w:rPr>
              <w:t>Cargo Transport</w:t>
            </w:r>
          </w:p>
        </w:tc>
        <w:tc>
          <w:tcPr>
            <w:tcW w:w="1260" w:type="dxa"/>
            <w:vAlign w:val="bottom"/>
            <w:gridSpan w:val="2"/>
          </w:tcPr>
          <w:p>
            <w:pPr>
              <w:jc w:val="right"/>
              <w:spacing w:after="0" w:line="142" w:lineRule="exact"/>
              <w:rPr>
                <w:sz w:val="20"/>
                <w:szCs w:val="20"/>
                <w:color w:val="auto"/>
              </w:rPr>
            </w:pPr>
            <w:r>
              <w:rPr>
                <w:rFonts w:ascii="Arial" w:cs="Arial" w:eastAsia="Arial" w:hAnsi="Arial"/>
                <w:sz w:val="16"/>
                <w:szCs w:val="16"/>
                <w:color w:val="auto"/>
              </w:rPr>
              <w:t>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920" w:type="dxa"/>
            <w:vAlign w:val="bottom"/>
            <w:gridSpan w:val="3"/>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4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92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Oil and Gas</w:t>
            </w: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2"/>
                <w:szCs w:val="12"/>
                <w:color w:val="auto"/>
              </w:rPr>
            </w:pPr>
          </w:p>
        </w:tc>
        <w:tc>
          <w:tcPr>
            <w:tcW w:w="4020" w:type="dxa"/>
            <w:vAlign w:val="bottom"/>
            <w:gridSpan w:val="2"/>
            <w:vMerge w:val="continue"/>
            <w:shd w:val="clear" w:color="auto" w:fill="CCEEFF"/>
          </w:tcPr>
          <w:p>
            <w:pPr>
              <w:spacing w:after="0"/>
              <w:rPr>
                <w:sz w:val="12"/>
                <w:szCs w:val="12"/>
                <w:color w:val="auto"/>
              </w:rPr>
            </w:pPr>
          </w:p>
        </w:tc>
        <w:tc>
          <w:tcPr>
            <w:tcW w:w="126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920" w:type="dxa"/>
            <w:vAlign w:val="bottom"/>
            <w:gridSpan w:val="3"/>
            <w:vMerge w:val="continue"/>
            <w:shd w:val="clear" w:color="auto" w:fill="CCEEFF"/>
          </w:tcPr>
          <w:p>
            <w:pPr>
              <w:spacing w:after="0"/>
              <w:rPr>
                <w:sz w:val="7"/>
                <w:szCs w:val="7"/>
                <w:color w:val="auto"/>
              </w:rPr>
            </w:pPr>
          </w:p>
        </w:tc>
        <w:tc>
          <w:tcPr>
            <w:tcW w:w="560" w:type="dxa"/>
            <w:vAlign w:val="bottom"/>
            <w:gridSpan w:val="2"/>
            <w:vMerge w:val="continue"/>
            <w:shd w:val="clear" w:color="auto" w:fill="CCEEFF"/>
          </w:tcPr>
          <w:p>
            <w:pPr>
              <w:spacing w:after="0"/>
              <w:rPr>
                <w:sz w:val="7"/>
                <w:szCs w:val="7"/>
                <w:color w:val="auto"/>
              </w:rPr>
            </w:pPr>
          </w:p>
        </w:tc>
        <w:tc>
          <w:tcPr>
            <w:tcW w:w="4320" w:type="dxa"/>
            <w:vAlign w:val="bottom"/>
            <w:gridSpan w:val="3"/>
            <w:vMerge w:val="restart"/>
          </w:tcPr>
          <w:p>
            <w:pPr>
              <w:ind w:left="300"/>
              <w:spacing w:after="0"/>
              <w:rPr>
                <w:sz w:val="20"/>
                <w:szCs w:val="20"/>
                <w:color w:val="auto"/>
              </w:rPr>
            </w:pPr>
            <w:r>
              <w:rPr>
                <w:rFonts w:ascii="Arial" w:cs="Arial" w:eastAsia="Arial" w:hAnsi="Arial"/>
                <w:sz w:val="18"/>
                <w:szCs w:val="18"/>
                <w:color w:val="auto"/>
              </w:rPr>
              <w:t>Consumer Products</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920" w:type="dxa"/>
            <w:vAlign w:val="bottom"/>
            <w:gridSpan w:val="3"/>
            <w:vMerge w:val="restart"/>
          </w:tcPr>
          <w:p>
            <w:pPr>
              <w:ind w:left="20"/>
              <w:spacing w:after="0"/>
              <w:rPr>
                <w:sz w:val="20"/>
                <w:szCs w:val="20"/>
                <w:color w:val="auto"/>
              </w:rPr>
            </w:pPr>
            <w:r>
              <w:rPr>
                <w:rFonts w:ascii="Arial" w:cs="Arial" w:eastAsia="Arial" w:hAnsi="Arial"/>
                <w:sz w:val="18"/>
                <w:szCs w:val="18"/>
                <w:color w:val="auto"/>
              </w:rPr>
              <w:t>Chemicals, Plastics and Rubber</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w:t>
            </w:r>
          </w:p>
        </w:tc>
        <w:tc>
          <w:tcPr>
            <w:tcW w:w="432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920" w:type="dxa"/>
            <w:vAlign w:val="bottom"/>
            <w:gridSpan w:val="3"/>
            <w:vMerge w:val="continue"/>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4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Distribution</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92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Consumer Products</w:t>
            </w: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0"/>
                <w:szCs w:val="10"/>
                <w:color w:val="auto"/>
              </w:rPr>
            </w:pPr>
          </w:p>
        </w:tc>
        <w:tc>
          <w:tcPr>
            <w:tcW w:w="4020" w:type="dxa"/>
            <w:vAlign w:val="bottom"/>
            <w:gridSpan w:val="2"/>
            <w:vMerge w:val="continue"/>
            <w:shd w:val="clear" w:color="auto" w:fill="CCEEFF"/>
          </w:tcPr>
          <w:p>
            <w:pPr>
              <w:spacing w:after="0"/>
              <w:rPr>
                <w:sz w:val="10"/>
                <w:szCs w:val="10"/>
                <w:color w:val="auto"/>
              </w:rPr>
            </w:pPr>
          </w:p>
        </w:tc>
        <w:tc>
          <w:tcPr>
            <w:tcW w:w="1260" w:type="dxa"/>
            <w:vAlign w:val="bottom"/>
            <w:gridSpan w:val="2"/>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20" w:type="dxa"/>
            <w:vAlign w:val="bottom"/>
            <w:gridSpan w:val="3"/>
            <w:vMerge w:val="continue"/>
            <w:shd w:val="clear" w:color="auto" w:fill="CCEEFF"/>
          </w:tcPr>
          <w:p>
            <w:pPr>
              <w:spacing w:after="0"/>
              <w:rPr>
                <w:sz w:val="9"/>
                <w:szCs w:val="9"/>
                <w:color w:val="auto"/>
              </w:rPr>
            </w:pPr>
          </w:p>
        </w:tc>
        <w:tc>
          <w:tcPr>
            <w:tcW w:w="560" w:type="dxa"/>
            <w:vAlign w:val="bottom"/>
            <w:gridSpan w:val="2"/>
            <w:vMerge w:val="continue"/>
            <w:shd w:val="clear" w:color="auto" w:fill="CCEEFF"/>
          </w:tcPr>
          <w:p>
            <w:pPr>
              <w:spacing w:after="0"/>
              <w:rPr>
                <w:sz w:val="9"/>
                <w:szCs w:val="9"/>
                <w:color w:val="auto"/>
              </w:rPr>
            </w:pPr>
          </w:p>
        </w:tc>
        <w:tc>
          <w:tcPr>
            <w:tcW w:w="4320" w:type="dxa"/>
            <w:vAlign w:val="bottom"/>
            <w:gridSpan w:val="3"/>
            <w:vMerge w:val="restart"/>
          </w:tcPr>
          <w:p>
            <w:pPr>
              <w:ind w:left="300"/>
              <w:spacing w:after="0"/>
              <w:rPr>
                <w:sz w:val="20"/>
                <w:szCs w:val="20"/>
                <w:color w:val="auto"/>
              </w:rPr>
            </w:pPr>
            <w:r>
              <w:rPr>
                <w:rFonts w:ascii="Arial" w:cs="Arial" w:eastAsia="Arial" w:hAnsi="Arial"/>
                <w:sz w:val="18"/>
                <w:szCs w:val="18"/>
                <w:color w:val="auto"/>
              </w:rPr>
              <w:t>Personal, Food and Miscellaneous Services</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920" w:type="dxa"/>
            <w:vAlign w:val="bottom"/>
            <w:gridSpan w:val="3"/>
            <w:vMerge w:val="restart"/>
          </w:tcPr>
          <w:p>
            <w:pPr>
              <w:ind w:left="20"/>
              <w:spacing w:after="0"/>
              <w:rPr>
                <w:sz w:val="20"/>
                <w:szCs w:val="20"/>
                <w:color w:val="auto"/>
              </w:rPr>
            </w:pPr>
            <w:r>
              <w:rPr>
                <w:rFonts w:ascii="Arial" w:cs="Arial" w:eastAsia="Arial" w:hAnsi="Arial"/>
                <w:sz w:val="18"/>
                <w:szCs w:val="18"/>
                <w:color w:val="auto"/>
              </w:rPr>
              <w:t>Hotels, Motels, Inns and Gaming</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w:t>
            </w:r>
          </w:p>
        </w:tc>
        <w:tc>
          <w:tcPr>
            <w:tcW w:w="4320" w:type="dxa"/>
            <w:vAlign w:val="bottom"/>
            <w:gridSpan w:val="3"/>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20" w:type="dxa"/>
            <w:vAlign w:val="bottom"/>
            <w:gridSpan w:val="3"/>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Floating Rate Capital Ltd.,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6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and our trade allocation procedures. Some types of negotiated co-investments may be made only if we receive an order from the SEC permitting us to do so. We have sought, and there can be no assurance that we will obtain, such an order.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46"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September 30, 2013.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September 30, 2013 Consolidated Financial Statements included elsewhere in this prospectus.</w:t>
      </w:r>
    </w:p>
    <w:p>
      <w:pPr>
        <w:spacing w:after="0" w:line="18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Substantially all of our investments (except those of our SBIC Funds) are pledged as collateral under our Credit Facility. Unless otherwise noted, we held no voting board membership on any of our portfolio companies.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Nature of Business</w:t>
            </w:r>
          </w:p>
        </w:tc>
        <w:tc>
          <w:tcPr>
            <w:tcW w:w="2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Type of Investment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Voting Percentage</w:t>
            </w:r>
          </w:p>
        </w:tc>
        <w:tc>
          <w:tcPr>
            <w:tcW w:w="0" w:type="dxa"/>
            <w:vAlign w:val="bottom"/>
          </w:tcPr>
          <w:p>
            <w:pPr>
              <w:spacing w:after="0"/>
              <w:rPr>
                <w:sz w:val="1"/>
                <w:szCs w:val="1"/>
                <w:color w:val="auto"/>
              </w:rPr>
            </w:pPr>
          </w:p>
        </w:tc>
      </w:tr>
      <w:tr>
        <w:trPr>
          <w:trHeight w:val="185"/>
        </w:trPr>
        <w:tc>
          <w:tcPr>
            <w:tcW w:w="5040" w:type="dxa"/>
            <w:vAlign w:val="bottom"/>
            <w:gridSpan w:val="3"/>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Ownership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Companies Less than 5% Owned</w:t>
            </w:r>
          </w:p>
        </w:tc>
        <w:tc>
          <w:tcPr>
            <w:tcW w:w="250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Acentia, LLC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Electronics</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1.5%</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3130 Fairview Park Drive, Ste. 800</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Falls Church, VA 22042</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Affinion Group Holdings,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0"/>
              </w:rPr>
              <w:t>Consumer Products</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Subordinated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 High Ridge Park</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Stamford, CT 06850</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AHC Mezzanine, LLC (Advanstar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Other Media</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Preferred Equity</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0.1%</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350 Park Avenue</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New York, NY 10022</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Aircell Business Aviation Services LLC</w:t>
            </w:r>
          </w:p>
        </w:tc>
        <w:tc>
          <w:tcPr>
            <w:tcW w:w="19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Communications</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1250 North Arlington Heights Road, Ste. 500</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Itasca, IL 60143</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Alegeus Technologies, LLC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Financial Services</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0.5%</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(Alegeus Technologies Holdings Corp.)</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Preferred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1601 Trapelo Rd.</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Waltham, MA 02451</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Gilsonite Company</w:t>
            </w:r>
          </w:p>
        </w:tc>
        <w:tc>
          <w:tcPr>
            <w:tcW w:w="19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4"/>
              </w:rPr>
              <w:t>Diversified Natural Resources,</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29950 South Bonanza Highway</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3"/>
              </w:rPr>
              <w:t>Precious Metals and Minerals</w:t>
            </w: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Bonanza, UT 84008</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American Surgical Holdings,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Healthcare, Education</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Preferred Equity</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2.1%</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(AH Holdings, Inc.)</w:t>
            </w: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and Childcare</w:t>
            </w: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Warrants</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10039 Bissonnet Street, Ste. 250</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Houston, TX 77036</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Autumn Games,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1"/>
              </w:rPr>
              <w:t>Broadcasting and</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54 Thompson St.</w:t>
            </w:r>
          </w:p>
        </w:tc>
        <w:tc>
          <w:tcPr>
            <w:tcW w:w="19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4"/>
              </w:rPr>
              <w:t>Entertainment</w:t>
            </w: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Nature of Business</w:t>
            </w:r>
          </w:p>
        </w:tc>
        <w:tc>
          <w:tcPr>
            <w:tcW w:w="2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Type of Investment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Voting Percentage</w:t>
            </w:r>
          </w:p>
        </w:tc>
        <w:tc>
          <w:tcPr>
            <w:tcW w:w="0" w:type="dxa"/>
            <w:vAlign w:val="bottom"/>
          </w:tcPr>
          <w:p>
            <w:pPr>
              <w:spacing w:after="0"/>
              <w:rPr>
                <w:sz w:val="1"/>
                <w:szCs w:val="1"/>
                <w:color w:val="auto"/>
              </w:rPr>
            </w:pPr>
          </w:p>
        </w:tc>
      </w:tr>
      <w:tr>
        <w:trPr>
          <w:trHeight w:val="185"/>
        </w:trPr>
        <w:tc>
          <w:tcPr>
            <w:tcW w:w="5040" w:type="dxa"/>
            <w:vAlign w:val="bottom"/>
            <w:gridSpan w:val="3"/>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Ownership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520" w:type="dxa"/>
            <w:vAlign w:val="bottom"/>
            <w:tcBorders>
              <w:top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18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Brand Energy and Infrastructure Services,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8"/>
              </w:rPr>
              <w:t>Energy / Utilities</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1325 Cobb International Dr., Ste. A-1</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Kennesaw, GA 30152</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Carolina Beverage Group, LLC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Beverage, Food and Tobacco</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Second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110 Barley Park Lane</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Mooresville, NC 28115</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CEVA Group PLC</w:t>
            </w:r>
          </w:p>
        </w:tc>
        <w:tc>
          <w:tcPr>
            <w:tcW w:w="19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Cargo Transport</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 St. George Street</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London W1S 1FS</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United Kingdom</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Columbus International, Inc.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Communications</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Ste. 205-207 Dowell House Cr.</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Roebuck &amp; Palmetto Sts.</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Bridgetown, Barbados, West Indies</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3"/>
              </w:rPr>
              <w:t>Electronics</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Subordinated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(Convergint Technologies Holdings, LLC)</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4"/>
              </w:rPr>
              <w:t>Preferred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1651 Wilkening Rd.</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Schaumburg, IL 60173</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Credit Infonet, Inc.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Personal, Food and</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4540 Honeywell Court</w:t>
            </w: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Miscelleneous Services</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Dayton, OH 45424</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CT Technologies Intermediate Holdings,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0"/>
              </w:rPr>
              <w:t>Business Services</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925 North Point Parkway, Ste. 350</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Alpharetta, GA 30005</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Cydcor LLC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Business Services</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3011 Townsgate Road, Ste. 400</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Westlake Village, CA 91361</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Envision Acquisition Company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Healthcare, Education</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2181 East Aurora Road, Ste. 201</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2"/>
              </w:rPr>
              <w:t>and Childcare</w:t>
            </w: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Twinsburg, OH 44087</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Escort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Electronics</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5440 West Chester Road</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West Chester, OH 45069-2950</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Eureka Hunter Pipeline, LLC (Magnum Hunter Resources Corporation)</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777 Post Oak Blvd., Ste. 650</w:t>
            </w:r>
          </w:p>
        </w:tc>
        <w:tc>
          <w:tcPr>
            <w:tcW w:w="19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5"/>
              </w:rPr>
              <w:t>Energy/Utilities Oil and Gas</w:t>
            </w:r>
          </w:p>
        </w:tc>
        <w:tc>
          <w:tcPr>
            <w:tcW w:w="24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2"/>
              </w:rPr>
              <w:t>Second Lien Secured Debt</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0.7%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Houston, TX 77056</w:t>
            </w:r>
          </w:p>
        </w:tc>
        <w:tc>
          <w:tcPr>
            <w:tcW w:w="1960" w:type="dxa"/>
            <w:vAlign w:val="bottom"/>
            <w:gridSpan w:val="2"/>
            <w:vMerge w:val="continue"/>
            <w:shd w:val="clear" w:color="auto" w:fill="CCEEFF"/>
          </w:tcPr>
          <w:p>
            <w:pPr>
              <w:spacing w:after="0"/>
              <w:rPr>
                <w:sz w:val="8"/>
                <w:szCs w:val="8"/>
                <w:color w:val="auto"/>
              </w:rPr>
            </w:pPr>
          </w:p>
        </w:tc>
        <w:tc>
          <w:tcPr>
            <w:tcW w:w="2480" w:type="dxa"/>
            <w:vAlign w:val="bottom"/>
            <w:gridSpan w:val="2"/>
            <w:vMerge w:val="continue"/>
            <w:shd w:val="clear" w:color="auto" w:fill="CCEEFF"/>
          </w:tcPr>
          <w:p>
            <w:pPr>
              <w:spacing w:after="0"/>
              <w:rPr>
                <w:sz w:val="8"/>
                <w:szCs w:val="8"/>
                <w:color w:val="auto"/>
              </w:rPr>
            </w:pPr>
          </w:p>
        </w:tc>
        <w:tc>
          <w:tcPr>
            <w:tcW w:w="1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020" w:type="dxa"/>
            <w:vAlign w:val="bottom"/>
            <w:gridSpan w:val="2"/>
            <w:vMerge w:val="continue"/>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80" w:type="dxa"/>
            <w:vAlign w:val="bottom"/>
            <w:gridSpan w:val="2"/>
            <w:vMerge w:val="restart"/>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20" w:type="dxa"/>
            <w:vAlign w:val="bottom"/>
            <w:shd w:val="clear" w:color="auto" w:fill="CCEEFF"/>
          </w:tcPr>
          <w:p>
            <w:pPr>
              <w:spacing w:after="0"/>
              <w:rPr>
                <w:sz w:val="5"/>
                <w:szCs w:val="5"/>
                <w:color w:val="auto"/>
              </w:rPr>
            </w:pPr>
          </w:p>
        </w:tc>
        <w:tc>
          <w:tcPr>
            <w:tcW w:w="2500" w:type="dxa"/>
            <w:vAlign w:val="bottom"/>
            <w:shd w:val="clear" w:color="auto" w:fill="CCEEFF"/>
          </w:tcPr>
          <w:p>
            <w:pPr>
              <w:spacing w:after="0"/>
              <w:rPr>
                <w:sz w:val="5"/>
                <w:szCs w:val="5"/>
                <w:color w:val="auto"/>
              </w:rPr>
            </w:pPr>
          </w:p>
        </w:tc>
        <w:tc>
          <w:tcPr>
            <w:tcW w:w="18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80" w:type="dxa"/>
            <w:vAlign w:val="bottom"/>
            <w:gridSpan w:val="2"/>
            <w:vMerge w:val="continue"/>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Warrants</w:t>
            </w: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Galls, LLC; Quartermaster, Inc.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Distribution</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Common Equity</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3.1%</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(CI (Galls) Prime Investment Holdings, LLC)</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1340 Russell Cave Road</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Lexington, KY 40505</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Good Sam Enterprises,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0"/>
              </w:rPr>
              <w:t>Consumer Products</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250 Parkway Dr., Ste. 270</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Lincolnshire, IL 60069</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Greatwide Logistics Services, L.L.C.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Cargo Transport</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Second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0.4%</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(Transportation 100 HoldCo, LLC)</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12404 Park Central Dr., Ste. 300s</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Dallas, TX 75251</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Hanley-Wood,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3"/>
              </w:rPr>
              <w:t>Other Media</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Thomas Circle, NW, Ste. 600</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4"/>
              </w:rPr>
              <w:t>Preferred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Washington, DC 20005</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Nature of Business</w:t>
            </w:r>
          </w:p>
        </w:tc>
        <w:tc>
          <w:tcPr>
            <w:tcW w:w="2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Type of Investment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Voting Percentage</w:t>
            </w:r>
          </w:p>
        </w:tc>
        <w:tc>
          <w:tcPr>
            <w:tcW w:w="0" w:type="dxa"/>
            <w:vAlign w:val="bottom"/>
          </w:tcPr>
          <w:p>
            <w:pPr>
              <w:spacing w:after="0"/>
              <w:rPr>
                <w:sz w:val="1"/>
                <w:szCs w:val="1"/>
                <w:color w:val="auto"/>
              </w:rPr>
            </w:pPr>
          </w:p>
        </w:tc>
      </w:tr>
      <w:tr>
        <w:trPr>
          <w:trHeight w:val="185"/>
        </w:trPr>
        <w:tc>
          <w:tcPr>
            <w:tcW w:w="5040" w:type="dxa"/>
            <w:vAlign w:val="bottom"/>
            <w:gridSpan w:val="3"/>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Ownership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520" w:type="dxa"/>
            <w:vAlign w:val="bottom"/>
            <w:tcBorders>
              <w:top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18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IDQ Holdings,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Auto Sector</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2901 West Kingsley Road</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Garland, TX 75041</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ILC Industries, LLC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Electronics</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Second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c/o ILC Holdings Inc.</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 Maritime Plaza, Ste. 1555</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San Francisco, CA 94111</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Infusystems Holdings,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Healthcare, Education</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31700 Research Park Drive</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2"/>
              </w:rPr>
              <w:t>and Childcare</w:t>
            </w: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Madison Heights, MI 48071</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Instant Web,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Printing and Publishing</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7951 Powers Boulevard</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Chanhassen, MN 55317</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Interactive Health Solutions,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Healthcare, Education and</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3800 North Wilke Road, Ste. 155</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4"/>
              </w:rPr>
              <w:t>Childcare</w:t>
            </w: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4"/>
              </w:rPr>
              <w:t>Preferred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Arlington Heights, IL 60004</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Jackson Hewitt Tax Services Inc.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Personal, Food and</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3 Sylvan Way, Ste. 301</w:t>
            </w: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Miscelleneous Services</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Parsippany, NJ 07054</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Jacobs Entertainment,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4"/>
              </w:rPr>
              <w:t>Hotels, Motels, Inns</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17301 W. Colfax Ave., Ste. 250</w:t>
            </w:r>
          </w:p>
        </w:tc>
        <w:tc>
          <w:tcPr>
            <w:tcW w:w="19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and Gaming</w:t>
            </w: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Golden, CO 80401</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JF Acquisition, LLC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Distribution</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2.5%</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1330 St. Mary’s Street, Ste. 210</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Raleigh, NC 27605</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Kadmon Pharmaceuticals,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Healthcare, Education</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(Kadmon Holdings, LLC)</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2"/>
              </w:rPr>
              <w:t>and Childcare</w:t>
            </w: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Alexandria Center for Life Sciences</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450 East 29</w:t>
            </w:r>
            <w:r>
              <w:rPr>
                <w:rFonts w:ascii="Arial" w:cs="Arial" w:eastAsia="Arial" w:hAnsi="Arial"/>
                <w:sz w:val="12"/>
                <w:szCs w:val="12"/>
                <w:color w:val="auto"/>
              </w:rPr>
              <w:t>th</w:t>
            </w:r>
            <w:r>
              <w:rPr>
                <w:rFonts w:ascii="Arial" w:cs="Arial" w:eastAsia="Arial" w:hAnsi="Arial"/>
                <w:sz w:val="14"/>
                <w:szCs w:val="14"/>
                <w:color w:val="auto"/>
              </w:rPr>
              <w:t xml:space="preserve"> Street, 5</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10016</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K2 Pure Solutions NoCal, L.P.</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Chemicals, Plastics</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3515 Massillion Road, Ste. 290</w:t>
            </w: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and Rubber</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Uniontown, OH 44685</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Language Line, LLC</w:t>
            </w:r>
          </w:p>
        </w:tc>
        <w:tc>
          <w:tcPr>
            <w:tcW w:w="19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89"/>
              </w:rPr>
              <w:t>Personal, Food and</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Lower Ragsdale Drive</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2"/>
              </w:rPr>
              <w:t>Miscelleneous Services</w:t>
            </w: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Building 2, Ste. 400</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Monterey, CA 93940</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Learning Care Group (US) No. 2 Inc.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Education</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(Learning Care Group (US), Inc.)</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Warrants</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21333 Haggerty Road, Ste. 300</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Novi, MI 48375</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LINC USA GP and LINC Energy Finance (USA), Inc.</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1000 Louisiana Street, Ste. 1500</w:t>
            </w:r>
          </w:p>
        </w:tc>
        <w:tc>
          <w:tcPr>
            <w:tcW w:w="19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1"/>
              </w:rPr>
              <w:t>Oil and Gas</w:t>
            </w:r>
          </w:p>
        </w:tc>
        <w:tc>
          <w:tcPr>
            <w:tcW w:w="24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2"/>
              </w:rPr>
              <w:t>Second Lien Secured Debt</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Houston, TX 77002</w:t>
            </w:r>
          </w:p>
        </w:tc>
        <w:tc>
          <w:tcPr>
            <w:tcW w:w="1960" w:type="dxa"/>
            <w:vAlign w:val="bottom"/>
            <w:tcBorders>
              <w:bottom w:val="single" w:sz="8" w:color="CCEEFF"/>
            </w:tcBorders>
            <w:gridSpan w:val="2"/>
            <w:vMerge w:val="continue"/>
            <w:shd w:val="clear" w:color="auto" w:fill="CCEEFF"/>
          </w:tcPr>
          <w:p>
            <w:pPr>
              <w:spacing w:after="0"/>
              <w:rPr>
                <w:sz w:val="13"/>
                <w:szCs w:val="13"/>
                <w:color w:val="auto"/>
              </w:rPr>
            </w:pPr>
          </w:p>
        </w:tc>
        <w:tc>
          <w:tcPr>
            <w:tcW w:w="2480" w:type="dxa"/>
            <w:vAlign w:val="bottom"/>
            <w:tcBorders>
              <w:bottom w:val="single" w:sz="8" w:color="CCEEFF"/>
            </w:tcBorders>
            <w:gridSpan w:val="2"/>
            <w:vMerge w:val="continue"/>
            <w:shd w:val="clear" w:color="auto" w:fill="CCEEFF"/>
          </w:tcPr>
          <w:p>
            <w:pPr>
              <w:spacing w:after="0"/>
              <w:rPr>
                <w:sz w:val="13"/>
                <w:szCs w:val="13"/>
                <w:color w:val="auto"/>
              </w:rPr>
            </w:pPr>
          </w:p>
        </w:tc>
        <w:tc>
          <w:tcPr>
            <w:tcW w:w="194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LTI Flexible Products,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Chemical, Plastic</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2"/>
              </w:rPr>
              <w:t>2.8</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600 S. McClure Road,</w:t>
            </w: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and Rubber</w:t>
            </w: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Stanislaus County, CA 95357</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MSpark, Inc. (f/k/a MailSouth,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4"/>
              </w:rPr>
              <w:t>Printing and Publishing</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Subordinated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5901 Highway 52 East</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Helena, AL 35080</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Nature of Business</w:t>
            </w:r>
          </w:p>
        </w:tc>
        <w:tc>
          <w:tcPr>
            <w:tcW w:w="2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Type of Investment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Voting Percentage</w:t>
            </w:r>
          </w:p>
        </w:tc>
        <w:tc>
          <w:tcPr>
            <w:tcW w:w="0" w:type="dxa"/>
            <w:vAlign w:val="bottom"/>
          </w:tcPr>
          <w:p>
            <w:pPr>
              <w:spacing w:after="0"/>
              <w:rPr>
                <w:sz w:val="1"/>
                <w:szCs w:val="1"/>
                <w:color w:val="auto"/>
              </w:rPr>
            </w:pPr>
          </w:p>
        </w:tc>
      </w:tr>
      <w:tr>
        <w:trPr>
          <w:trHeight w:val="185"/>
        </w:trPr>
        <w:tc>
          <w:tcPr>
            <w:tcW w:w="5040" w:type="dxa"/>
            <w:vAlign w:val="bottom"/>
            <w:gridSpan w:val="3"/>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Ownership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520" w:type="dxa"/>
            <w:vAlign w:val="bottom"/>
            <w:tcBorders>
              <w:top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18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Paradigm Management Services,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Healthcare, Education</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(Paradigm Acquisition Corp.)</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2"/>
              </w:rPr>
              <w:t>and Childcare</w:t>
            </w: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1277 Treat Boulevard, Ste. 800</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Walnut Creek, CA 94597</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Penton Media,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Other Media</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249 W. 17</w:t>
            </w:r>
            <w:r>
              <w:rPr>
                <w:rFonts w:ascii="Arial" w:cs="Arial" w:eastAsia="Arial" w:hAnsi="Arial"/>
                <w:sz w:val="12"/>
                <w:szCs w:val="12"/>
                <w:color w:val="auto"/>
              </w:rPr>
              <w:t>th</w:t>
            </w:r>
            <w:r>
              <w:rPr>
                <w:rFonts w:ascii="Arial" w:cs="Arial" w:eastAsia="Arial" w:hAnsi="Arial"/>
                <w:sz w:val="14"/>
                <w:szCs w:val="14"/>
                <w:color w:val="auto"/>
              </w:rPr>
              <w:t xml:space="preserve"> Street, 4</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New York, NY 10011</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w:t>
            </w:r>
          </w:p>
        </w:tc>
        <w:tc>
          <w:tcPr>
            <w:tcW w:w="19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89"/>
              </w:rPr>
              <w:t>Personal, Food and</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(MidOcean PPL Holdings, Inc.)</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2"/>
              </w:rPr>
              <w:t>Miscellaneous Services</w:t>
            </w: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Pre-Paid Way</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Ada, OK 74820</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Prince Mineral Holdings Corp.</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Mining, Steel, Iron and</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14 East 44th Street</w:t>
            </w: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Non-Precious Metals</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New York, NY 10020</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Questex Media Group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3"/>
              </w:rPr>
              <w:t>Other Media</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(QMG HoldCo, LLC)</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275 Grove Street, Ste. 2-130</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Newton, MA 02466</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ROC Finance LLC and ROC Finance 1 Corp.</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Hotels, Motels, Inns</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Second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One Campus Maritus, 1086 Woodward Avenue,</w:t>
            </w: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and Gaming</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Detroit, MI 48226</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TRAK Acquisition Corp.</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0"/>
              </w:rPr>
              <w:t>Business Services</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1001 Brickell Bay Drive, 27</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Warrants</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Miami, FL 33131</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TZ Holdings, L.P. (Trizetto Group,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Insurance</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Preferred Equity</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0.2%</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567 San Nicolas Drive, Ste. 360</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Newport Beach, CA 92660</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Varel International Energy Mezzanine Funding Corp.</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1625 West Crosby Road, Ste. 124</w:t>
            </w:r>
          </w:p>
        </w:tc>
        <w:tc>
          <w:tcPr>
            <w:tcW w:w="19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1"/>
              </w:rPr>
              <w:t>Oil and Gas</w:t>
            </w:r>
          </w:p>
        </w:tc>
        <w:tc>
          <w:tcPr>
            <w:tcW w:w="24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Carrolton, TX 75006</w:t>
            </w:r>
          </w:p>
        </w:tc>
        <w:tc>
          <w:tcPr>
            <w:tcW w:w="1960" w:type="dxa"/>
            <w:vAlign w:val="bottom"/>
            <w:tcBorders>
              <w:bottom w:val="single" w:sz="8" w:color="CCEEFF"/>
            </w:tcBorders>
            <w:gridSpan w:val="2"/>
            <w:vMerge w:val="continue"/>
            <w:shd w:val="clear" w:color="auto" w:fill="CCEEFF"/>
          </w:tcPr>
          <w:p>
            <w:pPr>
              <w:spacing w:after="0"/>
              <w:rPr>
                <w:sz w:val="13"/>
                <w:szCs w:val="13"/>
                <w:color w:val="auto"/>
              </w:rPr>
            </w:pPr>
          </w:p>
        </w:tc>
        <w:tc>
          <w:tcPr>
            <w:tcW w:w="2480" w:type="dxa"/>
            <w:vAlign w:val="bottom"/>
            <w:tcBorders>
              <w:bottom w:val="single" w:sz="8" w:color="CCEEFF"/>
            </w:tcBorders>
            <w:gridSpan w:val="2"/>
            <w:vMerge w:val="continue"/>
            <w:shd w:val="clear" w:color="auto" w:fill="CCEEFF"/>
          </w:tcPr>
          <w:p>
            <w:pPr>
              <w:spacing w:after="0"/>
              <w:rPr>
                <w:sz w:val="13"/>
                <w:szCs w:val="13"/>
                <w:color w:val="auto"/>
              </w:rPr>
            </w:pPr>
          </w:p>
        </w:tc>
        <w:tc>
          <w:tcPr>
            <w:tcW w:w="194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Veritext Corp. (VText Holdings,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Business Services</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Common Equity</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3.6%</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50 Public Square, 29</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Cleveland, OH 44113</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Vestcom Parent Holdings,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4"/>
              </w:rPr>
              <w:t>Printing and Publishing</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Subordinated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(Vestcom International, Inc.)</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7304 Kanis Road</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Little Rock, AR 72204</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VRide Holdings, Inc.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Personal Transportation</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Preferred Equity</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3.3%</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1220 Rankin Drive</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Troy, MI 48083</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Worley Claims Services,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1"/>
              </w:rPr>
              <w:t>Insurance</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303 Timber Creek,</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Hammond, LA 70403</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AKA Diversified Holdings, Inc.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Retail</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7505 South Louise Avenue,</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Sioux Falls, SD 57108</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5% to 24% Owned</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DirectBuy Holdings,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Consumer Products</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5"/>
              </w:rPr>
              <w:t>10.4%</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8450 Broadway</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Merrillville, IN 46410</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2500" w:type="dxa"/>
            <w:vAlign w:val="bottom"/>
          </w:tcPr>
          <w:p>
            <w:pPr>
              <w:spacing w:after="0"/>
              <w:rPr>
                <w:sz w:val="14"/>
                <w:szCs w:val="14"/>
                <w:color w:val="auto"/>
              </w:rPr>
            </w:pP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Nature of Business</w:t>
            </w:r>
          </w:p>
        </w:tc>
        <w:tc>
          <w:tcPr>
            <w:tcW w:w="2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Type of Investment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Voting Percentage</w:t>
            </w:r>
          </w:p>
        </w:tc>
        <w:tc>
          <w:tcPr>
            <w:tcW w:w="0" w:type="dxa"/>
            <w:vAlign w:val="bottom"/>
          </w:tcPr>
          <w:p>
            <w:pPr>
              <w:spacing w:after="0"/>
              <w:rPr>
                <w:sz w:val="1"/>
                <w:szCs w:val="1"/>
                <w:color w:val="auto"/>
              </w:rPr>
            </w:pPr>
          </w:p>
        </w:tc>
      </w:tr>
      <w:tr>
        <w:trPr>
          <w:trHeight w:val="185"/>
        </w:trPr>
        <w:tc>
          <w:tcPr>
            <w:tcW w:w="2540" w:type="dxa"/>
            <w:vAlign w:val="bottom"/>
            <w:gridSpan w:val="2"/>
            <w:vMerge w:val="continue"/>
          </w:tcPr>
          <w:p>
            <w:pPr>
              <w:spacing w:after="0"/>
              <w:rPr>
                <w:sz w:val="16"/>
                <w:szCs w:val="16"/>
                <w:color w:val="auto"/>
              </w:rPr>
            </w:pPr>
          </w:p>
        </w:tc>
        <w:tc>
          <w:tcPr>
            <w:tcW w:w="250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Ownership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520" w:type="dxa"/>
            <w:vAlign w:val="bottom"/>
            <w:tcBorders>
              <w:top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18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EnviroSolutions Holdings, Inc.</w:t>
            </w:r>
          </w:p>
        </w:tc>
        <w:tc>
          <w:tcPr>
            <w:tcW w:w="250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Environmental Services</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13.7%</w:t>
            </w:r>
            <w:r>
              <w:rPr>
                <w:rFonts w:ascii="Arial" w:cs="Arial" w:eastAsia="Arial" w:hAnsi="Arial"/>
                <w:sz w:val="12"/>
                <w:szCs w:val="12"/>
                <w:color w:val="auto"/>
                <w:w w:val="95"/>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11220 Asset Loop, Ste. 201</w:t>
            </w:r>
          </w:p>
        </w:tc>
        <w:tc>
          <w:tcPr>
            <w:tcW w:w="25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Manassas, VA 20109</w:t>
            </w:r>
          </w:p>
        </w:tc>
        <w:tc>
          <w:tcPr>
            <w:tcW w:w="25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40" w:type="dxa"/>
            <w:vAlign w:val="bottom"/>
            <w:gridSpan w:val="2"/>
          </w:tcPr>
          <w:p>
            <w:pPr>
              <w:spacing w:after="0"/>
              <w:rPr>
                <w:sz w:val="20"/>
                <w:szCs w:val="20"/>
                <w:color w:val="auto"/>
              </w:rPr>
            </w:pPr>
            <w:r>
              <w:rPr>
                <w:rFonts w:ascii="Arial" w:cs="Arial" w:eastAsia="Arial" w:hAnsi="Arial"/>
                <w:sz w:val="14"/>
                <w:szCs w:val="14"/>
                <w:color w:val="auto"/>
              </w:rPr>
              <w:t>PAS Technologies, Inc.</w:t>
            </w:r>
          </w:p>
        </w:tc>
        <w:tc>
          <w:tcPr>
            <w:tcW w:w="2500" w:type="dxa"/>
            <w:vAlign w:val="bottom"/>
          </w:tcPr>
          <w:p>
            <w:pPr>
              <w:spacing w:after="0"/>
              <w:rPr>
                <w:sz w:val="20"/>
                <w:szCs w:val="20"/>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Aerospace and Defense</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Preferred Equity</w:t>
            </w:r>
          </w:p>
        </w:tc>
        <w:tc>
          <w:tcPr>
            <w:tcW w:w="1940" w:type="dxa"/>
            <w:vAlign w:val="bottom"/>
          </w:tcPr>
          <w:p>
            <w:pPr>
              <w:jc w:val="center"/>
              <w:spacing w:after="0"/>
              <w:rPr>
                <w:sz w:val="20"/>
                <w:szCs w:val="20"/>
                <w:color w:val="auto"/>
              </w:rPr>
            </w:pPr>
            <w:r>
              <w:rPr>
                <w:rFonts w:ascii="Arial" w:cs="Arial" w:eastAsia="Arial" w:hAnsi="Arial"/>
                <w:sz w:val="14"/>
                <w:szCs w:val="14"/>
                <w:color w:val="auto"/>
                <w:w w:val="95"/>
              </w:rPr>
              <w:t>22.0%</w:t>
            </w:r>
            <w:r>
              <w:rPr>
                <w:rFonts w:ascii="Arial" w:cs="Arial" w:eastAsia="Arial" w:hAnsi="Arial"/>
                <w:sz w:val="12"/>
                <w:szCs w:val="12"/>
                <w:color w:val="auto"/>
                <w:w w:val="95"/>
              </w:rPr>
              <w:t>(2)</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(PAS Tech Holdings, Inc.)</w:t>
            </w:r>
          </w:p>
        </w:tc>
        <w:tc>
          <w:tcPr>
            <w:tcW w:w="2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1234 Atlantic Street</w:t>
            </w:r>
          </w:p>
        </w:tc>
        <w:tc>
          <w:tcPr>
            <w:tcW w:w="2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40" w:type="dxa"/>
            <w:vAlign w:val="bottom"/>
            <w:gridSpan w:val="2"/>
          </w:tcPr>
          <w:p>
            <w:pPr>
              <w:spacing w:after="0"/>
              <w:rPr>
                <w:sz w:val="20"/>
                <w:szCs w:val="20"/>
                <w:color w:val="auto"/>
              </w:rPr>
            </w:pPr>
            <w:r>
              <w:rPr>
                <w:rFonts w:ascii="Arial" w:cs="Arial" w:eastAsia="Arial" w:hAnsi="Arial"/>
                <w:sz w:val="14"/>
                <w:szCs w:val="14"/>
                <w:color w:val="auto"/>
              </w:rPr>
              <w:t>North Kansas City, MO 64116</w:t>
            </w:r>
          </w:p>
        </w:tc>
        <w:tc>
          <w:tcPr>
            <w:tcW w:w="2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Performance Holdings, Inc.</w:t>
            </w:r>
          </w:p>
        </w:tc>
        <w:tc>
          <w:tcPr>
            <w:tcW w:w="250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5"/>
              </w:rPr>
              <w:t>Leisure, Amusement, Motion</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Subordinated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(NCP-Performance)</w:t>
            </w:r>
          </w:p>
        </w:tc>
        <w:tc>
          <w:tcPr>
            <w:tcW w:w="250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3"/>
              </w:rPr>
              <w:t>Pictures, Entertainment</w:t>
            </w: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 Performance Way</w:t>
            </w:r>
          </w:p>
        </w:tc>
        <w:tc>
          <w:tcPr>
            <w:tcW w:w="25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Chapel Hill, NC 27514</w:t>
            </w:r>
          </w:p>
        </w:tc>
        <w:tc>
          <w:tcPr>
            <w:tcW w:w="25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40" w:type="dxa"/>
            <w:vAlign w:val="bottom"/>
            <w:gridSpan w:val="2"/>
          </w:tcPr>
          <w:p>
            <w:pPr>
              <w:spacing w:after="0"/>
              <w:rPr>
                <w:sz w:val="20"/>
                <w:szCs w:val="20"/>
                <w:color w:val="auto"/>
              </w:rPr>
            </w:pPr>
            <w:r>
              <w:rPr>
                <w:rFonts w:ascii="Arial" w:cs="Arial" w:eastAsia="Arial" w:hAnsi="Arial"/>
                <w:sz w:val="14"/>
                <w:szCs w:val="14"/>
                <w:color w:val="auto"/>
              </w:rPr>
              <w:t>Service Champ, Inc.</w:t>
            </w:r>
          </w:p>
        </w:tc>
        <w:tc>
          <w:tcPr>
            <w:tcW w:w="2500" w:type="dxa"/>
            <w:vAlign w:val="bottom"/>
          </w:tcPr>
          <w:p>
            <w:pPr>
              <w:spacing w:after="0"/>
              <w:rPr>
                <w:sz w:val="20"/>
                <w:szCs w:val="20"/>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Auto Sector</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7.7%</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180 New Britain Blvd.</w:t>
            </w:r>
          </w:p>
        </w:tc>
        <w:tc>
          <w:tcPr>
            <w:tcW w:w="2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40" w:type="dxa"/>
            <w:vAlign w:val="bottom"/>
            <w:gridSpan w:val="2"/>
          </w:tcPr>
          <w:p>
            <w:pPr>
              <w:spacing w:after="0"/>
              <w:rPr>
                <w:sz w:val="20"/>
                <w:szCs w:val="20"/>
                <w:color w:val="auto"/>
              </w:rPr>
            </w:pPr>
            <w:r>
              <w:rPr>
                <w:rFonts w:ascii="Arial" w:cs="Arial" w:eastAsia="Arial" w:hAnsi="Arial"/>
                <w:sz w:val="14"/>
                <w:szCs w:val="14"/>
                <w:color w:val="auto"/>
              </w:rPr>
              <w:t>Chalfont, PA 18914</w:t>
            </w:r>
          </w:p>
        </w:tc>
        <w:tc>
          <w:tcPr>
            <w:tcW w:w="2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Companies 25% or More Owned</w:t>
            </w:r>
          </w:p>
        </w:tc>
        <w:tc>
          <w:tcPr>
            <w:tcW w:w="250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540" w:type="dxa"/>
            <w:vAlign w:val="bottom"/>
            <w:gridSpan w:val="2"/>
          </w:tcPr>
          <w:p>
            <w:pPr>
              <w:spacing w:after="0"/>
              <w:rPr>
                <w:sz w:val="20"/>
                <w:szCs w:val="20"/>
                <w:color w:val="auto"/>
              </w:rPr>
            </w:pPr>
            <w:r>
              <w:rPr>
                <w:rFonts w:ascii="Arial" w:cs="Arial" w:eastAsia="Arial" w:hAnsi="Arial"/>
                <w:sz w:val="14"/>
                <w:szCs w:val="14"/>
                <w:color w:val="auto"/>
              </w:rPr>
              <w:t>SuttonPark Holdings, Inc.</w:t>
            </w:r>
          </w:p>
        </w:tc>
        <w:tc>
          <w:tcPr>
            <w:tcW w:w="2500" w:type="dxa"/>
            <w:vAlign w:val="bottom"/>
          </w:tcPr>
          <w:p>
            <w:pPr>
              <w:spacing w:after="0"/>
              <w:rPr>
                <w:sz w:val="20"/>
                <w:szCs w:val="20"/>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Business Services</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4"/>
              </w:rPr>
              <w:t>100.0%</w:t>
            </w:r>
            <w:r>
              <w:rPr>
                <w:rFonts w:ascii="Arial" w:cs="Arial" w:eastAsia="Arial" w:hAnsi="Arial"/>
                <w:sz w:val="12"/>
                <w:szCs w:val="12"/>
                <w:color w:val="auto"/>
                <w:w w:val="94"/>
              </w:rPr>
              <w:t>(2),(3)</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590 Madison Avenue, 15</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2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Subordinated Debt</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New York, NY 10022</w:t>
            </w:r>
          </w:p>
        </w:tc>
        <w:tc>
          <w:tcPr>
            <w:tcW w:w="2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Preferred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UP Support Services, Inc.</w:t>
            </w:r>
          </w:p>
        </w:tc>
        <w:tc>
          <w:tcPr>
            <w:tcW w:w="250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rPr>
              <w:t>Oil &amp; Gas</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30.2%</w:t>
            </w:r>
            <w:r>
              <w:rPr>
                <w:rFonts w:ascii="Arial" w:cs="Arial" w:eastAsia="Arial" w:hAnsi="Arial"/>
                <w:sz w:val="12"/>
                <w:szCs w:val="12"/>
                <w:color w:val="auto"/>
                <w:w w:val="93"/>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4848 Loop Central Drive</w:t>
            </w:r>
          </w:p>
        </w:tc>
        <w:tc>
          <w:tcPr>
            <w:tcW w:w="25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Houston, TX 77081</w:t>
            </w:r>
          </w:p>
        </w:tc>
        <w:tc>
          <w:tcPr>
            <w:tcW w:w="25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Preferred Equity</w:t>
            </w: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where we have voting rights.</w:t>
      </w:r>
    </w:p>
    <w:p>
      <w:pPr>
        <w:ind w:left="340" w:hanging="332"/>
        <w:spacing w:after="0" w:line="221"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Indicates that we hold voting seats on portfolio companies’ boards of directors.</w:t>
      </w: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Indicates that we provide managerial assistance. See “Certain Relationships and Transactions” for more information.</w:t>
      </w:r>
    </w:p>
    <w:p>
      <w:pPr>
        <w:spacing w:after="0" w:line="196"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w w:val="93"/>
              </w:rPr>
              <w:t>Industry Classification</w:t>
            </w:r>
          </w:p>
        </w:tc>
        <w:tc>
          <w:tcPr>
            <w:tcW w:w="7940" w:type="dxa"/>
            <w:vAlign w:val="bottom"/>
            <w:vMerge w:val="restart"/>
          </w:tcPr>
          <w:p>
            <w:pPr>
              <w:spacing w:after="0"/>
              <w:rPr>
                <w:sz w:val="14"/>
                <w:szCs w:val="14"/>
                <w:color w:val="auto"/>
              </w:rPr>
            </w:pPr>
          </w:p>
        </w:tc>
        <w:tc>
          <w:tcPr>
            <w:tcW w:w="20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34"/>
        </w:trPr>
        <w:tc>
          <w:tcPr>
            <w:tcW w:w="1420" w:type="dxa"/>
            <w:vAlign w:val="bottom"/>
            <w:tcBorders>
              <w:bottom w:val="single" w:sz="8" w:color="auto"/>
            </w:tcBorders>
            <w:vMerge w:val="continue"/>
          </w:tcPr>
          <w:p>
            <w:pPr>
              <w:spacing w:after="0"/>
              <w:rPr>
                <w:sz w:val="11"/>
                <w:szCs w:val="11"/>
                <w:color w:val="auto"/>
              </w:rPr>
            </w:pPr>
          </w:p>
        </w:tc>
        <w:tc>
          <w:tcPr>
            <w:tcW w:w="7940" w:type="dxa"/>
            <w:vAlign w:val="bottom"/>
            <w:vMerge w:val="continue"/>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2013</w:t>
            </w:r>
          </w:p>
        </w:tc>
        <w:tc>
          <w:tcPr>
            <w:tcW w:w="1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360" w:type="dxa"/>
            <w:vAlign w:val="bottom"/>
            <w:gridSpan w:val="2"/>
            <w:vMerge w:val="restart"/>
            <w:shd w:val="clear" w:color="auto" w:fill="CCEEFF"/>
          </w:tcPr>
          <w:p>
            <w:pPr>
              <w:spacing w:after="0" w:line="155" w:lineRule="exact"/>
              <w:rPr>
                <w:sz w:val="20"/>
                <w:szCs w:val="20"/>
                <w:color w:val="auto"/>
              </w:rPr>
            </w:pPr>
            <w:r>
              <w:rPr>
                <w:rFonts w:ascii="Arial" w:cs="Arial" w:eastAsia="Arial" w:hAnsi="Arial"/>
                <w:sz w:val="14"/>
                <w:szCs w:val="14"/>
                <w:color w:val="auto"/>
              </w:rPr>
              <w:t>Personal, Food and Miscellaneous Services</w:t>
            </w: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9360" w:type="dxa"/>
            <w:vAlign w:val="bottom"/>
            <w:gridSpan w:val="2"/>
            <w:vMerge w:val="continue"/>
            <w:shd w:val="clear" w:color="auto" w:fill="CCEEFF"/>
          </w:tcPr>
          <w:p>
            <w:pPr>
              <w:spacing w:after="0"/>
              <w:rPr>
                <w:sz w:val="11"/>
                <w:szCs w:val="11"/>
                <w:color w:val="auto"/>
              </w:rPr>
            </w:pPr>
          </w:p>
        </w:tc>
        <w:tc>
          <w:tcPr>
            <w:tcW w:w="1500" w:type="dxa"/>
            <w:vAlign w:val="bottom"/>
            <w:gridSpan w:val="2"/>
            <w:shd w:val="clear" w:color="auto" w:fill="CCEEFF"/>
          </w:tcPr>
          <w:p>
            <w:pPr>
              <w:jc w:val="right"/>
              <w:ind w:right="1000"/>
              <w:spacing w:after="0" w:line="136" w:lineRule="exact"/>
              <w:rPr>
                <w:sz w:val="20"/>
                <w:szCs w:val="20"/>
                <w:color w:val="auto"/>
              </w:rPr>
            </w:pPr>
            <w:r>
              <w:rPr>
                <w:rFonts w:ascii="Arial" w:cs="Arial" w:eastAsia="Arial" w:hAnsi="Arial"/>
                <w:sz w:val="14"/>
                <w:szCs w:val="14"/>
                <w:color w:val="auto"/>
              </w:rPr>
              <w:t>11%</w:t>
            </w:r>
          </w:p>
        </w:tc>
        <w:tc>
          <w:tcPr>
            <w:tcW w:w="56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Printing and Publishing</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9</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8</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Electronics</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8</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Energy/Utilities</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8</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Healthcare, Education and Childcare</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7</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Oil and Gas</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7</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6</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Products</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5</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Hotels, Motels, Inns and Gaming</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5</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Media</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5</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Auto Sector</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4</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Communication</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3</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Distribution</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2</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Diversified Natural Resources, Precious Metals and Minerals</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2</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Environmental Services</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2</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Cargo Transport</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1</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Education</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1</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Mining, Steel, Iron and Non-Precious Metals</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1</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Insurance</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1</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Aerospace and Defense</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Buildings and Real Estate</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Leisure, Amusement, Motion Pictures, Entertainment</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Telecommunications</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4</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4"/>
                <w:szCs w:val="14"/>
                <w:color w:val="auto"/>
              </w:rPr>
              <w:t>Total</w:t>
            </w:r>
          </w:p>
        </w:tc>
        <w:tc>
          <w:tcPr>
            <w:tcW w:w="3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360" w:type="dxa"/>
            <w:vAlign w:val="bottom"/>
            <w:gridSpan w:val="2"/>
            <w:vMerge w:val="continue"/>
          </w:tcPr>
          <w:p>
            <w:pPr>
              <w:spacing w:after="0"/>
              <w:rPr>
                <w:sz w:val="13"/>
                <w:szCs w:val="13"/>
                <w:color w:val="auto"/>
              </w:rPr>
            </w:pPr>
          </w:p>
        </w:tc>
        <w:tc>
          <w:tcPr>
            <w:tcW w:w="1500" w:type="dxa"/>
            <w:vAlign w:val="bottom"/>
            <w:gridSpan w:val="2"/>
          </w:tcPr>
          <w:p>
            <w:pPr>
              <w:jc w:val="right"/>
              <w:ind w:right="1000"/>
              <w:spacing w:after="0" w:line="155" w:lineRule="exact"/>
              <w:rPr>
                <w:sz w:val="20"/>
                <w:szCs w:val="20"/>
                <w:color w:val="auto"/>
              </w:rPr>
            </w:pPr>
            <w:r>
              <w:rPr>
                <w:rFonts w:ascii="Arial" w:cs="Arial" w:eastAsia="Arial" w:hAnsi="Arial"/>
                <w:sz w:val="14"/>
                <w:szCs w:val="14"/>
                <w:color w:val="auto"/>
              </w:rPr>
              <w:t>100%</w:t>
            </w: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Director</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r>
      <w:tr>
        <w:trPr>
          <w:trHeight w:val="24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4000" w:type="dxa"/>
            <w:vAlign w:val="bottom"/>
            <w:gridSpan w:val="3"/>
          </w:tcPr>
          <w:p>
            <w:pPr>
              <w:ind w:left="340"/>
              <w:spacing w:after="0"/>
              <w:rPr>
                <w:sz w:val="20"/>
                <w:szCs w:val="20"/>
                <w:color w:val="auto"/>
              </w:rPr>
            </w:pPr>
            <w:r>
              <w:rPr>
                <w:rFonts w:ascii="Arial" w:cs="Arial" w:eastAsia="Arial" w:hAnsi="Arial"/>
                <w:sz w:val="18"/>
                <w:szCs w:val="18"/>
                <w:b w:val="1"/>
                <w:bCs w:val="1"/>
                <w:color w:val="auto"/>
              </w:rPr>
              <w:t>Position</w:t>
            </w: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Since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of Term</w:t>
            </w:r>
          </w:p>
        </w:tc>
      </w:tr>
      <w:tr>
        <w:trPr>
          <w:trHeight w:val="216"/>
        </w:trPr>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400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4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400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4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2"/>
        </w:trPr>
        <w:tc>
          <w:tcPr>
            <w:tcW w:w="4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Arthur H. Penn</w:t>
            </w:r>
          </w:p>
        </w:tc>
        <w:tc>
          <w:tcPr>
            <w:tcW w:w="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50</w:t>
            </w:r>
          </w:p>
        </w:tc>
        <w:tc>
          <w:tcPr>
            <w:tcW w:w="400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Chairman of the Board and Chief</w:t>
            </w:r>
          </w:p>
        </w:tc>
        <w:tc>
          <w:tcPr>
            <w:tcW w:w="7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2007</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2016</w:t>
            </w:r>
          </w:p>
        </w:tc>
      </w:tr>
      <w:tr>
        <w:trPr>
          <w:trHeight w:val="230"/>
        </w:trPr>
        <w:tc>
          <w:tcPr>
            <w:tcW w:w="4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Executive Officer</w:t>
            </w:r>
          </w:p>
        </w:tc>
        <w:tc>
          <w:tcPr>
            <w:tcW w:w="7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Investment.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9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Age</w:t>
            </w:r>
          </w:p>
        </w:tc>
        <w:tc>
          <w:tcPr>
            <w:tcW w:w="492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Aviv Efrat</w:t>
            </w:r>
          </w:p>
        </w:tc>
        <w:tc>
          <w:tcPr>
            <w:tcW w:w="4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460" w:type="dxa"/>
            <w:vAlign w:val="bottom"/>
            <w:tcBorders>
              <w:top w:val="single" w:sz="8" w:color="CCEEFF"/>
            </w:tcBorders>
            <w:shd w:val="clear" w:color="auto" w:fill="CCEEFF"/>
          </w:tcPr>
          <w:p>
            <w:pPr>
              <w:spacing w:after="0"/>
              <w:rPr>
                <w:sz w:val="18"/>
                <w:szCs w:val="18"/>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officer who is not a director of PennantPark Investment.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9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Age</w:t>
            </w:r>
          </w:p>
        </w:tc>
        <w:tc>
          <w:tcPr>
            <w:tcW w:w="492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Guy F. Talarico</w:t>
            </w:r>
          </w:p>
        </w:tc>
        <w:tc>
          <w:tcPr>
            <w:tcW w:w="4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w:t>
            </w:r>
          </w:p>
        </w:tc>
        <w:tc>
          <w:tcPr>
            <w:tcW w:w="460" w:type="dxa"/>
            <w:vAlign w:val="bottom"/>
            <w:tcBorders>
              <w:top w:val="single" w:sz="8" w:color="CCEEFF"/>
            </w:tcBorders>
            <w:shd w:val="clear" w:color="auto" w:fill="CCEEFF"/>
          </w:tcPr>
          <w:p>
            <w:pPr>
              <w:spacing w:after="0"/>
              <w:rPr>
                <w:sz w:val="18"/>
                <w:szCs w:val="18"/>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Compliance Officer</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executive office is located at 590 Madison Avenue, 15th Floor, New York, New York 10022.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 of Chief Executive Officer and Chairman of the board of directors results in efficiencies in managing us by eliminating the need to transfer substantial information quickly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repeatedly between the Chief Executive Officer and the Chairman and by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provide us and the potential conflicts of interest that could arise from these relationships.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board of directors performs its risk oversight function primarily through (1) its three standing committees, described more fully below, which report to the entire board of directors and are comprised solely of Independent Directors and (2) monitoring by our Chief Compliance Officer in accordance with our compliance policies and procedures.</w:t>
      </w:r>
    </w:p>
    <w:p>
      <w:pPr>
        <w:spacing w:after="0" w:line="18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As described below in more detail under “Audit Committee,” “Nominating and Corporate Governance Committee” and “Compensation Committee,” the board of directors’ Audit Committee, Nominating and Corporate Governance Committee and Compensation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board of directors and our management. The Compensation Committee’s risk oversight responsibilities include determining, or recommending to the board for determining, the compensation of the Company’s chief executive officer and all other executive officers, paid directly by the Company, if any, and assisting the board of directors with matters related to compensation, as directed by the board of directors. The Audit Committee, Nominating and Corporate Governance Committee and Compensation Committee consist solely of Independent Directors.</w:t>
      </w:r>
    </w:p>
    <w:p>
      <w:pPr>
        <w:spacing w:after="0" w:line="180" w:lineRule="exact"/>
        <w:rPr>
          <w:sz w:val="20"/>
          <w:szCs w:val="20"/>
          <w:color w:val="auto"/>
        </w:rPr>
      </w:pPr>
    </w:p>
    <w:p>
      <w:pPr>
        <w:ind w:right="160" w:firstLine="456"/>
        <w:spacing w:after="0" w:line="285"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Our Chief Compliance Officer prepares a written report annually discussing the adequacy and effectiveness of the compliance policies and procedures and certain of its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w:t>
      </w:r>
    </w:p>
    <w:p>
      <w:pPr>
        <w:spacing w:after="0" w:line="2" w:lineRule="exact"/>
        <w:rPr>
          <w:sz w:val="20"/>
          <w:szCs w:val="20"/>
          <w:color w:val="auto"/>
        </w:rPr>
      </w:pPr>
    </w:p>
    <w:p>
      <w:pPr>
        <w:ind w:right="80" w:firstLine="8"/>
        <w:spacing w:after="0" w:line="255" w:lineRule="auto"/>
        <w:tabs>
          <w:tab w:leader="none" w:pos="2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19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believe that the board of directors’ role in risk oversight is effective and appropriate given the extensive regulation to which it is already subject as a BDC. Specifically, as a BDC, we must comply with certain regulatory requirements that control the levels of risk in our business and operations. For example, our ability to incur indebtedness is limited by the asset coverage requirements set forth in the 1940 Act (including any relief provided by the SEC thereto),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17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believe that the extent of the board of directors’ and its committees’ roles in risk oversight complements the board of directors’ leadership structure. Because they are comprised solely of Independent Directors,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Audit Committee, the Nominating and Corporate Governance Committee and Compensation Committee are able to exercise their oversight responsibilities without any conflict of interest that might discourage critical questioning and review. Through regular executive session meetings with our independent auditors,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 their respective risk oversight functions, including through formal annual assessments of performance, to ensure that they meet our needs.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with respect to each director considered by the board of directors. Our directors have been divided into two groups-interested directors and Independent Directors. Interested directors are “interested persons” as defined in the 1940 Act.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Adam K. Bernstein (50), Director. Mr. Bernstein became a Director of PennantPark Investment and PennantPark Floating Rate Capital Ltd. in February 2007 and October 2010, respectively. Mr. Bernstein is President of The Bernstein Companies, a Washington, D.C.-based real estate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17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Marshall Brozost (46), Director. Mr. Brozost became a Director of PennantPark Investment Corporation and PennantPark Floating Rate Capital Ltd. in February 2007 and October 2010, respectively. Since May 2012, Mr. Brozost has been a Partner at Schulte Roth &amp; Zabel LLP, where he practices in the real estate and private equity groups. Prior to Schulte Roth &amp; Zabel, Mr. Brozost practiced law at O’Melveny &amp; Myers LLP from 2001 to 2004; Solomon &amp; Weinberg LLP from 2004 to 2005; and Dewey &amp; LeBoeuf LLP from 2005 to 2012. Mr. Brozost also served as a Vice President of Nomura Asset Capital Corporation from 1997 through 2000.</w:t>
      </w:r>
    </w:p>
    <w:p>
      <w:pPr>
        <w:spacing w:after="0" w:line="18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Jeffrey Flug (51), Director. Mr. Flug became a Director of PennantPark Investment and PennantPark Floating Rate Capital Ltd. in February 2007 and October 2010, respectively. Since October 2012, Mr. Flug has been a director of Sears Hometown and Outlet Stores, Inc. Since 2009, Mr. Flug has been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78" w:lineRule="exact"/>
        <w:rPr>
          <w:sz w:val="20"/>
          <w:szCs w:val="20"/>
          <w:color w:val="auto"/>
        </w:rPr>
      </w:pPr>
    </w:p>
    <w:p>
      <w:pPr>
        <w:ind w:firstLine="571"/>
        <w:spacing w:after="0" w:line="286" w:lineRule="auto"/>
        <w:rPr>
          <w:sz w:val="20"/>
          <w:szCs w:val="20"/>
          <w:color w:val="auto"/>
        </w:rPr>
      </w:pPr>
      <w:r>
        <w:rPr>
          <w:rFonts w:ascii="Arial" w:cs="Arial" w:eastAsia="Arial" w:hAnsi="Arial"/>
          <w:sz w:val="17"/>
          <w:szCs w:val="17"/>
          <w:color w:val="auto"/>
        </w:rPr>
        <w:t>Samuel L. Katz (48), Director. Mr. Katz became a Director of PennantPark Investment and PennantPark Floating Rate Capital Ltd. in February 2007 and October 2010, respectively. Since 2007, Mr. Katz has been the Managing Partner of TZP Group LLC, a private equity fund. He served as Chief Executive Officer of MacAndrews &amp; Forbes Acquisition Holdings, Inc. from 2006 to 2007. From 1996 to 2006, Mr. Katz held a variety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Arthur H. Penn (50), Founder, Chief Executive Officer and Chairman of the board of directors. Mr. Penn became the Chief Executive Officer and a Director of PennantPark Investment and PennantPark Floating Rate Capital Ltd. at their inception in January 2007 and October 2010, respectively.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Aviv Efrat (49), Chief Financial Officer and Treasurer. Mr. Efrat became Chief Financial Officer and Treasurer of PennantPark Investment and PennantPark Floating Rate Capital Ltd. in February 2007 and October 2010,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9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Guy F. Talarico (58), Chief Compliance Officer. Mr. Talarico became Chief Compliance Officer of PennantPark Investment and PennantPark Floating Rate Capital Ltd. in May 2008 and March 2011, respectively. Mr. Talarico has served as Chief Compliance Officer for investment advisers, private funds and investment companies since 2004 when he founded Alaric Compliance Services, LLC.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the fiscal year ended September 30, 2013, we held four board of directors meetings, four Audit Committee meetings and one Nominating and Corporate Governance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annual meeting of stockholders.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120" w:firstLine="571"/>
        <w:spacing w:after="0" w:line="277" w:lineRule="auto"/>
        <w:rPr>
          <w:sz w:val="20"/>
          <w:szCs w:val="20"/>
          <w:color w:val="auto"/>
        </w:rPr>
      </w:pPr>
      <w:r>
        <w:rPr>
          <w:rFonts w:ascii="Arial" w:cs="Arial" w:eastAsia="Arial" w:hAnsi="Arial"/>
          <w:sz w:val="18"/>
          <w:szCs w:val="18"/>
          <w:color w:val="auto"/>
        </w:rPr>
        <w:t>The members of the Audit Committee are Messrs. Bernstein, Brozost, Flug and Katz, each of whom is independent for purposes of the 1940 Act and the NASDAQ and NYSE corporate governance rules. Messrs. Flug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and Katz serve as Co-Chairmen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 xml:space="preserve">The members of the Nominating and Corporate Governance Committee are Messrs. Bernstein, Brozost, Flug and Katz, each of whom is independent for purposes of the 1940 Act and the NASDAQ and NYSE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7"/>
          <w:szCs w:val="17"/>
          <w:i w:val="1"/>
          <w:iCs w:val="1"/>
          <w:u w:val="single" w:color="auto"/>
          <w:color w:val="auto"/>
        </w:rPr>
        <w:t>www.pennantpark.com</w:t>
      </w:r>
      <w:r>
        <w:rPr>
          <w:rFonts w:ascii="Arial" w:cs="Arial" w:eastAsia="Arial" w:hAnsi="Arial"/>
          <w:sz w:val="17"/>
          <w:szCs w:val="17"/>
          <w:i w:val="1"/>
          <w:iCs w:val="1"/>
          <w:color w:val="auto"/>
        </w:rPr>
        <w:t>.</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Nominating and Corporate Governance Committee will consider such factors as they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Nominating and Corporate Governance Committee evaluate the membership of the board of directors and whether the board of directors maintains satisfactory policies regarding membership selection.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The Compensation Committee is responsible for determining, or recommending to the board of directors for determining, the compensation of the Company’s chief executive officer and all other executive officers, paid directly by the Company, if any. The Compensation Committee also assists the board of directors with all matters related to compensation, as directed by the board of directors. The current members of the Compensation Committee are Messrs. Bernstein, Brozost, Flug and Katz, each of whom is not an interested person of us for purposes of the 1940 Act and the NASDAQ corporate governance rules. As discussed below, none of our executive officers is directly compensated by the Company and, as a result, the Compensation Committee does not produce and/or review and report on executive compensation practices. The Compensation Committee Charter is available on the Company’s website </w:t>
      </w:r>
      <w:r>
        <w:rPr>
          <w:rFonts w:ascii="Arial" w:cs="Arial" w:eastAsia="Arial" w:hAnsi="Arial"/>
          <w:sz w:val="18"/>
          <w:szCs w:val="18"/>
          <w:u w:val="single" w:color="auto"/>
          <w:color w:val="auto"/>
        </w:rPr>
        <w:t>(</w:t>
      </w:r>
      <w:r>
        <w:rPr>
          <w:rFonts w:ascii="Arial" w:cs="Arial" w:eastAsia="Arial" w:hAnsi="Arial"/>
          <w:sz w:val="18"/>
          <w:szCs w:val="18"/>
          <w:i w:val="1"/>
          <w:iCs w:val="1"/>
          <w:u w:val="single" w:color="auto"/>
          <w:color w:val="auto"/>
        </w:rPr>
        <w:t>www.pennantpark.com</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2013. No compensation is paid directly by us to any interested director or executive officer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7"/>
              </w:rPr>
              <w:t>PennantPark Investment Corporation</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PennantPark Floating Rate Capital, Ltd.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2"/>
              </w:rPr>
              <w:t>Aggregate</w:t>
            </w:r>
          </w:p>
        </w:tc>
        <w:tc>
          <w:tcPr>
            <w:tcW w:w="13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Pension or</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89"/>
              </w:rPr>
              <w:t>Aggregate</w:t>
            </w:r>
          </w:p>
        </w:tc>
        <w:tc>
          <w:tcPr>
            <w:tcW w:w="156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8"/>
              </w:rPr>
              <w:t>Pension or</w:t>
            </w: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retirement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retirement</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9"/>
              </w:rPr>
              <w:t>benefits accrued</w:t>
            </w:r>
          </w:p>
        </w:tc>
        <w:tc>
          <w:tcPr>
            <w:tcW w:w="260" w:type="dxa"/>
            <w:vAlign w:val="bottom"/>
          </w:tcPr>
          <w:p>
            <w:pPr>
              <w:spacing w:after="0"/>
              <w:rPr>
                <w:sz w:val="12"/>
                <w:szCs w:val="12"/>
                <w:color w:val="auto"/>
              </w:rPr>
            </w:pPr>
          </w:p>
        </w:tc>
        <w:tc>
          <w:tcPr>
            <w:tcW w:w="12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Total paid to</w:t>
            </w:r>
          </w:p>
        </w:tc>
        <w:tc>
          <w:tcPr>
            <w:tcW w:w="26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5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8"/>
              </w:rPr>
              <w:t>benefits accrued</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paid to</w:t>
            </w:r>
          </w:p>
        </w:tc>
        <w:tc>
          <w:tcPr>
            <w:tcW w:w="0" w:type="dxa"/>
            <w:vAlign w:val="bottom"/>
          </w:tcPr>
          <w:p>
            <w:pPr>
              <w:spacing w:after="0"/>
              <w:rPr>
                <w:sz w:val="1"/>
                <w:szCs w:val="1"/>
                <w:color w:val="auto"/>
              </w:rPr>
            </w:pPr>
          </w:p>
        </w:tc>
      </w:tr>
      <w:tr>
        <w:trPr>
          <w:trHeight w:val="149"/>
        </w:trPr>
        <w:tc>
          <w:tcPr>
            <w:tcW w:w="25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from the</w:t>
            </w: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as part of our</w:t>
            </w:r>
          </w:p>
        </w:tc>
        <w:tc>
          <w:tcPr>
            <w:tcW w:w="2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from the</w:t>
            </w:r>
          </w:p>
        </w:tc>
        <w:tc>
          <w:tcPr>
            <w:tcW w:w="15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as part of our</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71"/>
        </w:trPr>
        <w:tc>
          <w:tcPr>
            <w:tcW w:w="2540" w:type="dxa"/>
            <w:vAlign w:val="bottom"/>
            <w:gridSpan w:val="6"/>
            <w:vMerge w:val="continue"/>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Company</w:t>
            </w: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expense</w:t>
            </w:r>
            <w:r>
              <w:rPr>
                <w:rFonts w:ascii="Arial" w:cs="Arial" w:eastAsia="Arial" w:hAnsi="Arial"/>
                <w:sz w:val="12"/>
                <w:szCs w:val="12"/>
                <w:b w:val="1"/>
                <w:bCs w:val="1"/>
                <w:color w:val="auto"/>
                <w:w w:val="87"/>
              </w:rPr>
              <w:t>(1)</w:t>
            </w:r>
          </w:p>
        </w:tc>
        <w:tc>
          <w:tcPr>
            <w:tcW w:w="2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director/officer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Company</w:t>
            </w: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expense</w:t>
            </w:r>
            <w:r>
              <w:rPr>
                <w:rFonts w:ascii="Arial" w:cs="Arial" w:eastAsia="Arial" w:hAnsi="Arial"/>
                <w:sz w:val="12"/>
                <w:szCs w:val="12"/>
                <w:b w:val="1"/>
                <w:bCs w:val="1"/>
                <w:color w:val="auto"/>
                <w:w w:val="87"/>
              </w:rPr>
              <w:t>(1)</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officer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Independent directors</w:t>
            </w: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Adam K. Bernstein</w:t>
            </w:r>
          </w:p>
        </w:tc>
        <w:tc>
          <w:tcPr>
            <w:tcW w:w="8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2"/>
          </w:tcPr>
          <w:p>
            <w:pPr>
              <w:ind w:left="84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tcBorders>
            <w:gridSpan w:val="2"/>
          </w:tcPr>
          <w:p>
            <w:pPr>
              <w:jc w:val="right"/>
              <w:ind w:right="520"/>
              <w:spacing w:after="0"/>
              <w:rPr>
                <w:sz w:val="20"/>
                <w:szCs w:val="20"/>
                <w:color w:val="auto"/>
              </w:rPr>
            </w:pPr>
            <w:r>
              <w:rPr>
                <w:rFonts w:ascii="Arial" w:cs="Arial" w:eastAsia="Arial" w:hAnsi="Arial"/>
                <w:sz w:val="18"/>
                <w:szCs w:val="18"/>
                <w:color w:val="auto"/>
              </w:rPr>
              <w:t>102,500</w:t>
            </w:r>
          </w:p>
        </w:tc>
        <w:tc>
          <w:tcPr>
            <w:tcW w:w="130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None</w:t>
            </w:r>
          </w:p>
        </w:tc>
        <w:tc>
          <w:tcPr>
            <w:tcW w:w="540" w:type="dxa"/>
            <w:vAlign w:val="bottom"/>
            <w:tcBorders>
              <w:top w:val="single" w:sz="8" w:color="CCEEFF"/>
            </w:tcBorders>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w w:val="98"/>
              </w:rPr>
              <w:t>102,500</w:t>
            </w:r>
          </w:p>
        </w:tc>
        <w:tc>
          <w:tcPr>
            <w:tcW w:w="360" w:type="dxa"/>
            <w:vAlign w:val="bottom"/>
            <w:tcBorders>
              <w:top w:val="single" w:sz="8" w:color="CCEEFF"/>
            </w:tcBorders>
            <w:gridSpan w:val="2"/>
          </w:tcPr>
          <w:p>
            <w:pPr>
              <w:ind w:left="26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tcBorders>
            <w:gridSpan w:val="2"/>
          </w:tcPr>
          <w:p>
            <w:pPr>
              <w:jc w:val="right"/>
              <w:ind w:right="540"/>
              <w:spacing w:after="0"/>
              <w:rPr>
                <w:sz w:val="20"/>
                <w:szCs w:val="20"/>
                <w:color w:val="auto"/>
              </w:rPr>
            </w:pPr>
            <w:r>
              <w:rPr>
                <w:rFonts w:ascii="Arial" w:cs="Arial" w:eastAsia="Arial" w:hAnsi="Arial"/>
                <w:sz w:val="18"/>
                <w:szCs w:val="18"/>
                <w:color w:val="auto"/>
              </w:rPr>
              <w:t>57,500</w:t>
            </w:r>
          </w:p>
        </w:tc>
        <w:tc>
          <w:tcPr>
            <w:tcW w:w="1560" w:type="dxa"/>
            <w:vAlign w:val="bottom"/>
            <w:tcBorders>
              <w:top w:val="single" w:sz="8" w:color="CCEEFF"/>
            </w:tcBorders>
            <w:gridSpan w:val="2"/>
          </w:tcPr>
          <w:p>
            <w:pPr>
              <w:jc w:val="right"/>
              <w:ind w:right="540"/>
              <w:spacing w:after="0"/>
              <w:rPr>
                <w:sz w:val="20"/>
                <w:szCs w:val="20"/>
                <w:color w:val="auto"/>
              </w:rPr>
            </w:pPr>
            <w:r>
              <w:rPr>
                <w:rFonts w:ascii="Arial" w:cs="Arial" w:eastAsia="Arial" w:hAnsi="Arial"/>
                <w:sz w:val="18"/>
                <w:szCs w:val="18"/>
                <w:color w:val="auto"/>
              </w:rPr>
              <w:t>None</w:t>
            </w:r>
          </w:p>
        </w:tc>
        <w:tc>
          <w:tcPr>
            <w:tcW w:w="68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89"/>
              </w:rPr>
              <w:t>$57,500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9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102,500</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102,500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57,500</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$57,500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5"/>
          </w:tcPr>
          <w:p>
            <w:pPr>
              <w:spacing w:after="0"/>
              <w:rPr>
                <w:sz w:val="20"/>
                <w:szCs w:val="20"/>
                <w:color w:val="auto"/>
              </w:rPr>
            </w:pPr>
            <w:r>
              <w:rPr>
                <w:rFonts w:ascii="Arial" w:cs="Arial" w:eastAsia="Arial" w:hAnsi="Arial"/>
                <w:sz w:val="18"/>
                <w:szCs w:val="18"/>
                <w:color w:val="auto"/>
              </w:rPr>
              <w:t>Jeffrey Flug</w:t>
            </w:r>
          </w:p>
        </w:tc>
        <w:tc>
          <w:tcPr>
            <w:tcW w:w="940" w:type="dxa"/>
            <w:vAlign w:val="bottom"/>
            <w:gridSpan w:val="2"/>
          </w:tcPr>
          <w:p>
            <w:pPr>
              <w:ind w:left="84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112,500</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112,500</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60,000</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None</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Samuel L. Katz</w:t>
            </w:r>
          </w:p>
        </w:tc>
        <w:tc>
          <w:tcPr>
            <w:tcW w:w="9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112,500</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112,500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60,000</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$60,000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Interested director</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Arthur H. Penn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Executive officer</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Aviv Efrat</w:t>
            </w:r>
            <w:r>
              <w:rPr>
                <w:rFonts w:ascii="Arial" w:cs="Arial" w:eastAsia="Arial" w:hAnsi="Arial"/>
                <w:sz w:val="15"/>
                <w:szCs w:val="15"/>
                <w:color w:val="auto"/>
              </w:rPr>
              <w:t>(2)</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Mr. Efrat is an employee of the Administrator.</w:t>
      </w:r>
    </w:p>
    <w:p>
      <w:pPr>
        <w:spacing w:after="0" w:line="21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Each Independent Director receives an annual payment of $90,000 for services performed on behalf of us as a director. The Independent Directors also receive $2,500 plus reimbursement of reasonable out-of-pocket expenses incurred in connection with attending each board of directors meeting and receive $1,000 plus reimbursement of reasonable out-of-pocket expenses incurred in connection with attending each committee meeting (unless combined with a board of directors meeting). In addition, each Co-Chairman of the Audit Committee receives an annual fee of $12,500 and each Co-Chairman of any other committee receives an annual fee of $2,500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NAV or the market price at the time of payment. No compensation is expected to be paid to directors who are “interested persons” (as defined in the 1940 Act).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117"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Our Investment Adviser has three experienced senior investment professionals in addition to Mr. Penn.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investment professionals receive no compensation from us. The compensation of these individuals is paid by our Investment Adviser and compensation includes a base salary and a bonus contingent upon past and future performance.</w:t>
      </w:r>
    </w:p>
    <w:p>
      <w:pPr>
        <w:spacing w:after="0" w:line="17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Salvatore Giannetti III joined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88"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P. Whitridge Williams, Jr. joined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Jose A. Briones joined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managing our investments, as of September 30, 2013, our portfolio managers also managed investments on behalf of the following entity: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720" w:type="dxa"/>
            <w:vAlign w:val="bottom"/>
            <w:gridSpan w:val="2"/>
          </w:tcPr>
          <w:p>
            <w:pPr>
              <w:ind w:left="340"/>
              <w:spacing w:after="0"/>
              <w:rPr>
                <w:sz w:val="20"/>
                <w:szCs w:val="20"/>
                <w:color w:val="auto"/>
              </w:rPr>
            </w:pPr>
            <w:r>
              <w:rPr>
                <w:rFonts w:ascii="Arial" w:cs="Arial" w:eastAsia="Arial" w:hAnsi="Arial"/>
                <w:sz w:val="18"/>
                <w:szCs w:val="18"/>
                <w:b w:val="1"/>
                <w:bCs w:val="1"/>
                <w:color w:val="auto"/>
              </w:rPr>
              <w:t>Gross Assets</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vMerge w:val="continue"/>
          </w:tcPr>
          <w:p>
            <w:pPr>
              <w:spacing w:after="0"/>
              <w:rPr>
                <w:sz w:val="20"/>
                <w:szCs w:val="20"/>
                <w:color w:val="auto"/>
              </w:rPr>
            </w:pPr>
          </w:p>
        </w:tc>
        <w:tc>
          <w:tcPr>
            <w:tcW w:w="2600" w:type="dxa"/>
            <w:vAlign w:val="bottom"/>
            <w:gridSpan w:val="3"/>
          </w:tcPr>
          <w:p>
            <w:pPr>
              <w:ind w:left="340"/>
              <w:spacing w:after="0"/>
              <w:rPr>
                <w:sz w:val="20"/>
                <w:szCs w:val="20"/>
                <w:color w:val="auto"/>
              </w:rPr>
            </w:pPr>
            <w:r>
              <w:rPr>
                <w:rFonts w:ascii="Arial" w:cs="Arial" w:eastAsia="Arial" w:hAnsi="Arial"/>
                <w:sz w:val="18"/>
                <w:szCs w:val="18"/>
                <w:b w:val="1"/>
                <w:bCs w:val="1"/>
                <w:color w:val="auto"/>
              </w:rPr>
              <w:t>Entity</w:t>
            </w:r>
          </w:p>
        </w:tc>
        <w:tc>
          <w:tcPr>
            <w:tcW w:w="3180" w:type="dxa"/>
            <w:vAlign w:val="bottom"/>
          </w:tcPr>
          <w:p>
            <w:pPr>
              <w:spacing w:after="0"/>
              <w:rPr>
                <w:sz w:val="20"/>
                <w:szCs w:val="20"/>
                <w:color w:val="auto"/>
              </w:rPr>
            </w:pPr>
            <w:r>
              <w:rPr>
                <w:rFonts w:ascii="Arial" w:cs="Arial" w:eastAsia="Arial" w:hAnsi="Arial"/>
                <w:sz w:val="18"/>
                <w:szCs w:val="18"/>
                <w:b w:val="1"/>
                <w:bCs w:val="1"/>
                <w:color w:val="auto"/>
              </w:rPr>
              <w:t>Investment Focus</w:t>
            </w:r>
          </w:p>
        </w:tc>
        <w:tc>
          <w:tcPr>
            <w:tcW w:w="1720" w:type="dxa"/>
            <w:vAlign w:val="bottom"/>
            <w:gridSpan w:val="2"/>
          </w:tcPr>
          <w:p>
            <w:pPr>
              <w:ind w:left="340"/>
              <w:spacing w:after="0"/>
              <w:rPr>
                <w:sz w:val="20"/>
                <w:szCs w:val="20"/>
                <w:color w:val="auto"/>
              </w:rPr>
            </w:pPr>
            <w:r>
              <w:rPr>
                <w:rFonts w:ascii="Arial" w:cs="Arial" w:eastAsia="Arial" w:hAnsi="Arial"/>
                <w:sz w:val="18"/>
                <w:szCs w:val="18"/>
                <w:b w:val="1"/>
                <w:bCs w:val="1"/>
                <w:color w:val="auto"/>
              </w:rPr>
              <w:t>($ in millions)</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6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PennantPark Floating Rate</w:t>
            </w:r>
          </w:p>
        </w:tc>
        <w:tc>
          <w:tcPr>
            <w:tcW w:w="34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1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Ltd.</w:t>
            </w:r>
          </w:p>
        </w:tc>
        <w:tc>
          <w:tcPr>
            <w:tcW w:w="2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Business development</w:t>
            </w: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Primarily floating rate loans, with an</w:t>
            </w: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2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company</w:t>
            </w: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emphasis on senior secured loans, in</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middle-market leveraged</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companies.</w:t>
            </w:r>
          </w:p>
        </w:tc>
        <w:tc>
          <w:tcPr>
            <w:tcW w:w="3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Other Managed Fund</w:t>
            </w:r>
          </w:p>
        </w:tc>
        <w:tc>
          <w:tcPr>
            <w:tcW w:w="260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Private Investment</w:t>
            </w: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Other credit opportunities</w:t>
            </w:r>
          </w:p>
        </w:tc>
        <w:tc>
          <w:tcPr>
            <w:tcW w:w="17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2600" w:type="dxa"/>
            <w:vAlign w:val="bottom"/>
            <w:gridSpan w:val="3"/>
          </w:tcPr>
          <w:p>
            <w:pPr>
              <w:ind w:left="340"/>
              <w:spacing w:after="0"/>
              <w:rPr>
                <w:sz w:val="20"/>
                <w:szCs w:val="20"/>
                <w:color w:val="auto"/>
              </w:rPr>
            </w:pPr>
            <w:r>
              <w:rPr>
                <w:rFonts w:ascii="Arial" w:cs="Arial" w:eastAsia="Arial" w:hAnsi="Arial"/>
                <w:sz w:val="18"/>
                <w:szCs w:val="18"/>
                <w:color w:val="auto"/>
              </w:rPr>
              <w:t>Fund</w:t>
            </w:r>
          </w:p>
        </w:tc>
        <w:tc>
          <w:tcPr>
            <w:tcW w:w="3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management and incentive fees payable by PennantPark Floating Rate Capital Ltd. are based on the gross assets and performance of PennantPark Floating Rate Capital Ltd., respectively.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of December 11, 2013, to our knowledge, no person would be deemed to “control” us, as such term is defined in the 1940 Act. Our directors consist of an interested director and Independent Directors.</w:t>
      </w:r>
    </w:p>
    <w:p>
      <w:pPr>
        <w:spacing w:after="0" w:line="170"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The following table sets forth, as of December 11, 2013,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of Common</w:t>
            </w:r>
          </w:p>
        </w:tc>
        <w:tc>
          <w:tcPr>
            <w:tcW w:w="0" w:type="dxa"/>
            <w:vAlign w:val="bottom"/>
          </w:tcPr>
          <w:p>
            <w:pPr>
              <w:spacing w:after="0"/>
              <w:rPr>
                <w:sz w:val="1"/>
                <w:szCs w:val="1"/>
                <w:color w:val="auto"/>
              </w:rPr>
            </w:pPr>
          </w:p>
        </w:tc>
      </w:tr>
      <w:tr>
        <w:trPr>
          <w:trHeight w:val="216"/>
        </w:trPr>
        <w:tc>
          <w:tcPr>
            <w:tcW w:w="6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 and Address</w:t>
            </w:r>
            <w:r>
              <w:rPr>
                <w:rFonts w:ascii="Arial" w:cs="Arial" w:eastAsia="Arial" w:hAnsi="Arial"/>
                <w:sz w:val="15"/>
                <w:szCs w:val="15"/>
                <w:b w:val="1"/>
                <w:bCs w:val="1"/>
                <w:color w:val="auto"/>
              </w:rPr>
              <w:t>(1)</w:t>
            </w:r>
          </w:p>
        </w:tc>
        <w:tc>
          <w:tcPr>
            <w:tcW w:w="254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Type of Ownership</w:t>
            </w:r>
            <w:r>
              <w:rPr>
                <w:rFonts w:ascii="Arial" w:cs="Arial" w:eastAsia="Arial" w:hAnsi="Arial"/>
                <w:sz w:val="15"/>
                <w:szCs w:val="15"/>
                <w:b w:val="1"/>
                <w:bCs w:val="1"/>
                <w:color w:val="auto"/>
              </w:rPr>
              <w:t>(4)</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Shares</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Stock</w:t>
            </w:r>
          </w:p>
        </w:tc>
        <w:tc>
          <w:tcPr>
            <w:tcW w:w="0" w:type="dxa"/>
            <w:vAlign w:val="bottom"/>
          </w:tcPr>
          <w:p>
            <w:pPr>
              <w:spacing w:after="0"/>
              <w:rPr>
                <w:sz w:val="1"/>
                <w:szCs w:val="1"/>
                <w:color w:val="auto"/>
              </w:rPr>
            </w:pPr>
          </w:p>
        </w:tc>
      </w:tr>
      <w:tr>
        <w:trPr>
          <w:trHeight w:val="234"/>
        </w:trPr>
        <w:tc>
          <w:tcPr>
            <w:tcW w:w="6520" w:type="dxa"/>
            <w:vAlign w:val="bottom"/>
            <w:gridSpan w:val="3"/>
            <w:vMerge w:val="continue"/>
          </w:tcPr>
          <w:p>
            <w:pPr>
              <w:spacing w:after="0"/>
              <w:rPr>
                <w:sz w:val="20"/>
                <w:szCs w:val="20"/>
                <w:color w:val="auto"/>
              </w:rPr>
            </w:pPr>
          </w:p>
        </w:tc>
        <w:tc>
          <w:tcPr>
            <w:tcW w:w="2540" w:type="dxa"/>
            <w:vAlign w:val="bottom"/>
            <w:gridSpan w:val="2"/>
            <w:vMerge w:val="continue"/>
          </w:tcPr>
          <w:p>
            <w:pPr>
              <w:spacing w:after="0"/>
              <w:rPr>
                <w:sz w:val="20"/>
                <w:szCs w:val="20"/>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Owned</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580" w:type="dxa"/>
            <w:vAlign w:val="bottom"/>
            <w:tcBorders>
              <w:top w:val="single" w:sz="8" w:color="auto"/>
            </w:tcBorders>
          </w:tcPr>
          <w:p>
            <w:pPr>
              <w:spacing w:after="0"/>
              <w:rPr>
                <w:sz w:val="7"/>
                <w:szCs w:val="7"/>
                <w:color w:val="auto"/>
              </w:rPr>
            </w:pPr>
          </w:p>
        </w:tc>
        <w:tc>
          <w:tcPr>
            <w:tcW w:w="4920" w:type="dxa"/>
            <w:vAlign w:val="bottom"/>
          </w:tcPr>
          <w:p>
            <w:pPr>
              <w:spacing w:after="0"/>
              <w:rPr>
                <w:sz w:val="7"/>
                <w:szCs w:val="7"/>
                <w:color w:val="auto"/>
              </w:rPr>
            </w:pPr>
          </w:p>
        </w:tc>
        <w:tc>
          <w:tcPr>
            <w:tcW w:w="212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2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34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5"/>
                <w:szCs w:val="15"/>
                <w:color w:val="auto"/>
              </w:rPr>
              <w:t>(2)</w:t>
            </w:r>
          </w:p>
        </w:tc>
        <w:tc>
          <w:tcPr>
            <w:tcW w:w="2540" w:type="dxa"/>
            <w:vAlign w:val="bottom"/>
            <w:gridSpan w:val="2"/>
          </w:tcPr>
          <w:p>
            <w:pPr>
              <w:spacing w:after="0"/>
              <w:rPr>
                <w:sz w:val="20"/>
                <w:szCs w:val="20"/>
                <w:color w:val="auto"/>
              </w:rPr>
            </w:pPr>
            <w:r>
              <w:rPr>
                <w:rFonts w:ascii="Arial" w:cs="Arial" w:eastAsia="Arial" w:hAnsi="Arial"/>
                <w:sz w:val="18"/>
                <w:szCs w:val="18"/>
                <w:color w:val="auto"/>
              </w:rPr>
              <w:t>Record/Beneficial</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88,971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Marshall Brozost</w:t>
            </w: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13,540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340"/>
              <w:spacing w:after="0"/>
              <w:rPr>
                <w:sz w:val="20"/>
                <w:szCs w:val="20"/>
                <w:color w:val="auto"/>
              </w:rPr>
            </w:pPr>
            <w:r>
              <w:rPr>
                <w:rFonts w:ascii="Arial" w:cs="Arial" w:eastAsia="Arial" w:hAnsi="Arial"/>
                <w:sz w:val="18"/>
                <w:szCs w:val="18"/>
                <w:color w:val="auto"/>
              </w:rPr>
              <w:t>Jeffrey Flug</w:t>
            </w:r>
          </w:p>
        </w:tc>
        <w:tc>
          <w:tcPr>
            <w:tcW w:w="2540" w:type="dxa"/>
            <w:vAlign w:val="bottom"/>
            <w:gridSpan w:val="2"/>
          </w:tcPr>
          <w:p>
            <w:pPr>
              <w:spacing w:after="0"/>
              <w:rPr>
                <w:sz w:val="20"/>
                <w:szCs w:val="20"/>
                <w:color w:val="auto"/>
              </w:rPr>
            </w:pPr>
            <w:r>
              <w:rPr>
                <w:rFonts w:ascii="Arial" w:cs="Arial" w:eastAsia="Arial" w:hAnsi="Arial"/>
                <w:sz w:val="18"/>
                <w:szCs w:val="18"/>
                <w:color w:val="auto"/>
              </w:rPr>
              <w:t>Record/Beneficial</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227,288</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Samuel L. Katz</w:t>
            </w: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113,482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(3)</w:t>
            </w: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537,323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Aviv Efrat</w:t>
            </w: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44,790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520" w:type="dxa"/>
            <w:vAlign w:val="bottom"/>
            <w:gridSpan w:val="3"/>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2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1,025,394</w:t>
            </w:r>
          </w:p>
        </w:tc>
        <w:tc>
          <w:tcPr>
            <w:tcW w:w="5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15th Floor, New York, New York 10022.</w:t>
      </w:r>
    </w:p>
    <w:p>
      <w:pPr>
        <w:spacing w:after="0" w:line="23" w:lineRule="exact"/>
        <w:rPr>
          <w:rFonts w:ascii="Arial" w:cs="Arial" w:eastAsia="Arial" w:hAnsi="Arial"/>
          <w:sz w:val="18"/>
          <w:szCs w:val="18"/>
          <w:color w:val="auto"/>
        </w:rPr>
      </w:pPr>
    </w:p>
    <w:p>
      <w:pPr>
        <w:ind w:left="460" w:right="280" w:hanging="452"/>
        <w:spacing w:after="0" w:line="250"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68,236 shares of PNNT held by JAM Investments, LLC.</w:t>
      </w:r>
    </w:p>
    <w:p>
      <w:pPr>
        <w:ind w:left="460" w:right="240" w:hanging="452"/>
        <w:spacing w:after="0" w:line="250"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Mr. Penn is the Managing Member of the Investment Adviser and may therefore be deemed to own beneficially the 342,611 shares of PNNT held by the Investment Adviser.</w:t>
      </w: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407"/>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Senior Investment Professionals</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officers and senior investment professionals as of December 6, 2013. Information as to the beneficial ownerships is based on information furnished to us by such persons. We are not part of a “family of investment companies,” as that term is defined in the 1940 Act.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Directors</w:t>
            </w:r>
          </w:p>
        </w:tc>
        <w:tc>
          <w:tcPr>
            <w:tcW w:w="5760" w:type="dxa"/>
            <w:vAlign w:val="bottom"/>
            <w:gridSpan w:val="5"/>
          </w:tcPr>
          <w:p>
            <w:pPr>
              <w:jc w:val="center"/>
              <w:ind w:left="1130"/>
              <w:spacing w:after="0"/>
              <w:rPr>
                <w:sz w:val="20"/>
                <w:szCs w:val="20"/>
                <w:color w:val="auto"/>
              </w:rPr>
            </w:pPr>
            <w:r>
              <w:rPr>
                <w:rFonts w:ascii="Arial" w:cs="Arial" w:eastAsia="Arial" w:hAnsi="Arial"/>
                <w:sz w:val="18"/>
                <w:szCs w:val="18"/>
                <w:b w:val="1"/>
                <w:bCs w:val="1"/>
                <w:color w:val="auto"/>
                <w:w w:val="90"/>
              </w:rPr>
              <w:t>Dollar Range of the Common Stock of the Companies</w:t>
            </w:r>
            <w:r>
              <w:rPr>
                <w:rFonts w:ascii="Arial" w:cs="Arial" w:eastAsia="Arial" w:hAnsi="Arial"/>
                <w:sz w:val="15"/>
                <w:szCs w:val="15"/>
                <w:b w:val="1"/>
                <w:bCs w:val="1"/>
                <w:color w:val="auto"/>
                <w:w w:val="90"/>
              </w:rPr>
              <w:t>(1)</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740" w:type="dxa"/>
            <w:vAlign w:val="bottom"/>
          </w:tcPr>
          <w:p>
            <w:pPr>
              <w:spacing w:after="0"/>
              <w:rPr>
                <w:sz w:val="17"/>
                <w:szCs w:val="17"/>
                <w:color w:val="auto"/>
              </w:rPr>
            </w:pPr>
          </w:p>
        </w:tc>
        <w:tc>
          <w:tcPr>
            <w:tcW w:w="240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PennantPark</w:t>
            </w:r>
          </w:p>
        </w:tc>
        <w:tc>
          <w:tcPr>
            <w:tcW w:w="240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PennantPark</w:t>
            </w:r>
          </w:p>
        </w:tc>
        <w:tc>
          <w:tcPr>
            <w:tcW w:w="9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Investment</w:t>
            </w:r>
          </w:p>
        </w:tc>
        <w:tc>
          <w:tcPr>
            <w:tcW w:w="2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Floating Rate</w:t>
            </w: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2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Corporation</w:t>
            </w: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Capital Ltd.</w:t>
            </w:r>
          </w:p>
        </w:tc>
        <w:tc>
          <w:tcPr>
            <w:tcW w:w="216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5"/>
                <w:szCs w:val="15"/>
                <w:color w:val="auto"/>
              </w:rPr>
              <w:t>(2)</w:t>
            </w: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Over $1,000,000</w:t>
            </w:r>
          </w:p>
        </w:tc>
        <w:tc>
          <w:tcPr>
            <w:tcW w:w="2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$ 50,001 - $100,000</w:t>
            </w:r>
          </w:p>
        </w:tc>
        <w:tc>
          <w:tcPr>
            <w:tcW w:w="2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Marshall Brozost</w:t>
            </w: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$100,001 - $500,000</w:t>
            </w:r>
          </w:p>
        </w:tc>
        <w:tc>
          <w:tcPr>
            <w:tcW w:w="220" w:type="dxa"/>
            <w:vAlign w:val="bottom"/>
          </w:tcPr>
          <w:p>
            <w:pPr>
              <w:spacing w:after="0"/>
              <w:rPr>
                <w:sz w:val="18"/>
                <w:szCs w:val="18"/>
                <w:color w:val="auto"/>
              </w:rPr>
            </w:pPr>
          </w:p>
        </w:tc>
        <w:tc>
          <w:tcPr>
            <w:tcW w:w="24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None</w:t>
            </w:r>
          </w:p>
        </w:tc>
        <w:tc>
          <w:tcPr>
            <w:tcW w:w="2160" w:type="dxa"/>
            <w:vAlign w:val="bottom"/>
            <w:gridSpan w:val="2"/>
          </w:tcPr>
          <w:p>
            <w:pPr>
              <w:jc w:val="right"/>
              <w:ind w:right="170"/>
              <w:spacing w:after="0"/>
              <w:rPr>
                <w:sz w:val="20"/>
                <w:szCs w:val="20"/>
                <w:color w:val="auto"/>
              </w:rPr>
            </w:pPr>
            <w:r>
              <w:rPr>
                <w:rFonts w:ascii="Arial" w:cs="Arial" w:eastAsia="Arial" w:hAnsi="Arial"/>
                <w:sz w:val="18"/>
                <w:szCs w:val="18"/>
                <w:color w:val="auto"/>
              </w:rPr>
              <w:t>$100,001 - $  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Jeffrey Flug</w:t>
            </w:r>
          </w:p>
        </w:tc>
        <w:tc>
          <w:tcPr>
            <w:tcW w:w="2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Over $1,000,000</w:t>
            </w:r>
          </w:p>
        </w:tc>
        <w:tc>
          <w:tcPr>
            <w:tcW w:w="24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None</w:t>
            </w:r>
          </w:p>
        </w:tc>
        <w:tc>
          <w:tcPr>
            <w:tcW w:w="21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Samuel L. Katz</w:t>
            </w: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Over $1,000,000</w:t>
            </w: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$500,001 - $1,000,000</w:t>
            </w:r>
          </w:p>
        </w:tc>
        <w:tc>
          <w:tcPr>
            <w:tcW w:w="220" w:type="dxa"/>
            <w:vAlign w:val="bottom"/>
          </w:tcPr>
          <w:p>
            <w:pPr>
              <w:spacing w:after="0"/>
              <w:rPr>
                <w:sz w:val="20"/>
                <w:szCs w:val="20"/>
                <w:color w:val="auto"/>
              </w:rPr>
            </w:pPr>
          </w:p>
        </w:tc>
        <w:tc>
          <w:tcPr>
            <w:tcW w:w="2160" w:type="dxa"/>
            <w:vAlign w:val="bottom"/>
            <w:gridSpan w:val="2"/>
          </w:tcPr>
          <w:p>
            <w:pPr>
              <w:jc w:val="right"/>
              <w:ind w:right="390"/>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(3)</w:t>
            </w: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Over $1,000,000</w:t>
            </w: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Over $1,000,000</w:t>
            </w:r>
          </w:p>
        </w:tc>
        <w:tc>
          <w:tcPr>
            <w:tcW w:w="2160" w:type="dxa"/>
            <w:vAlign w:val="bottom"/>
            <w:gridSpan w:val="2"/>
          </w:tcPr>
          <w:p>
            <w:pPr>
              <w:jc w:val="right"/>
              <w:ind w:right="390"/>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Investment Professionals</w:t>
            </w: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Jose A. Briones</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$500,001 - $1,000,000</w:t>
            </w:r>
          </w:p>
        </w:tc>
        <w:tc>
          <w:tcPr>
            <w:tcW w:w="22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$100,001 - $ 500,000</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$500,001</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w w:val="90"/>
              </w:rPr>
              <w:t>- $1,000,000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Salvatore Giannetti III</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$100,001 - $500,000</w:t>
            </w:r>
          </w:p>
        </w:tc>
        <w:tc>
          <w:tcPr>
            <w:tcW w:w="22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$100,001 - $ 500,000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5"/>
              </w:rPr>
              <w:t>- $  500,000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P. Whitridge Williams, Jr.</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$500,001 - $1,000,000</w:t>
            </w:r>
          </w:p>
        </w:tc>
        <w:tc>
          <w:tcPr>
            <w:tcW w:w="2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$100,001 - $ 500,000</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$500,001</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w w:val="90"/>
              </w:rPr>
              <w:t>-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Investment, through the Investment Adviser, provides similar services to our SBIC Funds under their investment management agreements. Such investment management agreements do not affect the management or incentive fees that we pay to the Investment Adviser on a consolidated basis. Under the terms of our Investment Management Agreement, the Investment Adviser:</w:t>
      </w:r>
    </w:p>
    <w:p>
      <w:pPr>
        <w:spacing w:after="0" w:line="70" w:lineRule="exact"/>
        <w:rPr>
          <w:sz w:val="20"/>
          <w:szCs w:val="20"/>
          <w:color w:val="auto"/>
        </w:rPr>
      </w:pPr>
    </w:p>
    <w:p>
      <w:pPr>
        <w:ind w:left="660" w:hanging="314"/>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99" w:lineRule="exact"/>
        <w:rPr>
          <w:rFonts w:ascii="Arial" w:cs="Arial" w:eastAsia="Arial" w:hAnsi="Arial"/>
          <w:sz w:val="16"/>
          <w:szCs w:val="16"/>
          <w:color w:val="auto"/>
        </w:rPr>
      </w:pPr>
    </w:p>
    <w:p>
      <w:pPr>
        <w:ind w:left="660" w:right="540" w:hanging="314"/>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21" w:lineRule="exact"/>
        <w:rPr>
          <w:rFonts w:ascii="Arial" w:cs="Arial" w:eastAsia="Arial" w:hAnsi="Arial"/>
          <w:sz w:val="18"/>
          <w:szCs w:val="18"/>
          <w:color w:val="auto"/>
        </w:rPr>
      </w:pPr>
    </w:p>
    <w:p>
      <w:pPr>
        <w:ind w:left="660" w:hanging="314"/>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provides us with such other investment advisory, research and related services, as we may need from time to time.</w:t>
      </w:r>
    </w:p>
    <w:p>
      <w:pPr>
        <w:spacing w:after="0" w:line="117"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PennantPark Investment, consisting of two components-a base management fee and an incentive fee, or collectively, Management Fees.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base management fee is calculated at an annual rate of 2.00% of our “average adjusted gross assets”, which equal our gross assets net of U.S. Treasury Bills, temporary draws under any credit facility, repurchase agreements or other balance sheet transactions undertaken at the end of a fiscal quarter for purposes of preserving investment flexibility for the next quarter and adjusted to exclude cash, cash equivalents and unfunded delayed draw loans, if any (see example below),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w:t>
      </w:r>
      <w:r>
        <w:rPr>
          <w:rFonts w:ascii="Arial" w:cs="Arial" w:eastAsia="Arial" w:hAnsi="Arial"/>
          <w:sz w:val="14"/>
          <w:szCs w:val="14"/>
          <w:color w:val="auto"/>
        </w:rPr>
        <w:t>th</w:t>
      </w:r>
      <w:r>
        <w:rPr>
          <w:rFonts w:ascii="Arial" w:cs="Arial" w:eastAsia="Arial" w:hAnsi="Arial"/>
          <w:sz w:val="17"/>
          <w:szCs w:val="17"/>
          <w:color w:val="auto"/>
        </w:rPr>
        <w:t xml:space="preserve">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2013, 2012 and 2011, the Investment Adviser earned base management fees of $21.3 million, $17.5 million and $14.9 million, respectively, from us.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hypothetical example of the calculation of average adjusted gross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December 31, 20XX = $160 million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Treasury bills and temporary draws on credit facilities as of December 31, 20XX = $10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Adjusted gross assets as of December 31, 20XX = $150 million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March 31, 20XX = $200 million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Treasury bills and temporary draws on credit facilities as of March 31, 20XX = $20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Adjusted gross assets as of March 31, 20XX = $180 million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Average adjusted gross assets as of December 31, 20XX and March 31, 20XX which are the two most recently completed calendar quarter ends, and appropriately adjusted for any share issuances or repurchases during the current calendar quarter = ($150 million + $180 million) / 2 = $165 million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1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(as defined below), and any interest expense and distributions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that we have not yet received in cash. Pre-Incentive Fee Net Investment Income does not include any realized capital gains, computed net of realized capital losses or unrealized capital appreciation or depreciation. Pre-Incentive Fee Net Investment Income, expressed as a percentage of the value of our net assets at the end of the immediately preceding calendar quarter, is compared to a hurdle rate of 1.75% per quarter (7.00% annualized). We pay the Investment Adviser an incentive fee with respect to our Pre-Incentive Fee Net Investment Income in each calendar quarter as follows: (1) no incentive fee in any calendar quarter in which our Pre-Incentive Fee Net Income does not exceed the hurdle rate of 1.75%, (2) 100% of our Pre-Incentive Fee Net Investment Income the hurdle rate of 1.75%,</w:t>
      </w:r>
    </w:p>
    <w:p>
      <w:pPr>
        <w:spacing w:after="0" w:line="4" w:lineRule="exact"/>
        <w:rPr>
          <w:sz w:val="20"/>
          <w:szCs w:val="20"/>
          <w:color w:val="auto"/>
        </w:rPr>
      </w:pPr>
    </w:p>
    <w:p>
      <w:pPr>
        <w:ind w:right="100" w:firstLine="8"/>
        <w:spacing w:after="0" w:line="287" w:lineRule="auto"/>
        <w:tabs>
          <w:tab w:leader="none" w:pos="255" w:val="left"/>
        </w:tabs>
        <w:numPr>
          <w:ilvl w:val="0"/>
          <w:numId w:val="78"/>
        </w:numPr>
        <w:rPr>
          <w:rFonts w:ascii="Arial" w:cs="Arial" w:eastAsia="Arial" w:hAnsi="Arial"/>
          <w:sz w:val="16"/>
          <w:szCs w:val="16"/>
          <w:color w:val="auto"/>
        </w:rPr>
      </w:pPr>
      <w:r>
        <w:rPr>
          <w:rFonts w:ascii="Arial" w:cs="Arial" w:eastAsia="Arial" w:hAnsi="Arial"/>
          <w:sz w:val="16"/>
          <w:szCs w:val="16"/>
          <w:color w:val="auto"/>
        </w:rPr>
        <w:t>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which is meant to provide our Investment Adviser with 20% of our Pre-Incentive Fee Net Investment Income, as if a hurdle did not apply, if this net investment income exceeds 2.1875% in any calendar quarter), and (3) 20% of the amount of our Pre-Incentive Fee Net Investment Income, if any, that exceeds 2.1875% in any calendar quarter (8.75% annualized), once the hurdle is reached and the catch-up is achieved, 20% of the Pre-Incentive Fee Net Investment Income thereafter is allocated to our Investment Adviser. These calculations are prorated for any share issuances or repurchases, if applicable. For the fiscal years ended September 30, 2013, 2012 and 2011, the Investment Adviser earned $16.8 million, $14.2 million and $13.2 million, respectively, in net investment income from 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graphical representation of the calculation of quarterly incentive fee based on Pre-Incentive Fee Net Investment Income: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150495</wp:posOffset>
            </wp:positionV>
            <wp:extent cx="2573020" cy="5060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730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2013, 2012 and 2011 the Investment Adviser did not earn an incentive fee on capital gains as calculated under the Investment Management Agreement (as described above).</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years ended September 30, 2013, 2012 and 2011, our unrealized and realized capital gains did not exceed our cumulative realized and unrealized losses and therefore resulted in no accrual for capital gains incentive fees under GAAP.</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0.50%</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77" w:lineRule="exact"/>
        <w:rPr>
          <w:sz w:val="20"/>
          <w:szCs w:val="20"/>
          <w:color w:val="auto"/>
        </w:rPr>
      </w:pPr>
    </w:p>
    <w:p>
      <w:pPr>
        <w:ind w:left="460" w:right="3720"/>
        <w:spacing w:after="0" w:line="356" w:lineRule="auto"/>
        <w:rPr>
          <w:sz w:val="20"/>
          <w:szCs w:val="20"/>
          <w:color w:val="auto"/>
        </w:rPr>
      </w:pPr>
      <w:r>
        <w:rPr>
          <w:rFonts w:ascii="Arial" w:cs="Arial" w:eastAsia="Arial" w:hAnsi="Arial"/>
          <w:sz w:val="18"/>
          <w:szCs w:val="18"/>
          <w:color w:val="auto"/>
        </w:rPr>
        <w:t>(investment income—(base management fee + other expenses)) = 0.55% Pre-Incentive Net Investment Income does not exceed the hurdle; therefore there is no incentive fee.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0.50%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131" w:lineRule="exact"/>
        <w:rPr>
          <w:sz w:val="20"/>
          <w:szCs w:val="20"/>
          <w:color w:val="auto"/>
        </w:rPr>
      </w:pPr>
    </w:p>
    <w:p>
      <w:pPr>
        <w:ind w:left="460"/>
        <w:spacing w:after="0"/>
        <w:tabs>
          <w:tab w:leader="none" w:pos="198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50" w:lineRule="exact"/>
        <w:rPr>
          <w:sz w:val="20"/>
          <w:szCs w:val="20"/>
          <w:color w:val="auto"/>
        </w:rPr>
      </w:pPr>
    </w:p>
    <w:p>
      <w:pPr>
        <w:ind w:left="2160" w:hanging="153"/>
        <w:spacing w:after="0"/>
        <w:tabs>
          <w:tab w:leader="none" w:pos="2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2.00% - 1.75%</w:t>
      </w:r>
    </w:p>
    <w:p>
      <w:pPr>
        <w:spacing w:after="0" w:line="63" w:lineRule="exact"/>
        <w:rPr>
          <w:rFonts w:ascii="Arial" w:cs="Arial" w:eastAsia="Arial" w:hAnsi="Arial"/>
          <w:sz w:val="18"/>
          <w:szCs w:val="18"/>
          <w:color w:val="auto"/>
        </w:rPr>
      </w:pPr>
    </w:p>
    <w:p>
      <w:pPr>
        <w:ind w:left="2160" w:hanging="153"/>
        <w:spacing w:after="0"/>
        <w:tabs>
          <w:tab w:leader="none" w:pos="2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0.25%</w:t>
      </w:r>
    </w:p>
    <w:p>
      <w:pPr>
        <w:spacing w:after="0" w:line="63" w:lineRule="exact"/>
        <w:rPr>
          <w:rFonts w:ascii="Arial" w:cs="Arial" w:eastAsia="Arial" w:hAnsi="Arial"/>
          <w:sz w:val="18"/>
          <w:szCs w:val="18"/>
          <w:color w:val="auto"/>
        </w:rPr>
      </w:pPr>
    </w:p>
    <w:p>
      <w:pPr>
        <w:ind w:left="2160" w:hanging="153"/>
        <w:spacing w:after="0"/>
        <w:tabs>
          <w:tab w:leader="none" w:pos="2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100% X 0.25%</w:t>
      </w:r>
    </w:p>
    <w:p>
      <w:pPr>
        <w:spacing w:after="0" w:line="63" w:lineRule="exact"/>
        <w:rPr>
          <w:rFonts w:ascii="Arial" w:cs="Arial" w:eastAsia="Arial" w:hAnsi="Arial"/>
          <w:sz w:val="18"/>
          <w:szCs w:val="18"/>
          <w:color w:val="auto"/>
        </w:rPr>
      </w:pPr>
    </w:p>
    <w:p>
      <w:pPr>
        <w:ind w:left="2160" w:hanging="153"/>
        <w:spacing w:after="0"/>
        <w:tabs>
          <w:tab w:leader="none" w:pos="2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0.25%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0.50%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2.30%</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Incentive fee</w:t>
            </w:r>
          </w:p>
        </w:tc>
        <w:tc>
          <w:tcPr>
            <w:tcW w:w="6580" w:type="dxa"/>
            <w:vAlign w:val="bottom"/>
          </w:tcPr>
          <w:p>
            <w:pPr>
              <w:ind w:left="300"/>
              <w:spacing w:after="0"/>
              <w:rPr>
                <w:sz w:val="20"/>
                <w:szCs w:val="20"/>
                <w:color w:val="auto"/>
              </w:rPr>
            </w:pPr>
            <w:r>
              <w:rPr>
                <w:rFonts w:ascii="Arial" w:cs="Arial" w:eastAsia="Arial" w:hAnsi="Arial"/>
                <w:sz w:val="18"/>
                <w:szCs w:val="18"/>
                <w:color w:val="auto"/>
              </w:rPr>
              <w:t>= 20% x Pre-Incentive Fee Net Investment Income, subject to “catch-up”</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Incentive fee</w:t>
            </w:r>
          </w:p>
        </w:tc>
        <w:tc>
          <w:tcPr>
            <w:tcW w:w="6580" w:type="dxa"/>
            <w:vAlign w:val="bottom"/>
          </w:tcPr>
          <w:p>
            <w:pPr>
              <w:ind w:left="300"/>
              <w:spacing w:after="0"/>
              <w:rPr>
                <w:sz w:val="20"/>
                <w:szCs w:val="20"/>
                <w:color w:val="auto"/>
              </w:rPr>
            </w:pPr>
            <w:r>
              <w:rPr>
                <w:rFonts w:ascii="Arial" w:cs="Arial" w:eastAsia="Arial" w:hAnsi="Arial"/>
                <w:sz w:val="18"/>
                <w:szCs w:val="18"/>
                <w:color w:val="auto"/>
                <w:w w:val="92"/>
              </w:rPr>
              <w:t>= 100% x “catch-up” + (20% x (Pre-Incentive Fee Net Investment Income - 2.1875%))</w:t>
            </w:r>
          </w:p>
        </w:tc>
      </w:tr>
      <w:tr>
        <w:trPr>
          <w:trHeight w:val="271"/>
        </w:trPr>
        <w:tc>
          <w:tcPr>
            <w:tcW w:w="1240" w:type="dxa"/>
            <w:vAlign w:val="bottom"/>
          </w:tcPr>
          <w:p>
            <w:pPr>
              <w:spacing w:after="0"/>
              <w:rPr>
                <w:sz w:val="20"/>
                <w:szCs w:val="20"/>
                <w:color w:val="auto"/>
              </w:rPr>
            </w:pPr>
            <w:r>
              <w:rPr>
                <w:rFonts w:ascii="Arial" w:cs="Arial" w:eastAsia="Arial" w:hAnsi="Arial"/>
                <w:sz w:val="18"/>
                <w:szCs w:val="18"/>
                <w:color w:val="auto"/>
              </w:rPr>
              <w:t>Catch-up</w:t>
            </w:r>
          </w:p>
        </w:tc>
        <w:tc>
          <w:tcPr>
            <w:tcW w:w="6580" w:type="dxa"/>
            <w:vAlign w:val="bottom"/>
          </w:tcPr>
          <w:p>
            <w:pPr>
              <w:ind w:left="300"/>
              <w:spacing w:after="0"/>
              <w:rPr>
                <w:sz w:val="20"/>
                <w:szCs w:val="20"/>
                <w:color w:val="auto"/>
              </w:rPr>
            </w:pPr>
            <w:r>
              <w:rPr>
                <w:rFonts w:ascii="Arial" w:cs="Arial" w:eastAsia="Arial" w:hAnsi="Arial"/>
                <w:sz w:val="18"/>
                <w:szCs w:val="18"/>
                <w:color w:val="auto"/>
              </w:rPr>
              <w:t>= 2.1875% - 1.75%</w:t>
            </w:r>
          </w:p>
        </w:tc>
      </w:tr>
    </w:tbl>
    <w:p>
      <w:pPr>
        <w:spacing w:after="0" w:line="40" w:lineRule="exact"/>
        <w:rPr>
          <w:sz w:val="20"/>
          <w:szCs w:val="20"/>
          <w:color w:val="auto"/>
        </w:rPr>
      </w:pPr>
    </w:p>
    <w:p>
      <w:pPr>
        <w:ind w:left="2160" w:hanging="153"/>
        <w:spacing w:after="0"/>
        <w:tabs>
          <w:tab w:leader="none" w:pos="2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0.4375%</w:t>
      </w:r>
    </w:p>
    <w:p>
      <w:pPr>
        <w:spacing w:after="0" w:line="63" w:lineRule="exact"/>
        <w:rPr>
          <w:rFonts w:ascii="Arial" w:cs="Arial" w:eastAsia="Arial" w:hAnsi="Arial"/>
          <w:sz w:val="18"/>
          <w:szCs w:val="18"/>
          <w:color w:val="auto"/>
        </w:rPr>
      </w:pPr>
    </w:p>
    <w:p>
      <w:pPr>
        <w:ind w:left="2160" w:hanging="153"/>
        <w:spacing w:after="0"/>
        <w:tabs>
          <w:tab w:leader="none" w:pos="2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(100% x 0.4375%) + (20% x (2.30% - 2.1875%))</w:t>
      </w:r>
    </w:p>
    <w:p>
      <w:pPr>
        <w:spacing w:after="0" w:line="63" w:lineRule="exact"/>
        <w:rPr>
          <w:rFonts w:ascii="Arial" w:cs="Arial" w:eastAsia="Arial" w:hAnsi="Arial"/>
          <w:sz w:val="18"/>
          <w:szCs w:val="18"/>
          <w:color w:val="auto"/>
        </w:rPr>
      </w:pPr>
    </w:p>
    <w:p>
      <w:pPr>
        <w:ind w:left="2160" w:hanging="153"/>
        <w:spacing w:after="0"/>
        <w:tabs>
          <w:tab w:leader="none" w:pos="2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0.4375% + (20% x 0.1125%)</w:t>
      </w:r>
    </w:p>
    <w:p>
      <w:pPr>
        <w:spacing w:after="0" w:line="63" w:lineRule="exact"/>
        <w:rPr>
          <w:rFonts w:ascii="Arial" w:cs="Arial" w:eastAsia="Arial" w:hAnsi="Arial"/>
          <w:sz w:val="18"/>
          <w:szCs w:val="18"/>
          <w:color w:val="auto"/>
        </w:rPr>
      </w:pPr>
    </w:p>
    <w:p>
      <w:pPr>
        <w:ind w:left="2160" w:hanging="153"/>
        <w:spacing w:after="0"/>
        <w:tabs>
          <w:tab w:leader="none" w:pos="2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63" w:lineRule="exact"/>
        <w:rPr>
          <w:rFonts w:ascii="Arial" w:cs="Arial" w:eastAsia="Arial" w:hAnsi="Arial"/>
          <w:sz w:val="18"/>
          <w:szCs w:val="18"/>
          <w:color w:val="auto"/>
        </w:rPr>
      </w:pPr>
    </w:p>
    <w:p>
      <w:pPr>
        <w:ind w:left="2160" w:hanging="153"/>
        <w:spacing w:after="0"/>
        <w:tabs>
          <w:tab w:leader="none" w:pos="2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0.46%</w:t>
      </w:r>
    </w:p>
    <w:p>
      <w:pPr>
        <w:spacing w:after="0" w:line="198" w:lineRule="exact"/>
        <w:rPr>
          <w:rFonts w:ascii="Arial" w:cs="Arial" w:eastAsia="Arial" w:hAnsi="Arial"/>
          <w:sz w:val="18"/>
          <w:szCs w:val="18"/>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89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2.0% annualized base management fee.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23"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pacing w:after="0" w:line="332"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Year 1 incentive fee</w:t>
            </w:r>
          </w:p>
        </w:tc>
        <w:tc>
          <w:tcPr>
            <w:tcW w:w="1780" w:type="dxa"/>
            <w:vAlign w:val="bottom"/>
          </w:tcPr>
          <w:p>
            <w:pPr>
              <w:ind w:left="400"/>
              <w:spacing w:after="0"/>
              <w:rPr>
                <w:sz w:val="20"/>
                <w:szCs w:val="20"/>
                <w:color w:val="auto"/>
              </w:rPr>
            </w:pPr>
            <w:r>
              <w:rPr>
                <w:rFonts w:ascii="Arial" w:cs="Arial" w:eastAsia="Arial" w:hAnsi="Arial"/>
                <w:sz w:val="18"/>
                <w:szCs w:val="18"/>
                <w:color w:val="auto"/>
              </w:rPr>
              <w:t>= 20% x (0)</w:t>
            </w:r>
          </w:p>
        </w:tc>
        <w:tc>
          <w:tcPr>
            <w:tcW w:w="0" w:type="dxa"/>
            <w:vAlign w:val="bottom"/>
          </w:tcPr>
          <w:p>
            <w:pPr>
              <w:spacing w:after="0"/>
              <w:rPr>
                <w:sz w:val="1"/>
                <w:szCs w:val="1"/>
                <w:color w:val="auto"/>
              </w:rPr>
            </w:pPr>
          </w:p>
        </w:tc>
      </w:tr>
      <w:tr>
        <w:trPr>
          <w:trHeight w:val="257"/>
        </w:trPr>
        <w:tc>
          <w:tcPr>
            <w:tcW w:w="1840" w:type="dxa"/>
            <w:vAlign w:val="bottom"/>
          </w:tcPr>
          <w:p>
            <w:pPr>
              <w:spacing w:after="0"/>
              <w:rPr>
                <w:sz w:val="22"/>
                <w:szCs w:val="22"/>
                <w:color w:val="auto"/>
              </w:rPr>
            </w:pPr>
          </w:p>
        </w:tc>
        <w:tc>
          <w:tcPr>
            <w:tcW w:w="1780" w:type="dxa"/>
            <w:vAlign w:val="bottom"/>
          </w:tcPr>
          <w:p>
            <w:pPr>
              <w:ind w:left="40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270"/>
        </w:trPr>
        <w:tc>
          <w:tcPr>
            <w:tcW w:w="1840" w:type="dxa"/>
            <w:vAlign w:val="bottom"/>
            <w:vMerge w:val="restart"/>
          </w:tcPr>
          <w:p>
            <w:pPr>
              <w:spacing w:after="0"/>
              <w:rPr>
                <w:sz w:val="20"/>
                <w:szCs w:val="20"/>
                <w:color w:val="auto"/>
              </w:rPr>
            </w:pPr>
            <w:r>
              <w:rPr>
                <w:rFonts w:ascii="Arial" w:cs="Arial" w:eastAsia="Arial" w:hAnsi="Arial"/>
                <w:sz w:val="18"/>
                <w:szCs w:val="18"/>
                <w:color w:val="auto"/>
              </w:rPr>
              <w:t>Year 2 incentive fee</w:t>
            </w:r>
          </w:p>
        </w:tc>
        <w:tc>
          <w:tcPr>
            <w:tcW w:w="1780" w:type="dxa"/>
            <w:vAlign w:val="bottom"/>
          </w:tcPr>
          <w:p>
            <w:pPr>
              <w:ind w:left="400"/>
              <w:spacing w:after="0"/>
              <w:rPr>
                <w:sz w:val="20"/>
                <w:szCs w:val="20"/>
                <w:color w:val="auto"/>
              </w:rPr>
            </w:pPr>
            <w:r>
              <w:rPr>
                <w:rFonts w:ascii="Arial" w:cs="Arial" w:eastAsia="Arial" w:hAnsi="Arial"/>
                <w:sz w:val="18"/>
                <w:szCs w:val="18"/>
                <w:color w:val="auto"/>
                <w:w w:val="96"/>
              </w:rPr>
              <w:t>= no incentive fee</w:t>
            </w:r>
          </w:p>
        </w:tc>
        <w:tc>
          <w:tcPr>
            <w:tcW w:w="0" w:type="dxa"/>
            <w:vAlign w:val="bottom"/>
          </w:tcPr>
          <w:p>
            <w:pPr>
              <w:spacing w:after="0"/>
              <w:rPr>
                <w:sz w:val="1"/>
                <w:szCs w:val="1"/>
                <w:color w:val="auto"/>
              </w:rPr>
            </w:pPr>
          </w:p>
        </w:tc>
      </w:tr>
      <w:tr>
        <w:trPr>
          <w:trHeight w:val="270"/>
        </w:trPr>
        <w:tc>
          <w:tcPr>
            <w:tcW w:w="1840" w:type="dxa"/>
            <w:vAlign w:val="bottom"/>
            <w:vMerge w:val="continue"/>
          </w:tcPr>
          <w:p>
            <w:pPr>
              <w:spacing w:after="0"/>
              <w:rPr>
                <w:sz w:val="23"/>
                <w:szCs w:val="23"/>
                <w:color w:val="auto"/>
              </w:rPr>
            </w:pPr>
          </w:p>
        </w:tc>
        <w:tc>
          <w:tcPr>
            <w:tcW w:w="1780" w:type="dxa"/>
            <w:vAlign w:val="bottom"/>
          </w:tcPr>
          <w:p>
            <w:pPr>
              <w:ind w:left="400"/>
              <w:spacing w:after="0"/>
              <w:rPr>
                <w:sz w:val="20"/>
                <w:szCs w:val="20"/>
                <w:color w:val="auto"/>
              </w:rPr>
            </w:pPr>
            <w:r>
              <w:rPr>
                <w:rFonts w:ascii="Arial" w:cs="Arial" w:eastAsia="Arial" w:hAnsi="Arial"/>
                <w:sz w:val="18"/>
                <w:szCs w:val="18"/>
                <w:color w:val="auto"/>
                <w:w w:val="93"/>
              </w:rPr>
              <w:t>= 20% x (6% -1%)</w:t>
            </w: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3"/>
                <w:szCs w:val="23"/>
                <w:color w:val="auto"/>
              </w:rPr>
            </w:pPr>
          </w:p>
        </w:tc>
        <w:tc>
          <w:tcPr>
            <w:tcW w:w="1780" w:type="dxa"/>
            <w:vAlign w:val="bottom"/>
          </w:tcPr>
          <w:p>
            <w:pPr>
              <w:ind w:left="400"/>
              <w:spacing w:after="0"/>
              <w:rPr>
                <w:sz w:val="20"/>
                <w:szCs w:val="20"/>
                <w:color w:val="auto"/>
              </w:rPr>
            </w:pPr>
            <w:r>
              <w:rPr>
                <w:rFonts w:ascii="Arial" w:cs="Arial" w:eastAsia="Arial" w:hAnsi="Arial"/>
                <w:sz w:val="18"/>
                <w:szCs w:val="18"/>
                <w:color w:val="auto"/>
              </w:rPr>
              <w:t>= 20% x 5%</w:t>
            </w: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3"/>
                <w:szCs w:val="23"/>
                <w:color w:val="auto"/>
              </w:rPr>
            </w:pPr>
          </w:p>
        </w:tc>
        <w:tc>
          <w:tcPr>
            <w:tcW w:w="1780" w:type="dxa"/>
            <w:vAlign w:val="bottom"/>
          </w:tcPr>
          <w:p>
            <w:pPr>
              <w:ind w:left="400"/>
              <w:spacing w:after="0"/>
              <w:rPr>
                <w:sz w:val="20"/>
                <w:szCs w:val="20"/>
                <w:color w:val="auto"/>
              </w:rPr>
            </w:pPr>
            <w:r>
              <w:rPr>
                <w:rFonts w:ascii="Arial" w:cs="Arial" w:eastAsia="Arial" w:hAnsi="Arial"/>
                <w:sz w:val="18"/>
                <w:szCs w:val="18"/>
                <w:color w:val="auto"/>
              </w:rPr>
              <w:t>= 1%</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PennantPark Investment Advisers is a registered investment adviser under the Investment Advisers Act of 1940, as amended. The principal executive office of PennantPark Investment Advisers is located at 590 Madison Avenue, 15th Floor, New York, NY 10022.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Investment Management Agreement</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Investment Management Agreement was re-approved by our board of directors, including a majority of our directors who are not interested persons of us or the Investment Adviser, in February 2013. Unless terminated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earlier as described below, our Investment Management Agreement will continue in effect for a period of one year through February 2014.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 The Investment Management Agreement will automatically terminate in the event of its assignment.</w:t>
      </w:r>
    </w:p>
    <w:p>
      <w:pPr>
        <w:spacing w:after="0" w:line="183" w:lineRule="exact"/>
        <w:rPr>
          <w:sz w:val="20"/>
          <w:szCs w:val="20"/>
          <w:color w:val="auto"/>
        </w:rPr>
      </w:pPr>
    </w:p>
    <w:p>
      <w:pPr>
        <w:jc w:val="both"/>
        <w:ind w:right="280" w:firstLine="456"/>
        <w:spacing w:after="0" w:line="279" w:lineRule="auto"/>
        <w:rPr>
          <w:sz w:val="20"/>
          <w:szCs w:val="20"/>
          <w:color w:val="auto"/>
        </w:rPr>
      </w:pPr>
      <w:r>
        <w:rPr>
          <w:rFonts w:ascii="Arial" w:cs="Arial" w:eastAsia="Arial" w:hAnsi="Arial"/>
          <w:sz w:val="17"/>
          <w:szCs w:val="17"/>
          <w:color w:val="auto"/>
        </w:rPr>
        <w:t>The Investment Management Agreement may be terminated by either party without penalty upon not more than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have entered into an agreement, or the Administration Agreement, with the Administrator, under which the Administrator furnishes us with office facilities, equipment and clerical, bookkeeping and record keeping services at such facilities. Under this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NAV, oversees the preparation and filing of our tax returns and the printing and dissemination of reports to our stockholders, and generally oversees the payment of our expenses and the performance of administrative and professional services rendered to us by others. PennantPark Investment, through the Administrator, provides similar services to our SBIC Funds under their administration agreements.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 of Operations. For the fiscal years ended September 30, 2013, 2012 and 2011, the Investment Adviser and Administrator, collectively, were reimbursed $2.9 million, $3.6 million and $2.6 million, respectively, from us, including expenses it incurred on behalf of the Administrator for the services described above.</w:t>
      </w:r>
    </w:p>
    <w:p>
      <w:pPr>
        <w:spacing w:after="0" w:line="18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PennantPark Investment entered into an administration agreement with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amount based upon SPH’s allocable portion of the Administrator’s overhead in performing its obligations under the SPH Administration Agreement, including rent and the allocable portion of the cost of compensation and related expenses of our Chief Financial Officer and respective staff. For the fiscal years ended September 30, 2013, 2012 and 2011, PennantPark Investment was reimbursed $0.4 million, $0.7 million and $0.5 million, respectively, from SPH, including expenses it incurred on behalf of the Administrator for the services described above.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Administration Agreement</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Administration Agreement was re-approved by our board of directors, including a majority of our directors who are not interested persons of PennantPark Investment, in February 2013.</w:t>
      </w:r>
    </w:p>
    <w:p>
      <w:pPr>
        <w:spacing w:after="0" w:line="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Unless terminated earlier as described below, our Administration Agreement will continue in effect for a period of one year through February 2014. It will remain in effect if approved annually by our board of directors, or by the affirmative vote of the holders of a majority of our outstanding voting securities, including, in either case, approval by a majority of our directors who are not interested persons of us.</w:t>
      </w:r>
    </w:p>
    <w:p>
      <w:pPr>
        <w:spacing w:after="0" w:line="73"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Administration Agreement may not be assigned by either party without the consent of the other party. The Administration Agreement may be terminated by either party upon not more than 60 days’ written notice to the other.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PennantPark Investment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PennantPark Investment.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As a BDC, we generally invest in illiquid securities including debt and equity investments of middle-market companies.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expect that there will not be readily available market values for many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 could be material. See Notes 2 and 5 to the Consolidated Financial Statements.</w:t>
      </w:r>
    </w:p>
    <w:p>
      <w:pPr>
        <w:spacing w:after="0" w:line="18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900" w:right="22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92" w:lineRule="exact"/>
        <w:rPr>
          <w:rFonts w:ascii="Arial" w:cs="Arial" w:eastAsia="Arial" w:hAnsi="Arial"/>
          <w:sz w:val="18"/>
          <w:szCs w:val="18"/>
          <w:color w:val="auto"/>
        </w:rPr>
      </w:pPr>
    </w:p>
    <w:p>
      <w:pPr>
        <w:ind w:left="900" w:right="400" w:hanging="446"/>
        <w:spacing w:after="0" w:line="286"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the Investment Adviser and those of the independent valuation firms on a quarterly basis, periodically assess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900" w:right="10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extent we invest in derivative instruments in the future, such instruments would be valued in accordance with our valuation policy.</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PennantPark Investment. Unobservable inputs reflect the assumptions market participants would use in pricing an asset or liability based on the best information available to us at the reporting period date.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In connection with each offering of shares of our common stock, our board of directors or a committee thereof is required to make the determination that we are not selling shares of our common stock at a price below NAV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77"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90" w:lineRule="exact"/>
        <w:rPr>
          <w:rFonts w:ascii="Arial" w:cs="Arial" w:eastAsia="Arial" w:hAnsi="Arial"/>
          <w:sz w:val="18"/>
          <w:szCs w:val="18"/>
          <w:color w:val="auto"/>
        </w:rPr>
      </w:pPr>
    </w:p>
    <w:p>
      <w:pPr>
        <w:ind w:left="900" w:right="200" w:hanging="325"/>
        <w:spacing w:after="0" w:line="286"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30" w:lineRule="exact"/>
        <w:rPr>
          <w:rFonts w:ascii="Arial" w:cs="Arial" w:eastAsia="Arial" w:hAnsi="Arial"/>
          <w:sz w:val="17"/>
          <w:szCs w:val="17"/>
          <w:color w:val="auto"/>
        </w:rPr>
      </w:pPr>
    </w:p>
    <w:p>
      <w:pPr>
        <w:ind w:left="900" w:right="62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Importantly, this determination will not necessarily require that we calculate the NAV of our common stock in connection with each offering of shares of our common stock, but instead it will involve the determination by our board of directors or a committee thereof that we are not selling shares of our common stock at a price below the then current NAV of our common stock at the time at which the sale is made or otherwise in violation of the 1940 Act. However, if we receive the consent of a majority of our common stockholders to issue shares of our common stock at a price below our then current NAV and our board of directors decides that such an offering is in the best interest of our common stockholders, then we may undertake such an offering. See “Sales Of Common Stock Below Net Asset Value” for more information.</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the extent that the above procedures result in even a remote possibility that we may (i) in the absence of stockholder approval issue shares of our common stock at a price below the then current NAV of our common stock at the time at which the sale is made or (ii) trigger our undertaking to suspend the offering of shares of our common stock pursuant to this prospectus if the NAV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NAV within two days prior to any such sale to ensure that such sale will not be below our then current NAV, and, in the case of clause (ii) above, to comply with such undertaking or to undertake to determine NAV to ensure that such undertaking has not been triggered.</w:t>
      </w:r>
    </w:p>
    <w:p>
      <w:pPr>
        <w:spacing w:after="0" w:line="189"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may, however, subject to the requirements of the 1940 Act, issue rights to acquire our common stock at a price below the current NAV of the common stock if our board of directors determines that such sale is in our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66" w:lineRule="exact"/>
        <w:rPr>
          <w:sz w:val="20"/>
          <w:szCs w:val="20"/>
          <w:color w:val="auto"/>
        </w:rPr>
      </w:pPr>
    </w:p>
    <w:p>
      <w:pPr>
        <w:jc w:val="both"/>
        <w:ind w:right="80" w:firstLine="456"/>
        <w:spacing w:after="0" w:line="34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60"/>
          </w:cols>
          <w:pgMar w:left="240" w:top="460" w:right="2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8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6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7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Generally, we intend to issue shares to implement the plan, when our shares are trading at a premium to our NAV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6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P.O. Box 922, Wall Street Station, New York, New York 10269, or by the plan administrator’s Interactive Voice Response System at 1-800-278-4353.</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24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September 30, 2013, our authorized capital stock consisted of 100,000,000 shares of stock, par value $0.001 per share, all of which is classified as common stock. Our common stock is quoted on the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The last reported closing market price of our common stock on December 6, 2013 was $11.93 per share. As of September 30, 2013, we had 11 stockholders of record.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September 30, 2013: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60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4"/>
              </w:rPr>
              <w:t>Amount</w:t>
            </w:r>
          </w:p>
        </w:tc>
        <w:tc>
          <w:tcPr>
            <w:tcW w:w="16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Amount Held by</w:t>
            </w: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1600" w:type="dxa"/>
            <w:vAlign w:val="bottom"/>
            <w:gridSpan w:val="2"/>
            <w:vMerge w:val="continue"/>
          </w:tcPr>
          <w:p>
            <w:pPr>
              <w:spacing w:after="0"/>
              <w:rPr>
                <w:sz w:val="12"/>
                <w:szCs w:val="12"/>
                <w:color w:val="auto"/>
              </w:rPr>
            </w:pPr>
          </w:p>
        </w:tc>
        <w:tc>
          <w:tcPr>
            <w:tcW w:w="16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Us or for Our</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6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Authorized</w:t>
            </w:r>
          </w:p>
        </w:tc>
        <w:tc>
          <w:tcPr>
            <w:tcW w:w="16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Account</w:t>
            </w: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10"/>
        </w:trPr>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par value $0.001 per share</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100,000,000</w:t>
            </w:r>
          </w:p>
        </w:tc>
        <w:tc>
          <w:tcPr>
            <w:tcW w:w="6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66,499,327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9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7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121"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will expire at the annual meeting of stockholders held in 2014, 2015, and 2016,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92"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1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7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11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7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64" w:lineRule="exact"/>
        <w:rPr>
          <w:sz w:val="20"/>
          <w:szCs w:val="20"/>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8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7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62"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Our bylaws contain a provision exempting from the Control Share Acquisition Act any and all acquisitions by any person of our shares of stock. There can be no assurance that such provision will not be amended or eliminated at any time in the future to the extent permitted by the 1940 Act.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7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130" w:lineRule="exact"/>
        <w:rPr>
          <w:rFonts w:ascii="Arial" w:cs="Arial" w:eastAsia="Arial" w:hAnsi="Arial"/>
          <w:sz w:val="18"/>
          <w:szCs w:val="18"/>
          <w:color w:val="auto"/>
        </w:rPr>
      </w:pPr>
    </w:p>
    <w:p>
      <w:pPr>
        <w:ind w:left="900" w:right="220" w:hanging="325"/>
        <w:spacing w:after="0" w:line="342"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24"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8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7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76" w:lineRule="exact"/>
        <w:rPr>
          <w:sz w:val="20"/>
          <w:szCs w:val="20"/>
          <w:color w:val="auto"/>
        </w:rPr>
      </w:pPr>
    </w:p>
    <w:p>
      <w:pPr>
        <w:ind w:left="660" w:hanging="314"/>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660" w:right="140" w:hanging="314"/>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660" w:right="560" w:hanging="314"/>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660" w:right="480" w:hanging="314"/>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60"/>
          </w:cols>
          <w:pgMar w:left="240" w:top="460" w:right="2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provisions of the warrants and that do not materially and adversely affect the interests of the holders of the warrants.</w:t>
      </w:r>
    </w:p>
    <w:p>
      <w:pPr>
        <w:spacing w:after="0" w:line="225"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Under the 1940 Act, we may generally only offer warrants provided that (1) the warrants expire by their terms within ten years, (2) the exercise price is not less than the market value of our common stock at the date of issuance, (3)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60"/>
          </w:cols>
          <w:pgMar w:left="240" w:top="460" w:right="2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54"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53" w:lineRule="exact"/>
        <w:rPr>
          <w:rFonts w:ascii="Arial" w:cs="Arial" w:eastAsia="Arial" w:hAnsi="Arial"/>
          <w:sz w:val="16"/>
          <w:szCs w:val="16"/>
          <w:color w:val="auto"/>
        </w:rPr>
      </w:pPr>
    </w:p>
    <w:p>
      <w:pPr>
        <w:ind w:left="900" w:right="26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88"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For the fiscal year ended September 30, 2013, we issued $71.3 million in aggregate principal amount of 2025 Notes for net proceeds of $68.8 million after underwriting discounts and offering costs. Interest on the 2025 Notes is paid quarterly on February 1, May 1, August 1 and November 1, at a rate of</w:t>
      </w:r>
    </w:p>
    <w:p>
      <w:pPr>
        <w:spacing w:after="0" w:line="254" w:lineRule="auto"/>
        <w:rPr>
          <w:sz w:val="20"/>
          <w:szCs w:val="20"/>
          <w:color w:val="auto"/>
        </w:rPr>
      </w:pPr>
      <w:r>
        <w:rPr>
          <w:rFonts w:ascii="Arial" w:cs="Arial" w:eastAsia="Arial" w:hAnsi="Arial"/>
          <w:sz w:val="18"/>
          <w:szCs w:val="18"/>
          <w:color w:val="auto"/>
        </w:rPr>
        <w:t>6.25% per year, commencing on May 1, 2013. The 2025 Notes mature on February 1, 2025. We may redeem the 2025 Notes in whole or in part at any time or from time to time on or after February 1, 2016. The 2025 Notes are our general, unsecured obligations and rank equal in right of payment with all of our existing and future senior unsecured indebtedness. The 2025 Notes are quoted on the NYSE under the ticker symbol “PNTA.” The last reported closing market price of the 2025 Notes on December 6, 2013 was $23.93 per $25 of par.</w:t>
      </w:r>
    </w:p>
    <w:p>
      <w:pPr>
        <w:spacing w:after="0" w:line="1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17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indenture with the SEC.</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prospectus supplement, which will accompany this prospectus, will describe the particular series of debt securities being offered by including:</w:t>
      </w:r>
    </w:p>
    <w:p>
      <w:pPr>
        <w:spacing w:after="0" w:line="142"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jc w:val="both"/>
        <w:ind w:left="900" w:right="240" w:hanging="325"/>
        <w:spacing w:after="0" w:line="264"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8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special federal income tax implications, including, if applicable, federal income tax considerations relating to original issue discount;</w:t>
      </w:r>
    </w:p>
    <w:p>
      <w:pPr>
        <w:spacing w:after="0" w:line="142" w:lineRule="exact"/>
        <w:rPr>
          <w:rFonts w:ascii="Arial" w:cs="Arial" w:eastAsia="Arial" w:hAnsi="Arial"/>
          <w:sz w:val="17"/>
          <w:szCs w:val="17"/>
          <w:color w:val="auto"/>
        </w:rPr>
      </w:pPr>
    </w:p>
    <w:p>
      <w:pPr>
        <w:ind w:left="900" w:right="440" w:hanging="325"/>
        <w:spacing w:after="0" w:line="34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debt securities may be secured or unsecured obligations. Under the provisions of the 1940 Act, we are permitted, as a BDC, to issue debt only in amounts such that we are in compliance with our asset coverage, as defined in the 1940 Act, excluding the SBA debentures due to SEC exemptive relief granted in June 2011. Unless the prospectus supplement states otherwise, principal (and premium, if any) and interest, if any, will be paid by us in immediately available funds.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or offered debt securities, and any debt securities issuable upon the exercise of warrants or upon conversion or exchange of other offered securities, or underlying debt securities may be issued under the indenture in one or more series.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40"/>
          </w:cols>
          <w:pgMar w:left="240" w:top="460" w:right="3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indenture does not contain any provisions that give you protection in the event we issue a large amount of debt or we are acquired by another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21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54"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117" w:lineRule="exact"/>
        <w:rPr>
          <w:sz w:val="20"/>
          <w:szCs w:val="20"/>
          <w:color w:val="auto"/>
        </w:rPr>
      </w:pPr>
    </w:p>
    <w:p>
      <w:pPr>
        <w:jc w:val="both"/>
        <w:ind w:right="40" w:firstLine="456"/>
        <w:spacing w:after="0" w:line="279"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88"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11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4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8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88"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76"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900" w:right="360" w:hanging="325"/>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75"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86"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325"/>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75" w:lineRule="exact"/>
        <w:rPr>
          <w:rFonts w:ascii="Arial" w:cs="Arial" w:eastAsia="Arial" w:hAnsi="Arial"/>
          <w:sz w:val="18"/>
          <w:szCs w:val="18"/>
          <w:color w:val="auto"/>
        </w:rPr>
      </w:pPr>
    </w:p>
    <w:p>
      <w:pPr>
        <w:ind w:left="900" w:right="320" w:hanging="325"/>
        <w:spacing w:after="0" w:line="286" w:lineRule="auto"/>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70" w:lineRule="exact"/>
        <w:rPr>
          <w:rFonts w:ascii="Arial" w:cs="Arial" w:eastAsia="Arial" w:hAnsi="Arial"/>
          <w:sz w:val="17"/>
          <w:szCs w:val="17"/>
          <w:color w:val="auto"/>
        </w:rPr>
      </w:pPr>
    </w:p>
    <w:p>
      <w:pPr>
        <w:ind w:left="900" w:right="600" w:hanging="325"/>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75"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86" w:lineRule="exact"/>
        <w:rPr>
          <w:rFonts w:ascii="Arial" w:cs="Arial" w:eastAsia="Arial" w:hAnsi="Arial"/>
          <w:sz w:val="18"/>
          <w:szCs w:val="18"/>
          <w:color w:val="auto"/>
        </w:rPr>
      </w:pPr>
    </w:p>
    <w:p>
      <w:pPr>
        <w:ind w:left="900" w:right="120" w:hanging="325"/>
        <w:spacing w:after="0" w:line="342"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29" w:lineRule="exact"/>
        <w:rPr>
          <w:rFonts w:ascii="Arial" w:cs="Arial" w:eastAsia="Arial" w:hAnsi="Arial"/>
          <w:sz w:val="16"/>
          <w:szCs w:val="16"/>
          <w:color w:val="auto"/>
        </w:rPr>
      </w:pPr>
    </w:p>
    <w:p>
      <w:pPr>
        <w:ind w:left="900" w:right="180" w:hanging="325"/>
        <w:spacing w:after="0" w:line="259"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131" w:lineRule="exact"/>
        <w:rPr>
          <w:sz w:val="20"/>
          <w:szCs w:val="20"/>
          <w:color w:val="auto"/>
        </w:rPr>
      </w:pPr>
    </w:p>
    <w:p>
      <w:pPr>
        <w:ind w:left="660" w:right="120" w:hanging="314"/>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130" w:lineRule="exact"/>
        <w:rPr>
          <w:rFonts w:ascii="Arial" w:cs="Arial" w:eastAsia="Arial" w:hAnsi="Arial"/>
          <w:sz w:val="18"/>
          <w:szCs w:val="18"/>
          <w:color w:val="auto"/>
        </w:rPr>
      </w:pPr>
    </w:p>
    <w:p>
      <w:pPr>
        <w:ind w:left="660" w:hanging="314"/>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60" w:right="2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7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5580" w:right="3200" w:hanging="5005"/>
        <w:spacing w:after="0" w:line="449" w:lineRule="auto"/>
        <w:tabs>
          <w:tab w:leader="none" w:pos="897"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118</w:t>
      </w:r>
    </w:p>
    <w:p>
      <w:pPr>
        <w:sectPr>
          <w:pgSz w:w="11900" w:h="16838" w:orient="portrait"/>
          <w:cols w:equalWidth="0" w:num="1">
            <w:col w:w="11360"/>
          </w:cols>
          <w:pgMar w:left="240" w:top="460" w:right="2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325"/>
        <w:spacing w:after="0" w:line="342" w:lineRule="auto"/>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225"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7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5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660" w:hanging="314"/>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660" w:right="260" w:hanging="314"/>
        <w:spacing w:after="0" w:line="342" w:lineRule="auto"/>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29" w:lineRule="exact"/>
        <w:rPr>
          <w:rFonts w:ascii="Arial" w:cs="Arial" w:eastAsia="Arial" w:hAnsi="Arial"/>
          <w:sz w:val="16"/>
          <w:szCs w:val="16"/>
          <w:color w:val="auto"/>
        </w:rPr>
      </w:pPr>
    </w:p>
    <w:p>
      <w:pPr>
        <w:ind w:left="660" w:hanging="314"/>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660" w:right="380" w:hanging="314"/>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221" w:lineRule="exact"/>
        <w:rPr>
          <w:sz w:val="20"/>
          <w:szCs w:val="20"/>
          <w:color w:val="auto"/>
        </w:rPr>
      </w:pPr>
    </w:p>
    <w:p>
      <w:pPr>
        <w:ind w:right="120" w:firstLine="57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right="860" w:firstLine="456"/>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900" w:right="340" w:hanging="325"/>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54" w:lineRule="exact"/>
        <w:rPr>
          <w:sz w:val="20"/>
          <w:szCs w:val="20"/>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change the place or currency of payment on a debt security (except as otherwise described in the prospectus or prospectus supplement);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60" w:right="2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900" w:hanging="325"/>
        <w:spacing w:after="0"/>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113" w:lineRule="exact"/>
        <w:rPr>
          <w:rFonts w:ascii="Arial" w:cs="Arial" w:eastAsia="Arial" w:hAnsi="Arial"/>
          <w:sz w:val="16"/>
          <w:szCs w:val="16"/>
          <w:color w:val="auto"/>
        </w:rPr>
      </w:pPr>
    </w:p>
    <w:p>
      <w:pPr>
        <w:ind w:left="900" w:right="180" w:hanging="325"/>
        <w:spacing w:after="0" w:line="342" w:lineRule="auto"/>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900" w:right="220" w:hanging="325"/>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4" w:lineRule="exact"/>
        <w:rPr>
          <w:sz w:val="20"/>
          <w:szCs w:val="20"/>
          <w:color w:val="auto"/>
        </w:rPr>
      </w:pPr>
    </w:p>
    <w:p>
      <w:pPr>
        <w:ind w:firstLine="57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94" w:lineRule="exact"/>
        <w:rPr>
          <w:sz w:val="20"/>
          <w:szCs w:val="20"/>
          <w:color w:val="auto"/>
        </w:rPr>
      </w:pPr>
    </w:p>
    <w:p>
      <w:pPr>
        <w:ind w:left="900" w:right="280" w:hanging="325"/>
        <w:spacing w:after="0" w:line="264"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86"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1"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4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900" w:right="280" w:hanging="325"/>
        <w:spacing w:after="0" w:line="264"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86"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6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6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900" w:right="140" w:hanging="325"/>
        <w:spacing w:after="0" w:line="259"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225"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American Stock Transfer &amp; Trust Company, LLC is the trustee under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UNITS</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specified in the applicable prospectus supplement, we may issue units comprised of one or more of the other securities described in this prospectus in any combination. Each unit may also include securities issued by the U.S. Treasury. Each unit will be issued so that the holder of the unit is also the holder of each security included in the unit. Thus, the holder of a unit will have the rights and obligations of a holder of each included security. The prospectus supplement will describe:</w:t>
      </w:r>
    </w:p>
    <w:p>
      <w:pPr>
        <w:spacing w:after="0" w:line="92" w:lineRule="exact"/>
        <w:rPr>
          <w:sz w:val="20"/>
          <w:szCs w:val="20"/>
          <w:color w:val="auto"/>
        </w:rPr>
      </w:pPr>
    </w:p>
    <w:p>
      <w:pPr>
        <w:ind w:left="900" w:right="220" w:hanging="325"/>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22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If a unit includes a share of common stock, the public offering price for the unit will reflect a price per share of common stock that equals or exceeds our then current NAV per share, unless the requirements of Section 63 of the 1940 Act have been satisfied. Section 63 permits us to sell shares of common stock below our then current NAV per share if: (1) the majority of our board of directors approves the offering as being in the best interests of us and our stockholders, (2) a majority of our stockholders (including a majority of our stockholders who are not affiliated persons of us) have approved the issuance of common stock below the then current NAV per share in the 12 months preceding the offering and (3) the offering price closely approximates the market value of the common stock. If the Section 63 requirements are met, the price per share of common stock included in a unit may be below the Company’s then current NAV per share. See “Sales of Common Stock Below Net Asset Value” for more information.</w:t>
      </w:r>
    </w:p>
    <w:p>
      <w:pPr>
        <w:spacing w:after="0" w:line="17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Units may also include warrants to purchase shares of our common stock in the future. We may generally only offer such warrants if (1) the warrants expire by their terms within ten years, (2) the exercise price is not less than the market value of our common stock at the date of issuance, (3) the exercise prices is not less than the then current NAV per share of our common stock (unless the Section 63 requirements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have been publicly distributed. The 1940 Act also provides that the amount of our voting securities that would result from the exercise of all outstanding warrants at the time of issuance may not exceed 25% of our outstanding voting securities.</w:t>
      </w:r>
    </w:p>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Units may also include subscription rights to purchase shares of our common stock. We will not offer transferable subscription rights in a unit providing for subscription at a price below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87"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Units may also include debt securities. If such debt securities are convertible into shares of our common stock, the exercise price for such conversion will not be less than the NAV per share of our common stock at the time of issuance of the unit (unless the Section 63 requirements are met).</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as exhibits to the registration statement of which this prospectus forms a part.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w:t>
      </w:r>
    </w:p>
    <w:p>
      <w:pPr>
        <w:spacing w:after="0" w:line="15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87" w:lineRule="exact"/>
        <w:rPr>
          <w:sz w:val="20"/>
          <w:szCs w:val="20"/>
          <w:color w:val="auto"/>
        </w:rPr>
      </w:pPr>
    </w:p>
    <w:p>
      <w:pPr>
        <w:ind w:left="900" w:right="200" w:hanging="446"/>
        <w:spacing w:after="0" w:line="259"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30" w:lineRule="exact"/>
        <w:rPr>
          <w:rFonts w:ascii="Arial" w:cs="Arial" w:eastAsia="Arial" w:hAnsi="Arial"/>
          <w:sz w:val="18"/>
          <w:szCs w:val="18"/>
          <w:color w:val="auto"/>
        </w:rPr>
      </w:pPr>
    </w:p>
    <w:p>
      <w:pPr>
        <w:ind w:left="1480" w:right="80" w:hanging="567"/>
        <w:spacing w:after="0" w:line="342" w:lineRule="auto"/>
        <w:tabs>
          <w:tab w:leader="none" w:pos="148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29" w:lineRule="exact"/>
        <w:rPr>
          <w:rFonts w:ascii="Arial" w:cs="Arial" w:eastAsia="Arial" w:hAnsi="Arial"/>
          <w:sz w:val="16"/>
          <w:szCs w:val="16"/>
          <w:color w:val="auto"/>
        </w:rPr>
      </w:pPr>
    </w:p>
    <w:p>
      <w:pPr>
        <w:ind w:left="1480" w:hanging="567"/>
        <w:spacing w:after="0"/>
        <w:tabs>
          <w:tab w:leader="none" w:pos="14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110"/>
        </w:numPr>
        <w:rPr>
          <w:rFonts w:ascii="Arial" w:cs="Arial" w:eastAsia="Arial" w:hAnsi="Arial"/>
          <w:sz w:val="16"/>
          <w:szCs w:val="16"/>
          <w:color w:val="auto"/>
        </w:rPr>
      </w:pPr>
      <w:r>
        <w:rPr>
          <w:rFonts w:ascii="Arial" w:cs="Arial" w:eastAsia="Arial" w:hAnsi="Arial"/>
          <w:sz w:val="16"/>
          <w:szCs w:val="16"/>
          <w:color w:val="auto"/>
        </w:rPr>
        <w:t>has any class of securities listed on a national securities exchange subject to a maximum market capitalization of $250.0 million; or</w:t>
      </w:r>
    </w:p>
    <w:p>
      <w:pPr>
        <w:spacing w:after="0" w:line="153" w:lineRule="exact"/>
        <w:rPr>
          <w:rFonts w:ascii="Arial" w:cs="Arial" w:eastAsia="Arial" w:hAnsi="Arial"/>
          <w:sz w:val="16"/>
          <w:szCs w:val="16"/>
          <w:color w:val="auto"/>
        </w:rPr>
      </w:pPr>
    </w:p>
    <w:p>
      <w:pPr>
        <w:ind w:left="1920" w:right="80" w:hanging="440"/>
        <w:spacing w:after="0" w:line="264" w:lineRule="auto"/>
        <w:tabs>
          <w:tab w:leader="none" w:pos="192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312" w:lineRule="auto"/>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52" w:lineRule="exact"/>
        <w:rPr>
          <w:rFonts w:ascii="Arial" w:cs="Arial" w:eastAsia="Arial" w:hAnsi="Arial"/>
          <w:sz w:val="16"/>
          <w:szCs w:val="16"/>
          <w:color w:val="auto"/>
        </w:rPr>
      </w:pPr>
    </w:p>
    <w:p>
      <w:pPr>
        <w:ind w:left="900" w:right="140" w:hanging="446"/>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3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provide assistance to our controlled affiliates.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121" w:lineRule="exact"/>
        <w:rPr>
          <w:sz w:val="20"/>
          <w:szCs w:val="20"/>
          <w:color w:val="auto"/>
        </w:rPr>
      </w:pPr>
    </w:p>
    <w:p>
      <w:pPr>
        <w:jc w:val="both"/>
        <w:ind w:right="220" w:firstLine="456"/>
        <w:spacing w:after="0" w:line="286" w:lineRule="auto"/>
        <w:rPr>
          <w:sz w:val="20"/>
          <w:szCs w:val="20"/>
          <w:color w:val="auto"/>
        </w:rPr>
      </w:pPr>
      <w:r>
        <w:rPr>
          <w:rFonts w:ascii="Arial" w:cs="Arial" w:eastAsia="Arial" w:hAnsi="Arial"/>
          <w:sz w:val="17"/>
          <w:szCs w:val="17"/>
          <w:color w:val="auto"/>
        </w:rPr>
        <w:t>We are permitted, under specified conditions, to issue multiple classes of indebtedness and one class of stock senior to our common stock if our asset coverage, as defined in the 1940 Act, is compliant with the 1940 Act, immediately after each such issuance. In addition, while any senior securities remain outstanding, we must make provisions to prohibit any distribution to our stockholders or the repurchase of such securities or shares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unless we meet the applicable asset coverage requirement at the time of the distribution or repurchase. We may also borrow amounts up to 5% of the value of our total assets for temporary or emergency purposes without regard to our asset coverage ratio. We received exemptive relief from the SEC allowing us to modify the asset coverage requirement to exclude the SBA debentures from the calculation. For a discussion of the risks associated with leverage, see “Risk Factors—Risks Relating to our Business and Structure—Regulations governing our operation as a business development company will affect our ability to, and the way in which we, raise additional capital” for more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You may also obtain a copy of our joint code of ethics, after paying a duplicating fee, by electronic request at the following email address: </w:t>
      </w:r>
      <w:r>
        <w:rPr>
          <w:rFonts w:ascii="Arial" w:cs="Arial" w:eastAsia="Arial" w:hAnsi="Arial"/>
          <w:sz w:val="18"/>
          <w:szCs w:val="18"/>
          <w:i w:val="1"/>
          <w:iCs w:val="1"/>
          <w:u w:val="single" w:color="auto"/>
          <w:color w:val="auto"/>
        </w:rPr>
        <w:t>publicinfo@sec.gov</w:t>
      </w:r>
      <w:r>
        <w:rPr>
          <w:rFonts w:ascii="Arial" w:cs="Arial" w:eastAsia="Arial" w:hAnsi="Arial"/>
          <w:sz w:val="18"/>
          <w:szCs w:val="18"/>
          <w:color w:val="auto"/>
        </w:rPr>
        <w:t>, or by writing the SEC’s Public Reference Section, 100 F Street, N.E., Washington, D.C. 20549.</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21"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117"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4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from revealing how we intend to vote on a proposal in order to reduce any attempted influence from interested parties.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10022.</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4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 xml:space="preserve">Our privacy protection policies are available, free of charge,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xml:space="preserve">. In addition, the privacy policy is available on the EDGAR Database on the SEC’s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filed as an exhibit to our annual report on Form 10-K (File No. 814-00736), filed on November 16, 2011. You may also obtain copies of our privacy policy, after paying a duplicating fee, by electronic request at the following email address: </w:t>
      </w:r>
      <w:r>
        <w:rPr>
          <w:rFonts w:ascii="Arial" w:cs="Arial" w:eastAsia="Arial" w:hAnsi="Arial"/>
          <w:sz w:val="17"/>
          <w:szCs w:val="17"/>
          <w:i w:val="1"/>
          <w:iCs w:val="1"/>
          <w:u w:val="single" w:color="auto"/>
          <w:color w:val="auto"/>
        </w:rPr>
        <w:t>publicinfo@sec.gov</w:t>
      </w:r>
      <w:r>
        <w:rPr>
          <w:rFonts w:ascii="Arial" w:cs="Arial" w:eastAsia="Arial" w:hAnsi="Arial"/>
          <w:sz w:val="17"/>
          <w:szCs w:val="17"/>
          <w:color w:val="auto"/>
        </w:rPr>
        <w:t>, or by writing the SEC’s Public Reference Section, 100 F Street, N.E., Washington, D.C. 20549.</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and SBA for compliance with the 1940 Act and 1958 Act, respectively.</w:t>
      </w:r>
    </w:p>
    <w:p>
      <w:pPr>
        <w:spacing w:after="0" w:line="225"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Sarbanes-Oxley Act imposes several regulatory requirements on publicly held companies and their insiders. Many of these requirements affect us.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example:</w:t>
      </w:r>
    </w:p>
    <w:p>
      <w:pPr>
        <w:spacing w:after="0" w:line="131" w:lineRule="exact"/>
        <w:rPr>
          <w:sz w:val="20"/>
          <w:szCs w:val="20"/>
          <w:color w:val="auto"/>
        </w:rPr>
      </w:pPr>
    </w:p>
    <w:p>
      <w:pPr>
        <w:ind w:left="900" w:right="14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and</w:t>
      </w:r>
    </w:p>
    <w:p>
      <w:pPr>
        <w:spacing w:after="0" w:line="75" w:lineRule="exact"/>
        <w:rPr>
          <w:rFonts w:ascii="Arial" w:cs="Arial" w:eastAsia="Arial" w:hAnsi="Arial"/>
          <w:sz w:val="18"/>
          <w:szCs w:val="18"/>
          <w:color w:val="auto"/>
        </w:rPr>
      </w:pPr>
    </w:p>
    <w:p>
      <w:pPr>
        <w:jc w:val="both"/>
        <w:ind w:left="900" w:right="140" w:hanging="325"/>
        <w:spacing w:after="0" w:line="312" w:lineRule="auto"/>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25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Administration Regulations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SBIC LP and SBIC II are licensed under the SBA as SBICs under Section 301(c) of the 1958 Act. SBIC LP and SBIC II received their licenses in July 2010 and January 2013, respectively.</w:t>
      </w:r>
    </w:p>
    <w:p>
      <w:pPr>
        <w:spacing w:after="0" w:line="6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SBICs are designed to stimulate the flow of capital to businesses that meet specified eligibility requirements discussed below. Under SBA regulations, our SBIC Funds are subject to regulatory requirements including making investments in SBA eligible businesses, investing at least 25% of regulatory capital in eligible smaller businesses, placing certain limitations on the financing terms of investments, prohibiting investing in certain industries, and required capitalization thresholds among other regulations. Furthermore, our SBIC Funds are subject to periodic audits and examinations of their financial statements that are prepared on a basis of accounting other than GAAP pursuant to SBA accounting standards and financial reporting requirements for SBICs. For example, SBIC LP does not use fair value accounting on its assets or liabilities under SBA valuation guidelines. If either of our SBIC Funds fails to comply with applicable SBA regulations, the SBA could, depending on the severity of the violation, limit or prohibit use of debentures, declare outstanding debentures immediately due and payable, and/or limit our SBIC Funds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Eligible Small and Smaller Businesses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 present SBA regulations, eligible small business include businesses that (together with their affiliates) have tangible net worth not exceeding $18.0 million and have average annual net income of $6.0 million for the two most recent fiscal years. In addition, each of our SBIC Funds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employees or gross revenue, which is based on the industry in which the smaller concern operates. Once an SBIC has invested in a company, it may continue to make follow-on investments in the company, regardless of the size of the business, up and until the time a business offers its securities in a public market.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Limitations, Terms and Changes in Control</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SBA prohibits an SBIC from financing small businesses in certain industries such as relending, gambling, oil and gas exploration and other passive businesses. Additional SBA prohibitions include investing outside the United States, investing more than 20% of regulatory capital in one company and lending money to any officer, director or employee or to invest in any affiliate thereof. The SBA places certain limits on the financing terms of investments by our SBIC Funds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17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SBA also prohibits, without prior written approval, a “change in control” of our SBIC Funds or transfers that would result in any person or group owning 10% or more of a class of capital stock (or its equivalent in the case of a partnership) of a licensed SBIC. A “change of control” is any event which would result in the transfer of power, direct or indirect, to direct management and policies of an SBIC, whether through ownership, contractual arrangements or otherwise.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Idle Funds Limitation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SBA limits an SBIC from investing idle funds to the following types of securities:</w:t>
      </w:r>
    </w:p>
    <w:p>
      <w:pPr>
        <w:spacing w:after="0" w:line="131" w:lineRule="exact"/>
        <w:rPr>
          <w:sz w:val="20"/>
          <w:szCs w:val="20"/>
          <w:color w:val="auto"/>
        </w:rPr>
      </w:pPr>
    </w:p>
    <w:p>
      <w:pPr>
        <w:ind w:left="900" w:right="360" w:hanging="325"/>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United States government, which mature within 15 months from the date of the investment;</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withdrawal restriction of one year or less.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 Leverage or Debentures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an SBIC may borrow to a maximum of $150 million, which is up to twice its regulatory capital, and a maximum of $225 million as part of a group of SBICs under common control.</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60"/>
          </w:cols>
          <w:pgMar w:left="240" w:top="460" w:right="2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60" w:right="2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12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(as described below). We also must annually distribute at least 90% of the sum of our ordinary income and realized net short-term capital gains in excess of realized net long-term capital losses, if any, out of the assets legally available for distribution, or the Annual Distribution Requirement.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realized net capital gains for the one-year period ending on October 31 of the calendar year and (3) the sum of any net ordinary income plus net capital gains and net ordinary gains for preceding years that were not distributed during such years,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ordinary income to provide us with additional liquidity.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131" w:lineRule="exact"/>
        <w:rPr>
          <w:sz w:val="20"/>
          <w:szCs w:val="20"/>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130" w:lineRule="exact"/>
        <w:rPr>
          <w:rFonts w:ascii="Arial" w:cs="Arial" w:eastAsia="Arial" w:hAnsi="Arial"/>
          <w:sz w:val="18"/>
          <w:szCs w:val="18"/>
          <w:color w:val="auto"/>
        </w:rPr>
      </w:pPr>
    </w:p>
    <w:p>
      <w:pPr>
        <w:ind w:left="900" w:right="200" w:hanging="325"/>
        <w:spacing w:after="0" w:line="264"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130" w:lineRule="exact"/>
        <w:rPr>
          <w:rFonts w:ascii="Arial" w:cs="Arial" w:eastAsia="Arial" w:hAnsi="Arial"/>
          <w:sz w:val="18"/>
          <w:szCs w:val="18"/>
          <w:color w:val="auto"/>
        </w:rPr>
      </w:pPr>
    </w:p>
    <w:p>
      <w:pPr>
        <w:ind w:left="1480" w:right="140" w:hanging="567"/>
        <w:spacing w:after="0" w:line="264" w:lineRule="auto"/>
        <w:tabs>
          <w:tab w:leader="none" w:pos="14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6" w:lineRule="exact"/>
        <w:rPr>
          <w:rFonts w:ascii="Arial" w:cs="Arial" w:eastAsia="Arial" w:hAnsi="Arial"/>
          <w:sz w:val="18"/>
          <w:szCs w:val="18"/>
          <w:color w:val="auto"/>
        </w:rPr>
      </w:pPr>
    </w:p>
    <w:p>
      <w:pPr>
        <w:ind w:left="1480" w:right="180" w:hanging="567"/>
        <w:spacing w:after="0" w:line="286" w:lineRule="auto"/>
        <w:tabs>
          <w:tab w:leader="none" w:pos="148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as a RIC</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may be required to recognize taxable income in circumstances in which we do not receive cash. For example, if we hold debt obligations that are treated under applicable tax rules as having OID (such as debt instruments with PIK interest or, in certain cases, increasing interest rates or issued with warrants), we must include in income each year a portion of the OID that accrues over the life of the obligation, regardless of whether cash representing such income is received by us in the same taxable year. Because any OID accrued will be included in our investment company taxable income in the year of accrual, we may be required to make a distribution to our stockholders in order to satisfy the Annual Distribution Requirement, even though we will not have received any corresponding cash amount.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7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to Qualify as a RIC</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54"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If we are unable to maintain our status as a RIC, we would be subject to tax on all of our taxable income at regular corporate rates. We would not be able to deduct distributions to stockholders, nor would distributions be required to be made. Distributions would generally be taxable to our stockholders as ordinary distribution income eligible for a preferential maximum rate to the extent of our current and accumulated earnings and profits. Subject to certain limitations under the Code, dividends paid by us to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if certain holding period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6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6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93"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4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8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general, individual U.S. stockholders currently are subject to a maximum federal income tax rate of either 15% or 20% (depending on whether the stockholder’s income exceeds certain threshold amounts) on their net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8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taxable years beginning after December 31, 2012, an additional 3.8% Medicare tax will be imposed on certain net investment income (including ordinary dividends and capital gain distributions received from us and net gains from redemptions or other taxable dispositions of our shares) of U.S. individuals, estates and trusts to the extent that such person’s “modified adjusted gross income” (in the case of an individual) or “adjusted gross income” (in the case of an estate or trust) exceeds certain threshold amounts.</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preferential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Recent legislation requires reporting of adjusted cost basis information for covered securities, which generally include shares of a RIC acquired after January 1, 2012, to the Internal Revenue Service, or IRS, and to taxpayers. Stockholders should contact their financial intermediaries with respect to reporting of cost basis and available elections for their accounts.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U.S. stockholders may be subject to federal income tax withholding (“backup withholding”) currently at a rate of 28%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Distributions of our “investment company taxable income” to Non-U.S. stockholders (including interest income and net short-term capital gain) are expected to be subject to withholding of federal tax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60" w:right="2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In addition, with respect to certain distributions made by RICs to Non-U.S. stockholders in taxable years beginning before January 1, 2014,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No assurance can be given as to whether legislation will be enacted to extend the application of this provision to taxable years of RICs beginning on or after January 1, 2014.</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93"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Effective July 1, 2014, withholding agents will be required to withhold U.S. tax (at a 30% rate) on payments of taxable dividends and (effective January 1, 2017) redemption proceeds and certain capital gain dividends made to certain non-U.S. entities that fail to comply (or be deemed compliant) with extensive new reporting and withholding requirements designed to inform the U.S. Department of the Treasury of U.S.-owned foreign investment accounts.</w:t>
      </w:r>
    </w:p>
    <w:p>
      <w:pPr>
        <w:ind w:right="900"/>
        <w:spacing w:after="0" w:line="261" w:lineRule="auto"/>
        <w:rPr>
          <w:sz w:val="20"/>
          <w:szCs w:val="20"/>
          <w:color w:val="auto"/>
        </w:rPr>
      </w:pPr>
      <w:r>
        <w:rPr>
          <w:rFonts w:ascii="Arial" w:cs="Arial" w:eastAsia="Arial" w:hAnsi="Arial"/>
          <w:sz w:val="18"/>
          <w:szCs w:val="18"/>
          <w:color w:val="auto"/>
        </w:rPr>
        <w:t>Stockholders may be requested to provide additional information to the withholding agents to enable the withholding agents to determine whether withholding is required.</w:t>
      </w:r>
    </w:p>
    <w:p>
      <w:pPr>
        <w:spacing w:after="0" w:line="184"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52" w:lineRule="exact"/>
        <w:rPr>
          <w:sz w:val="20"/>
          <w:szCs w:val="20"/>
          <w:color w:val="auto"/>
        </w:rPr>
      </w:pPr>
    </w:p>
    <w:p>
      <w:pPr>
        <w:ind w:left="900" w:hanging="325"/>
        <w:spacing w:after="0"/>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42" w:lineRule="exact"/>
        <w:rPr>
          <w:rFonts w:ascii="Arial" w:cs="Arial" w:eastAsia="Arial" w:hAnsi="Arial"/>
          <w:sz w:val="17"/>
          <w:szCs w:val="17"/>
          <w:color w:val="auto"/>
        </w:rPr>
      </w:pPr>
    </w:p>
    <w:p>
      <w:pPr>
        <w:ind w:left="900" w:right="60" w:hanging="325"/>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and any discounts, commissions or concessions allowed or reallowed or paid to dealers;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1"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w:t>
      </w:r>
    </w:p>
    <w:p>
      <w:pPr>
        <w:ind w:right="540"/>
        <w:spacing w:after="0" w:line="261" w:lineRule="auto"/>
        <w:rPr>
          <w:sz w:val="20"/>
          <w:szCs w:val="20"/>
          <w:color w:val="auto"/>
        </w:rPr>
      </w:pPr>
      <w:r>
        <w:rPr>
          <w:rFonts w:ascii="Arial" w:cs="Arial" w:eastAsia="Arial" w:hAnsi="Arial"/>
          <w:sz w:val="18"/>
          <w:szCs w:val="18"/>
          <w:color w:val="auto"/>
        </w:rPr>
        <w:t>Generally, the underwriters’ obligations to purchase the securities will be subject to certain conditions precedent. The underwriters will be obligated to purchase all of the securities if they purchase any of the securities.</w:t>
      </w:r>
    </w:p>
    <w:p>
      <w:pPr>
        <w:spacing w:after="0" w:line="184"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81"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8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229"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BNY Mellon Investment Servicing (US) Inc. (formerly PNC Global Investment Servicing, Inc.), a subsidiary of The Bank of New York Mellon, provides administrative and accounting services to us under a sub-administration and accounting services agreement. The Bank of New York Mellon (successor in interest of PFPC Trust Company) provides custodian services to us pursuant to a custodian services agreement. The principal business address of The Bank of New York Mellon is One Wall Street, New York, NY 10286. American Stock Transfer &amp; Trust Company, LLC acts as our transfer agent, distribution paying agent and registrar. The principal business address of American Stock Transfer &amp; Trust Company, LLC is 6201 15th Avenue, Brooklyn, New York 11219, telephone number: (800) 937-5449. American Stock Transfer &amp; Trust Company, LLC serves as trustee for our 2025 Notes.</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Certain legal matters regarding the securities offered by this prospectus will be passed upon for PennantPark Investment by Dechert LLP, Washington, D.C., and by Venable LLP, as special Maryland counsel.</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independent registered public accounting firm until November 21, 2013, KPMG LLP, is located at 345 Park Avenue, New York, New York 10154.</w:t>
      </w:r>
    </w:p>
    <w:p>
      <w:pPr>
        <w:spacing w:after="0" w:line="248" w:lineRule="exact"/>
        <w:rPr>
          <w:sz w:val="20"/>
          <w:szCs w:val="20"/>
          <w:color w:val="auto"/>
        </w:rPr>
      </w:pPr>
    </w:p>
    <w:p>
      <w:pPr>
        <w:jc w:val="center"/>
        <w:ind w:right="140"/>
        <w:spacing w:after="0" w:line="449" w:lineRule="auto"/>
        <w:rPr>
          <w:sz w:val="20"/>
          <w:szCs w:val="20"/>
          <w:color w:val="auto"/>
        </w:rPr>
      </w:pPr>
      <w:r>
        <w:rPr>
          <w:rFonts w:ascii="Arial" w:cs="Arial" w:eastAsia="Arial" w:hAnsi="Arial"/>
          <w:sz w:val="18"/>
          <w:szCs w:val="18"/>
          <w:color w:val="auto"/>
        </w:rPr>
        <w:t>Our current independent registered public accounting firm, McGladrey LLP, is located at 1185 Avenue of the Americas, New York, NY 10036. 140</w:t>
      </w:r>
    </w:p>
    <w:p>
      <w:pPr>
        <w:sectPr>
          <w:pgSz w:w="11900" w:h="16838" w:orient="portrait"/>
          <w:cols w:equalWidth="0" w:num="1">
            <w:col w:w="11360"/>
          </w:cols>
          <w:pgMar w:left="240" w:top="459" w:right="29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gridSpan w:val="4"/>
            <w:vMerge w:val="restart"/>
          </w:tcPr>
          <w:p>
            <w:pPr>
              <w:spacing w:after="0"/>
              <w:rPr>
                <w:rFonts w:ascii="Arial" w:cs="Arial" w:eastAsia="Arial" w:hAnsi="Arial"/>
                <w:sz w:val="18"/>
                <w:szCs w:val="18"/>
                <w:color w:val="0000EE"/>
                <w:w w:val="91"/>
              </w:rPr>
            </w:pPr>
            <w:hyperlink w:anchor="page218">
              <w:r>
                <w:rPr>
                  <w:rFonts w:ascii="Arial" w:cs="Arial" w:eastAsia="Arial" w:hAnsi="Arial"/>
                  <w:sz w:val="18"/>
                  <w:szCs w:val="18"/>
                  <w:color w:val="0000EE"/>
                  <w:w w:val="91"/>
                </w:rPr>
                <w:t>Management’s Report on Internal Control over Financial Reporting</w:t>
              </w:r>
            </w:hyperlink>
          </w:p>
        </w:tc>
        <w:tc>
          <w:tcPr>
            <w:tcW w:w="6040" w:type="dxa"/>
            <w:vAlign w:val="bottom"/>
            <w:gridSpan w:val="6"/>
            <w:vMerge w:val="restart"/>
          </w:tcPr>
          <w:p>
            <w:pPr>
              <w:spacing w:after="0"/>
              <w:rPr>
                <w:sz w:val="14"/>
                <w:szCs w:val="1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880" w:type="dxa"/>
            <w:vAlign w:val="bottom"/>
            <w:tcBorders>
              <w:bottom w:val="single" w:sz="8" w:color="0000EE"/>
            </w:tcBorders>
            <w:gridSpan w:val="4"/>
            <w:vMerge w:val="continue"/>
          </w:tcPr>
          <w:p>
            <w:pPr>
              <w:spacing w:after="0"/>
              <w:rPr>
                <w:sz w:val="13"/>
                <w:szCs w:val="13"/>
                <w:color w:val="auto"/>
              </w:rPr>
            </w:pPr>
          </w:p>
        </w:tc>
        <w:tc>
          <w:tcPr>
            <w:tcW w:w="6040" w:type="dxa"/>
            <w:vAlign w:val="bottom"/>
            <w:gridSpan w:val="6"/>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920" w:type="dxa"/>
            <w:vAlign w:val="bottom"/>
            <w:gridSpan w:val="10"/>
          </w:tcPr>
          <w:p>
            <w:pPr>
              <w:spacing w:after="0"/>
              <w:rPr>
                <w:rFonts w:ascii="Arial" w:cs="Arial" w:eastAsia="Arial" w:hAnsi="Arial"/>
                <w:sz w:val="18"/>
                <w:szCs w:val="18"/>
                <w:color w:val="0000EE"/>
              </w:rPr>
            </w:pPr>
            <w:hyperlink w:anchor="page219">
              <w:r>
                <w:rPr>
                  <w:rFonts w:ascii="Arial" w:cs="Arial" w:eastAsia="Arial" w:hAnsi="Arial"/>
                  <w:sz w:val="18"/>
                  <w:szCs w:val="18"/>
                  <w:color w:val="0000EE"/>
                </w:rPr>
                <w:t>Report of Independent Registered Public Accounting Firm</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7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58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220">
              <w:r>
                <w:rPr>
                  <w:rFonts w:ascii="Arial" w:cs="Arial" w:eastAsia="Arial" w:hAnsi="Arial"/>
                  <w:sz w:val="18"/>
                  <w:szCs w:val="18"/>
                  <w:color w:val="0000EE"/>
                  <w:w w:val="92"/>
                </w:rPr>
                <w:t>Report of Independent Registered Public Accounting Firm On Internal Control Over Financial Reporting</w:t>
              </w:r>
            </w:hyperlink>
          </w:p>
        </w:tc>
        <w:tc>
          <w:tcPr>
            <w:tcW w:w="3340" w:type="dxa"/>
            <w:vAlign w:val="bottom"/>
            <w:gridSpan w:val="2"/>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04"/>
        </w:trPr>
        <w:tc>
          <w:tcPr>
            <w:tcW w:w="61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221">
              <w:r>
                <w:rPr>
                  <w:rFonts w:ascii="Arial" w:cs="Arial" w:eastAsia="Arial" w:hAnsi="Arial"/>
                  <w:sz w:val="18"/>
                  <w:szCs w:val="18"/>
                  <w:color w:val="0000EE"/>
                  <w:w w:val="89"/>
                </w:rPr>
                <w:t>Consolidated Statements of Assets and Liabilities as of September 30, 2013 and 2012</w:t>
              </w:r>
            </w:hyperlink>
          </w:p>
        </w:tc>
        <w:tc>
          <w:tcPr>
            <w:tcW w:w="4740" w:type="dxa"/>
            <w:vAlign w:val="bottom"/>
            <w:gridSpan w:val="5"/>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04"/>
        </w:trPr>
        <w:tc>
          <w:tcPr>
            <w:tcW w:w="10920" w:type="dxa"/>
            <w:vAlign w:val="bottom"/>
            <w:gridSpan w:val="10"/>
          </w:tcPr>
          <w:p>
            <w:pPr>
              <w:spacing w:after="0"/>
              <w:rPr>
                <w:rFonts w:ascii="Arial" w:cs="Arial" w:eastAsia="Arial" w:hAnsi="Arial"/>
                <w:sz w:val="18"/>
                <w:szCs w:val="18"/>
                <w:color w:val="0000EE"/>
              </w:rPr>
            </w:pPr>
            <w:hyperlink w:anchor="page222">
              <w:r>
                <w:rPr>
                  <w:rFonts w:ascii="Arial" w:cs="Arial" w:eastAsia="Arial" w:hAnsi="Arial"/>
                  <w:sz w:val="18"/>
                  <w:szCs w:val="18"/>
                  <w:color w:val="0000EE"/>
                </w:rPr>
                <w:t>Consolidated Statements of Operations for the years ended September 30, 2013, 2012 and 2011</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27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7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223">
              <w:r>
                <w:rPr>
                  <w:rFonts w:ascii="Arial" w:cs="Arial" w:eastAsia="Arial" w:hAnsi="Arial"/>
                  <w:sz w:val="18"/>
                  <w:szCs w:val="18"/>
                  <w:color w:val="0000EE"/>
                  <w:w w:val="88"/>
                </w:rPr>
                <w:t>Consolidated Statements of Changes in Net Assets for the years ended September 30, 2013, 2012 and 2011</w:t>
              </w:r>
            </w:hyperlink>
          </w:p>
        </w:tc>
        <w:tc>
          <w:tcPr>
            <w:tcW w:w="320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04"/>
        </w:trPr>
        <w:tc>
          <w:tcPr>
            <w:tcW w:w="10920" w:type="dxa"/>
            <w:vAlign w:val="bottom"/>
            <w:gridSpan w:val="10"/>
          </w:tcPr>
          <w:p>
            <w:pPr>
              <w:spacing w:after="0"/>
              <w:rPr>
                <w:rFonts w:ascii="Arial" w:cs="Arial" w:eastAsia="Arial" w:hAnsi="Arial"/>
                <w:sz w:val="18"/>
                <w:szCs w:val="18"/>
                <w:color w:val="0000EE"/>
              </w:rPr>
            </w:pPr>
            <w:hyperlink w:anchor="page224">
              <w:r>
                <w:rPr>
                  <w:rFonts w:ascii="Arial" w:cs="Arial" w:eastAsia="Arial" w:hAnsi="Arial"/>
                  <w:sz w:val="18"/>
                  <w:szCs w:val="18"/>
                  <w:color w:val="0000EE"/>
                </w:rPr>
                <w:t>Consolidated Statements of Cash Flows for the years ended September 30, 2013, 2012 and 2011</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04"/>
        </w:trPr>
        <w:tc>
          <w:tcPr>
            <w:tcW w:w="278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225">
              <w:r>
                <w:rPr>
                  <w:rFonts w:ascii="Arial" w:cs="Arial" w:eastAsia="Arial" w:hAnsi="Arial"/>
                  <w:sz w:val="18"/>
                  <w:szCs w:val="18"/>
                  <w:color w:val="0000EE"/>
                  <w:w w:val="89"/>
                </w:rPr>
                <w:t>Consolidated Schedule of Investments</w:t>
              </w:r>
            </w:hyperlink>
          </w:p>
        </w:tc>
        <w:tc>
          <w:tcPr>
            <w:tcW w:w="4160" w:type="dxa"/>
            <w:vAlign w:val="bottom"/>
            <w:tcBorders>
              <w:top w:val="single" w:sz="8" w:color="0000EE"/>
            </w:tcBorders>
            <w:gridSpan w:val="6"/>
          </w:tcPr>
          <w:p>
            <w:pPr>
              <w:spacing w:after="0"/>
              <w:rPr>
                <w:sz w:val="24"/>
                <w:szCs w:val="24"/>
                <w:color w:val="auto"/>
              </w:rPr>
            </w:pPr>
          </w:p>
        </w:tc>
        <w:tc>
          <w:tcPr>
            <w:tcW w:w="3980" w:type="dxa"/>
            <w:vAlign w:val="bottom"/>
            <w:gridSpan w:val="3"/>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304"/>
        </w:trPr>
        <w:tc>
          <w:tcPr>
            <w:tcW w:w="10920" w:type="dxa"/>
            <w:vAlign w:val="bottom"/>
            <w:gridSpan w:val="10"/>
          </w:tcPr>
          <w:p>
            <w:pPr>
              <w:spacing w:after="0"/>
              <w:rPr>
                <w:rFonts w:ascii="Arial" w:cs="Arial" w:eastAsia="Arial" w:hAnsi="Arial"/>
                <w:sz w:val="18"/>
                <w:szCs w:val="18"/>
                <w:color w:val="0000EE"/>
              </w:rPr>
            </w:pPr>
            <w:hyperlink w:anchor="page234">
              <w:r>
                <w:rPr>
                  <w:rFonts w:ascii="Arial" w:cs="Arial" w:eastAsia="Arial" w:hAnsi="Arial"/>
                  <w:sz w:val="18"/>
                  <w:szCs w:val="18"/>
                  <w:color w:val="0000EE"/>
                </w:rPr>
                <w:t>Notes to the Consolidated Financial Statements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F-18</w:t>
            </w:r>
          </w:p>
        </w:tc>
        <w:tc>
          <w:tcPr>
            <w:tcW w:w="0" w:type="dxa"/>
            <w:vAlign w:val="bottom"/>
          </w:tcPr>
          <w:p>
            <w:pPr>
              <w:spacing w:after="0"/>
              <w:rPr>
                <w:sz w:val="1"/>
                <w:szCs w:val="1"/>
                <w:color w:val="auto"/>
              </w:rPr>
            </w:pPr>
          </w:p>
        </w:tc>
      </w:tr>
      <w:tr>
        <w:trPr>
          <w:trHeight w:val="385"/>
        </w:trPr>
        <w:tc>
          <w:tcPr>
            <w:tcW w:w="27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40" w:type="dxa"/>
            <w:vAlign w:val="bottom"/>
            <w:gridSpan w:val="6"/>
          </w:tcPr>
          <w:p>
            <w:pPr>
              <w:ind w:left="70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18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Management assessed the effectiveness of PennantPark Investment’s internal control over financial reporting as of September 30, 2013. In making this assessment, we used the criteria set forth by the Committee of Sponsoring Organizations of the Treadway Commission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the assessment management believes that, as of September 30, 2013,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87" w:lineRule="exact"/>
        <w:rPr>
          <w:sz w:val="20"/>
          <w:szCs w:val="20"/>
          <w:color w:val="auto"/>
        </w:rPr>
      </w:pPr>
    </w:p>
    <w:p>
      <w:pPr>
        <w:ind w:right="680" w:firstLine="456"/>
        <w:spacing w:after="0" w:line="308" w:lineRule="auto"/>
        <w:rPr>
          <w:sz w:val="20"/>
          <w:szCs w:val="20"/>
          <w:color w:val="auto"/>
        </w:rPr>
      </w:pPr>
      <w:r>
        <w:rPr>
          <w:rFonts w:ascii="Arial" w:cs="Arial" w:eastAsia="Arial" w:hAnsi="Arial"/>
          <w:sz w:val="17"/>
          <w:szCs w:val="17"/>
          <w:color w:val="auto"/>
        </w:rPr>
        <w:t>PennantPark Investment’s independent registered public accounting firm that audited the financial statements has issued an audit report on the effectiveness of our internal control over financial reporting as of September 30, 2013. This report appears on page F-4.</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60" w:right="2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21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We have audited the accompanying consolidated statements of assets and liabilities of PennantPark Investment Corporation and its Subsidiaries (the “Company”), including the consolidated schedules of investments as of September 30, 2013 and 2012, and the related consolidated statements of operations, changes in net assets, and cash flows for the years ended September 30, 2013, 2012 and 2011. These consolidated financial statements are the responsibility of the Company’s management. Our responsibility is to express an opinion on these consolidated financial statements based on our audits.</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2013 by correspondence with the custodians and portfolio companies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PennantPark Investment Corporation and its Subsidiaries as of September 30, 2013 and 2012, and the results of operations and cash flows for the years ended September 30, 2013, 2012 and 2011, in conformity with U.S. generally accepted accounting principles.</w:t>
      </w:r>
    </w:p>
    <w:p>
      <w:pPr>
        <w:spacing w:after="0" w:line="181"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PennantPark Investment Corporation’s internal control over financial reporting as of September 30, 2013,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issued by the Committee of Sponsoring Organizations of the Treadway Commission (COSO), and our report dated November 13, 2013 expressed an unqualified opinion on the effectiveness of the Company’s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2013</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21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We have audited PennantPark Investment Corporation and its Subsidiaries’ (the “Company”) internal control over financial reporting as of September 30, 2013,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issued by the Committee of Sponsoring Organizations of the Treadway Commission (COSO). Management of the Company is responsible for maintaining effective internal control over financial reporting and for its assessment of the effectiveness of internal control over financial reporting, included on page 42 of the Annual Report on Form 10-K, and Item 9A., Controls and Procedures—Management’s Report on Internal Control Over Financial Reporting. Our responsibility is to express an opinion on the Company’s internal control over financial reporting based on our audit.</w:t>
      </w:r>
    </w:p>
    <w:p>
      <w:pPr>
        <w:spacing w:after="0" w:line="19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 xml:space="preserve">In our opinion, PennantPark Investment Corporation and its Subsidiaries maintained, in all material respects, effective internal control over financial reporting as of September 30, 2013,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COSO.</w:t>
      </w:r>
    </w:p>
    <w:p>
      <w:pPr>
        <w:spacing w:after="0" w:line="14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statements of assets and liabilities of PennantPark Investment Corporation and its Subsidiaries, including the schedules of investments as of September 30, 2013 and 2012, and the related statements of operations, changes in net assets, and cash flows for the years ended September 30, 2013, 2012 and 2011, and our report dated November 13, 2013 expressed an unqualified opinion on those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2013</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60"/>
          </w:cols>
          <w:pgMar w:left="240" w:top="460" w:right="2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5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3"/>
              </w:rPr>
              <w:t>September 30, 2013</w:t>
            </w:r>
          </w:p>
        </w:tc>
        <w:tc>
          <w:tcPr>
            <w:tcW w:w="260" w:type="dxa"/>
            <w:vAlign w:val="bottom"/>
          </w:tcPr>
          <w:p>
            <w:pPr>
              <w:spacing w:after="0"/>
              <w:rPr>
                <w:sz w:val="14"/>
                <w:szCs w:val="14"/>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September 30,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Non-controlled, non-affiliated investments, at fair value</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(cost—$928,078,589 and $871,867,953, respectively)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968,471,042</w:t>
            </w:r>
          </w:p>
        </w:tc>
        <w:tc>
          <w:tcPr>
            <w:tcW w:w="2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871,892,745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tcPr>
          <w:p>
            <w:pPr>
              <w:ind w:left="340"/>
              <w:spacing w:after="0" w:line="201" w:lineRule="exact"/>
              <w:rPr>
                <w:sz w:val="20"/>
                <w:szCs w:val="20"/>
                <w:color w:val="auto"/>
              </w:rPr>
            </w:pPr>
            <w:r>
              <w:rPr>
                <w:rFonts w:ascii="Arial" w:cs="Arial" w:eastAsia="Arial" w:hAnsi="Arial"/>
                <w:sz w:val="18"/>
                <w:szCs w:val="18"/>
                <w:color w:val="auto"/>
              </w:rPr>
              <w:t>Non-controlled, affiliated investments, at fair value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520"/>
              <w:spacing w:after="0"/>
              <w:rPr>
                <w:sz w:val="20"/>
                <w:szCs w:val="20"/>
                <w:color w:val="auto"/>
              </w:rPr>
            </w:pPr>
            <w:r>
              <w:rPr>
                <w:rFonts w:ascii="Arial" w:cs="Arial" w:eastAsia="Arial" w:hAnsi="Arial"/>
                <w:sz w:val="18"/>
                <w:szCs w:val="18"/>
                <w:color w:val="auto"/>
              </w:rPr>
              <w:t>(cost—$99,021,141 and $72,576,858, respectively)</w:t>
            </w:r>
          </w:p>
        </w:tc>
        <w:tc>
          <w:tcPr>
            <w:tcW w:w="1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76,735,800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80,955,257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Controlled, affiliated investments, at fair value</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(cost—$64,418,155 and $64,167,051, respectively)</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32,968,711</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37,631,708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Total of investments, at fair value</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520"/>
              <w:spacing w:after="0"/>
              <w:rPr>
                <w:sz w:val="20"/>
                <w:szCs w:val="20"/>
                <w:color w:val="auto"/>
              </w:rPr>
            </w:pPr>
            <w:r>
              <w:rPr>
                <w:rFonts w:ascii="Arial" w:cs="Arial" w:eastAsia="Arial" w:hAnsi="Arial"/>
                <w:sz w:val="18"/>
                <w:szCs w:val="18"/>
                <w:color w:val="auto"/>
              </w:rPr>
              <w:t>(cost—$1,091,517,885 and $1,008,611,862, respectively)</w:t>
            </w:r>
          </w:p>
        </w:tc>
        <w:tc>
          <w:tcPr>
            <w:tcW w:w="1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1,078,175,553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990,479,710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(See Note 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58,440,829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Interest receivable</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10,894,893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14,928,862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5,815,817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5,999,506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1,153,327,092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1,018,967,531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Distributions payable</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18,619,812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15,824,061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52,544,704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Unfunded investments</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7,241,667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26,935,270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Credit Facility payable</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(cost—$145,500,000 and $145,000,000, respectively) (See Notes 5 and 11)</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145,500,000</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144,452,500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SBA debentures payable (cost—$150,000,000) (See Notes 5 and 11)</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150,000,000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2025 Notes payable (cost—$71,250,000) (See Notes 5 and 11)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68,400,000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Management fee payable (See Note 3)</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5,419,557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4,791,913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Performance-based incentive fee payable (See Note 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4,274,881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4,206,989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Interest payable on debt</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1,810,466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854,725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2,009,806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2,185,026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455,820,893</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349,250,484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tcPr>
          <w:p>
            <w:pPr>
              <w:spacing w:after="0" w:line="201" w:lineRule="exact"/>
              <w:rPr>
                <w:sz w:val="20"/>
                <w:szCs w:val="20"/>
                <w:color w:val="auto"/>
              </w:rPr>
            </w:pPr>
            <w:r>
              <w:rPr>
                <w:rFonts w:ascii="Arial" w:cs="Arial" w:eastAsia="Arial" w:hAnsi="Arial"/>
                <w:sz w:val="18"/>
                <w:szCs w:val="18"/>
                <w:color w:val="auto"/>
                <w:w w:val="95"/>
              </w:rPr>
              <w:t>Common stock, 66,499,327 and 65,514,503 shares issued and outstanding, respectively. Par value $0.001</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160"/>
              <w:spacing w:after="0"/>
              <w:rPr>
                <w:sz w:val="20"/>
                <w:szCs w:val="20"/>
                <w:color w:val="auto"/>
              </w:rPr>
            </w:pPr>
            <w:r>
              <w:rPr>
                <w:rFonts w:ascii="Arial" w:cs="Arial" w:eastAsia="Arial" w:hAnsi="Arial"/>
                <w:sz w:val="18"/>
                <w:szCs w:val="18"/>
                <w:color w:val="auto"/>
              </w:rPr>
              <w:t>per share and 100,000,000 shares authorized.</w:t>
            </w:r>
          </w:p>
        </w:tc>
        <w:tc>
          <w:tcPr>
            <w:tcW w:w="1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66,499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65,514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756,017,096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744,704,825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(Distributions in excess of) Undistributed net investment income</w:t>
            </w:r>
          </w:p>
        </w:tc>
        <w:tc>
          <w:tcPr>
            <w:tcW w:w="160" w:type="dxa"/>
            <w:vAlign w:val="bottom"/>
          </w:tcPr>
          <w:p>
            <w:pPr>
              <w:spacing w:after="0"/>
              <w:rPr>
                <w:sz w:val="18"/>
                <w:szCs w:val="18"/>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(4,675,217)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2,804,397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(43,409,847)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(60,273,037)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160" w:type="dxa"/>
            <w:vAlign w:val="bottom"/>
          </w:tcPr>
          <w:p>
            <w:pPr>
              <w:spacing w:after="0"/>
              <w:rPr>
                <w:sz w:val="18"/>
                <w:szCs w:val="18"/>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(13,342,332)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(18,132,152)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debt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2,850,000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700"/>
              <w:spacing w:after="0"/>
              <w:rPr>
                <w:sz w:val="20"/>
                <w:szCs w:val="20"/>
                <w:color w:val="auto"/>
              </w:rPr>
            </w:pPr>
            <w:r>
              <w:rPr>
                <w:rFonts w:ascii="Arial" w:cs="Arial" w:eastAsia="Arial" w:hAnsi="Arial"/>
                <w:sz w:val="18"/>
                <w:szCs w:val="18"/>
                <w:b w:val="1"/>
                <w:bCs w:val="1"/>
                <w:color w:val="auto"/>
              </w:rPr>
              <w:t>Total net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697,506,199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669,717,047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1,153,327,092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1,018,967,531</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gridSpan w:val="2"/>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4"/>
              </w:rPr>
              <w:t>Years Ended September 30,</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107,058,958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99,663,198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83,632,455</w:t>
            </w: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10,883,261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8,486,387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4,726,387</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5,841,127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3,542,583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2,217,320</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597,400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From controlled, affiliated investments:</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4,806,329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1,700,222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1,162,333</w:t>
            </w:r>
          </w:p>
        </w:tc>
      </w:tr>
      <w:tr>
        <w:trPr>
          <w:trHeight w:val="230"/>
        </w:trPr>
        <w:tc>
          <w:tcPr>
            <w:tcW w:w="20" w:type="dxa"/>
            <w:vAlign w:val="bottom"/>
          </w:tcPr>
          <w:p>
            <w:pPr>
              <w:spacing w:after="0"/>
              <w:rPr>
                <w:sz w:val="20"/>
                <w:szCs w:val="20"/>
                <w:color w:val="auto"/>
              </w:rPr>
            </w:pPr>
          </w:p>
        </w:tc>
        <w:tc>
          <w:tcPr>
            <w:tcW w:w="7220" w:type="dxa"/>
            <w:vAlign w:val="bottom"/>
          </w:tcPr>
          <w:p>
            <w:pPr>
              <w:ind w:left="520"/>
              <w:spacing w:after="0"/>
              <w:rPr>
                <w:sz w:val="20"/>
                <w:szCs w:val="20"/>
                <w:color w:val="auto"/>
              </w:rPr>
            </w:pPr>
            <w:r>
              <w:rPr>
                <w:rFonts w:ascii="Arial" w:cs="Arial" w:eastAsia="Arial" w:hAnsi="Arial"/>
                <w:sz w:val="18"/>
                <w:szCs w:val="18"/>
                <w:b w:val="1"/>
                <w:bCs w:val="1"/>
                <w:color w:val="auto"/>
              </w:rPr>
              <w:t>Total investment income</w:t>
            </w: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129,187,075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113,392,390</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91,738,495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Base management fee (See Note 3)</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21,288,728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17,507,262</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14,899,983</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Performance-based incentive fee (See Note 3)</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16,793,089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14,223,777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13,161,597</w:t>
            </w: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Interest and expenses on debt (See Note 11)</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15,384,208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11,680,634</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5,322,231</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services expenses (See Note 3)</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3,161,158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3,745,741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2,596,756</w:t>
            </w:r>
          </w:p>
        </w:tc>
      </w:tr>
      <w:tr>
        <w:trPr>
          <w:trHeight w:val="223"/>
        </w:trPr>
        <w:tc>
          <w:tcPr>
            <w:tcW w:w="20" w:type="dxa"/>
            <w:vAlign w:val="bottom"/>
          </w:tcPr>
          <w:p>
            <w:pPr>
              <w:spacing w:after="0"/>
              <w:rPr>
                <w:sz w:val="19"/>
                <w:szCs w:val="19"/>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2,857,739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3,496,326</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2,884,029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Expenses before taxes and debt issuance costs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59,484,922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50,653,740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38,864,596</w:t>
            </w: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Tax expense</w:t>
            </w:r>
          </w:p>
        </w:tc>
        <w:tc>
          <w:tcPr>
            <w:tcW w:w="8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(53,468)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307,990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228,824</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issuance costs (See Note 5)</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2,757,500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5,361,319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220" w:type="dxa"/>
            <w:vAlign w:val="bottom"/>
          </w:tcPr>
          <w:p>
            <w:pPr>
              <w:ind w:left="340"/>
              <w:spacing w:after="0"/>
              <w:rPr>
                <w:sz w:val="20"/>
                <w:szCs w:val="20"/>
                <w:color w:val="auto"/>
              </w:rPr>
            </w:pPr>
            <w:r>
              <w:rPr>
                <w:rFonts w:ascii="Arial" w:cs="Arial" w:eastAsia="Arial" w:hAnsi="Arial"/>
                <w:sz w:val="18"/>
                <w:szCs w:val="18"/>
                <w:b w:val="1"/>
                <w:bCs w:val="1"/>
                <w:color w:val="auto"/>
              </w:rPr>
              <w:t>Total expenses</w:t>
            </w: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62,188,954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56,323,049</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39,093,420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investment income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66,998,121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57,069,341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52,645,075</w:t>
            </w: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 and debt:</w:t>
            </w: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17,687,211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(12,798,035)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16,259,622</w:t>
            </w: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17,932,839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42,727,722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(45,350,345)</w:t>
            </w: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Non-controlled and controlled, affiliated investments</w:t>
            </w:r>
          </w:p>
        </w:tc>
        <w:tc>
          <w:tcPr>
            <w:tcW w:w="8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(13,143,019)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(22,085,553)</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9"/>
              </w:rPr>
              <w:t>(1,439,878)</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depreciation (appreciation) (See Notes 5 and 11)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2,302,500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(1,560,375)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(11,851,000)</w:t>
            </w:r>
          </w:p>
        </w:tc>
      </w:tr>
      <w:tr>
        <w:trPr>
          <w:trHeight w:val="230"/>
        </w:trPr>
        <w:tc>
          <w:tcPr>
            <w:tcW w:w="20" w:type="dxa"/>
            <w:vAlign w:val="bottom"/>
          </w:tcPr>
          <w:p>
            <w:pPr>
              <w:spacing w:after="0"/>
              <w:rPr>
                <w:sz w:val="20"/>
                <w:szCs w:val="20"/>
                <w:color w:val="auto"/>
              </w:rPr>
            </w:pPr>
          </w:p>
        </w:tc>
        <w:tc>
          <w:tcPr>
            <w:tcW w:w="7220" w:type="dxa"/>
            <w:vAlign w:val="bottom"/>
          </w:tcPr>
          <w:p>
            <w:pPr>
              <w:ind w:left="340"/>
              <w:spacing w:after="0"/>
              <w:rPr>
                <w:sz w:val="20"/>
                <w:szCs w:val="20"/>
                <w:color w:val="auto"/>
              </w:rPr>
            </w:pPr>
            <w:r>
              <w:rPr>
                <w:rFonts w:ascii="Arial" w:cs="Arial" w:eastAsia="Arial" w:hAnsi="Arial"/>
                <w:sz w:val="18"/>
                <w:szCs w:val="18"/>
                <w:b w:val="1"/>
                <w:bCs w:val="1"/>
                <w:color w:val="auto"/>
              </w:rPr>
              <w:t>Net change in unrealized appreciation (depreciation)</w:t>
            </w: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7,092,320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19,081,794</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(58,641,223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gain (loss) from investments and debt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24,779,531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6,283,759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(42,381,601)</w:t>
            </w: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91,777,652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63,353,100</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10,263,474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Net increase in net assets resulting from operations per common share basic and diluted (See</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0.24</w:t>
            </w: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Net investment income per common share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2"/>
              </w:rPr>
              <w:t>Years Ended September 30,</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Net investment income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66,998,121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57,069,341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52,645,075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realized gain (loss) on investments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17,687,211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(12,798,035)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16,259,622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4,789,820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20,642,169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(46,790,223)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change in debt depreciation (appreciation)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2,302,500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(1,560,375)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(11,851,000)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70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91,777,652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63,353,100</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10,263,474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Distributions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4"/>
              </w:rPr>
              <w:t>(74,398,129)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(60,137,978)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(46,347,691)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Public offerings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7,574,000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206,572,500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114,080,000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Offerings costs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(265,090)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(7,717,300)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(5,743,800)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Reinvestment of distributions</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3,100,719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4,989,529</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3,829,990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increase in net assets resulting from capital transactions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10,409,629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203,844,729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112,166,190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27,789,152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207,059,851</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76,081,973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Beginning of year</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669,717,047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462,657,196</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386,575,223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End of year</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697,506,199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669,717,047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462,657,196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vMerge w:val="restart"/>
          </w:tcPr>
          <w:p>
            <w:pPr>
              <w:ind w:left="340"/>
              <w:spacing w:after="0"/>
              <w:rPr>
                <w:sz w:val="20"/>
                <w:szCs w:val="20"/>
                <w:color w:val="auto"/>
              </w:rPr>
            </w:pPr>
            <w:r>
              <w:rPr>
                <w:rFonts w:ascii="Arial" w:cs="Arial" w:eastAsia="Arial" w:hAnsi="Arial"/>
                <w:sz w:val="18"/>
                <w:szCs w:val="18"/>
                <w:color w:val="auto"/>
              </w:rPr>
              <w:t>(Distributions in excess of) Undistributed net investment income, at year end</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(4,675,217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2,804,397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8,326,854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Shares issued from public offerings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700,000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19,350,000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Shares issued from reinvestment of distributions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284,824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474,722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6"/>
              </w:rPr>
              <w:t>Years Ended September 30,</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4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Cash flows from operating activities: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40"/>
              <w:spacing w:after="0"/>
              <w:rPr>
                <w:sz w:val="20"/>
                <w:szCs w:val="20"/>
                <w:color w:val="auto"/>
              </w:rPr>
            </w:pPr>
            <w:r>
              <w:rPr>
                <w:rFonts w:ascii="Arial" w:cs="Arial" w:eastAsia="Arial" w:hAnsi="Arial"/>
                <w:sz w:val="17"/>
                <w:szCs w:val="17"/>
                <w:color w:val="auto"/>
              </w:rPr>
              <w:t>Net increase in net assets resulting from operations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91,777,652</w:t>
            </w:r>
          </w:p>
        </w:tc>
        <w:tc>
          <w:tcPr>
            <w:tcW w:w="1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63,353,100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rPr>
              <w:t>10,263,474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740" w:type="dxa"/>
            <w:vAlign w:val="bottom"/>
            <w:shd w:val="clear" w:color="auto" w:fill="CCEEFF"/>
          </w:tcPr>
          <w:p>
            <w:pPr>
              <w:ind w:left="340"/>
              <w:spacing w:after="0" w:line="185" w:lineRule="exact"/>
              <w:rPr>
                <w:sz w:val="20"/>
                <w:szCs w:val="20"/>
                <w:color w:val="auto"/>
              </w:rPr>
            </w:pPr>
            <w:r>
              <w:rPr>
                <w:rFonts w:ascii="Arial" w:cs="Arial" w:eastAsia="Arial" w:hAnsi="Arial"/>
                <w:sz w:val="17"/>
                <w:szCs w:val="17"/>
                <w:color w:val="auto"/>
              </w:rPr>
              <w:t>Adjustments to reconcile net increase in net assets resulting from operations to net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cash provided by (used for) operating activities: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Net change in net unrealized appreciation (depreciation) on investments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7"/>
                <w:szCs w:val="17"/>
                <w:color w:val="auto"/>
              </w:rPr>
              <w:t>(4,789,820)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(20,642,169)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rPr>
              <w:t>46,790,223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Net change in debt depreciation (appreciation)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(2,302,500)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1,560,375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11,851,000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Net realized loss on investments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7"/>
                <w:szCs w:val="17"/>
                <w:color w:val="auto"/>
              </w:rPr>
              <w:t>(17,687,211)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12,798,035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3"/>
              <w:spacing w:after="0"/>
              <w:rPr>
                <w:sz w:val="20"/>
                <w:szCs w:val="20"/>
                <w:color w:val="auto"/>
              </w:rPr>
            </w:pPr>
            <w:r>
              <w:rPr>
                <w:rFonts w:ascii="Arial" w:cs="Arial" w:eastAsia="Arial" w:hAnsi="Arial"/>
                <w:sz w:val="17"/>
                <w:szCs w:val="17"/>
                <w:color w:val="auto"/>
                <w:w w:val="97"/>
              </w:rPr>
              <w:t>(16,259,622)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Net accretion of discount and amortization of premium</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(5,856,654)</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(10,357,608)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(6,745,834)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Purchase of investments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7"/>
                <w:szCs w:val="17"/>
                <w:color w:val="auto"/>
              </w:rPr>
              <w:t>(504,373,719)</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(328,275,329)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3"/>
              <w:spacing w:after="0"/>
              <w:rPr>
                <w:sz w:val="20"/>
                <w:szCs w:val="20"/>
                <w:color w:val="auto"/>
              </w:rPr>
            </w:pPr>
            <w:r>
              <w:rPr>
                <w:rFonts w:ascii="Arial" w:cs="Arial" w:eastAsia="Arial" w:hAnsi="Arial"/>
                <w:sz w:val="17"/>
                <w:szCs w:val="17"/>
                <w:color w:val="auto"/>
                <w:w w:val="88"/>
              </w:rPr>
              <w:t>(479,733,669)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Payment-in-kind interest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(11,814,084)</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(9,065,502)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w w:val="97"/>
              </w:rPr>
              <w:t>(10,883,750)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Proceeds from disposition of investments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437,147,602</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201,656,926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w w:val="95"/>
              </w:rPr>
              <w:t>304,008,543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Decrease (Increase) in interest receivable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4,033,969</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(4,050,626)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1,935,860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Decrease in receivables for investments sold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12,240,763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rPr>
              <w:t>17,135,807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Increase (Decrease) in payables for investments purchased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52,544,704</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(18,572,499)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w w:val="97"/>
              </w:rPr>
              <w:t>(34,212,501)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(Decrease) Increase in unfunded investments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(19,242,446)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rPr>
              <w:t>14,928,717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Increase in interest payable on debt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955,741</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167,363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472,227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Decrease (Increase) in prepaid expenses and other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168,130</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466,675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rPr>
              <w:t>749,017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Increase in management fees payable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627,644</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783,859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721,238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Increase in performance-based incentive fees payable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67,892</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433,160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rPr>
              <w:t>1,534,818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(Decrease) Increase in accrued other expenses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(175,220)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1,406,285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(368,064)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tcPr>
          <w:p>
            <w:pPr>
              <w:ind w:left="1060"/>
              <w:spacing w:after="0"/>
              <w:rPr>
                <w:sz w:val="20"/>
                <w:szCs w:val="20"/>
                <w:color w:val="auto"/>
              </w:rPr>
            </w:pPr>
            <w:r>
              <w:rPr>
                <w:rFonts w:ascii="Arial" w:cs="Arial" w:eastAsia="Arial" w:hAnsi="Arial"/>
                <w:sz w:val="17"/>
                <w:szCs w:val="17"/>
                <w:color w:val="auto"/>
              </w:rPr>
              <w:t>Net cash provided by (used for) operating activities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40,324,126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(115,339,638)</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(137,812,516</w:t>
            </w:r>
          </w:p>
        </w:tc>
        <w:tc>
          <w:tcPr>
            <w:tcW w:w="100" w:type="dxa"/>
            <w:vAlign w:val="bottom"/>
          </w:tcPr>
          <w:p>
            <w:pPr>
              <w:jc w:val="right"/>
              <w:ind w:right="23"/>
              <w:spacing w:after="0"/>
              <w:rPr>
                <w:sz w:val="20"/>
                <w:szCs w:val="20"/>
                <w:color w:val="auto"/>
              </w:rPr>
            </w:pPr>
            <w:r>
              <w:rPr>
                <w:rFonts w:ascii="Arial" w:cs="Arial" w:eastAsia="Arial" w:hAnsi="Arial"/>
                <w:sz w:val="7"/>
                <w:szCs w:val="7"/>
                <w:color w:val="auto"/>
                <w:w w:val="83"/>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Public offerings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7,574,000</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206,572,500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w w:val="95"/>
              </w:rPr>
              <w:t>114,080,000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Offerings costs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(265,090)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(7,717,300)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(5,743,800)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Distributions paid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7"/>
                <w:szCs w:val="17"/>
                <w:color w:val="auto"/>
              </w:rPr>
              <w:t>(68,501,660)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(51,660,628)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3"/>
              <w:spacing w:after="0"/>
              <w:rPr>
                <w:sz w:val="20"/>
                <w:szCs w:val="20"/>
                <w:color w:val="auto"/>
              </w:rPr>
            </w:pPr>
            <w:r>
              <w:rPr>
                <w:rFonts w:ascii="Arial" w:cs="Arial" w:eastAsia="Arial" w:hAnsi="Arial"/>
                <w:sz w:val="17"/>
                <w:szCs w:val="17"/>
                <w:color w:val="auto"/>
                <w:w w:val="97"/>
              </w:rPr>
              <w:t>(39,582,741)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Borrowings under SBA debentures (See Note 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w w:val="95"/>
              </w:rPr>
              <w:t>135,500,000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Borrowings under 2025 Notes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71,250,000</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Capitalized borrowing costs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(4,450,875)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Borrowings under Credit Facility (See Note 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w w:val="93"/>
              </w:rPr>
              <w:t>1,099,800,000</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927,900,000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w w:val="95"/>
              </w:rPr>
              <w:t>701,900,000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Repayments under Credit Facility (See Note 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w w:val="89"/>
              </w:rPr>
              <w:t>(1,099,300,000)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9"/>
              </w:rPr>
              <w:t>(1,023,800,000)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w w:val="88"/>
              </w:rPr>
              <w:t>(694,100,000)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tcPr>
          <w:p>
            <w:pPr>
              <w:ind w:left="1060"/>
              <w:spacing w:after="0"/>
              <w:rPr>
                <w:sz w:val="20"/>
                <w:szCs w:val="20"/>
                <w:color w:val="auto"/>
              </w:rPr>
            </w:pPr>
            <w:r>
              <w:rPr>
                <w:rFonts w:ascii="Arial" w:cs="Arial" w:eastAsia="Arial" w:hAnsi="Arial"/>
                <w:sz w:val="16"/>
                <w:szCs w:val="16"/>
                <w:color w:val="auto"/>
              </w:rPr>
              <w:t>Net cash provided by financing activities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10,557,250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51,294,572</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207,602,584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50,881,376</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(64,045,066)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69,790,068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7"/>
                <w:szCs w:val="17"/>
                <w:b w:val="1"/>
                <w:bCs w:val="1"/>
                <w:color w:val="auto"/>
              </w:rPr>
              <w:t>Cash and cash equivalents, beginning of year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7,559,453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71,604,519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rPr>
              <w:t>1,814,451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end of year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58,440,829</w:t>
            </w: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7,559,453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71,604,519</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7"/>
                <w:szCs w:val="17"/>
                <w:b w:val="1"/>
                <w:bCs w:val="1"/>
                <w:color w:val="auto"/>
                <w:w w:val="97"/>
              </w:rPr>
              <w:t>Supplemental disclosure of cash flow information and non-cash activity (See Note 5):</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7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Interest paid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12,765,891</w:t>
            </w: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10,643,840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4,149,149</w:t>
            </w:r>
          </w:p>
        </w:tc>
        <w:tc>
          <w:tcPr>
            <w:tcW w:w="0" w:type="dxa"/>
            <w:vAlign w:val="bottom"/>
          </w:tcPr>
          <w:p>
            <w:pPr>
              <w:spacing w:after="0"/>
              <w:rPr>
                <w:sz w:val="1"/>
                <w:szCs w:val="1"/>
                <w:color w:val="auto"/>
              </w:rPr>
            </w:pPr>
          </w:p>
        </w:tc>
      </w:tr>
      <w:tr>
        <w:trPr>
          <w:trHeight w:val="217"/>
        </w:trPr>
        <w:tc>
          <w:tcPr>
            <w:tcW w:w="6760" w:type="dxa"/>
            <w:vAlign w:val="bottom"/>
            <w:gridSpan w:val="2"/>
          </w:tcPr>
          <w:p>
            <w:pPr>
              <w:spacing w:after="0"/>
              <w:rPr>
                <w:sz w:val="20"/>
                <w:szCs w:val="20"/>
                <w:color w:val="auto"/>
              </w:rPr>
            </w:pPr>
            <w:r>
              <w:rPr>
                <w:rFonts w:ascii="Arial" w:cs="Arial" w:eastAsia="Arial" w:hAnsi="Arial"/>
                <w:sz w:val="17"/>
                <w:szCs w:val="17"/>
                <w:color w:val="auto"/>
              </w:rPr>
              <w:t>Taxes paid</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94,210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258,550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123,824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Dividend reinvested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3,100,719</w:t>
            </w: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4,989,529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3,829,990</w:t>
            </w:r>
          </w:p>
        </w:tc>
        <w:tc>
          <w:tcPr>
            <w:tcW w:w="0" w:type="dxa"/>
            <w:vAlign w:val="bottom"/>
          </w:tcPr>
          <w:p>
            <w:pPr>
              <w:spacing w:after="0"/>
              <w:rPr>
                <w:sz w:val="1"/>
                <w:szCs w:val="1"/>
                <w:color w:val="auto"/>
              </w:rPr>
            </w:pPr>
          </w:p>
        </w:tc>
      </w:tr>
      <w:tr>
        <w:trPr>
          <w:trHeight w:val="210"/>
        </w:trPr>
        <w:tc>
          <w:tcPr>
            <w:tcW w:w="6760" w:type="dxa"/>
            <w:vAlign w:val="bottom"/>
            <w:gridSpan w:val="2"/>
          </w:tcPr>
          <w:p>
            <w:pPr>
              <w:spacing w:after="0"/>
              <w:rPr>
                <w:sz w:val="20"/>
                <w:szCs w:val="20"/>
                <w:color w:val="auto"/>
              </w:rPr>
            </w:pPr>
            <w:r>
              <w:rPr>
                <w:rFonts w:ascii="Arial" w:cs="Arial" w:eastAsia="Arial" w:hAnsi="Arial"/>
                <w:sz w:val="17"/>
                <w:szCs w:val="17"/>
                <w:color w:val="auto"/>
              </w:rPr>
              <w:t>Conversions and non-cash exchanges</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58,478,391</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43,596,371</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12,537,081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Basis Point</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Current</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Spread</w:t>
            </w: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Maturity</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Industry</w:t>
            </w:r>
          </w:p>
        </w:tc>
        <w:tc>
          <w:tcPr>
            <w:tcW w:w="980" w:type="dxa"/>
            <w:vAlign w:val="bottom"/>
            <w:gridSpan w:val="2"/>
            <w:vMerge w:val="continue"/>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Above</w:t>
            </w: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410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Coupon</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w:t>
            </w:r>
          </w:p>
        </w:tc>
        <w:tc>
          <w:tcPr>
            <w:tcW w:w="556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 xml:space="preserve">in Non-Controlled, Non-Affiliated Portfolio Companies—138.9% </w:t>
            </w:r>
            <w:r>
              <w:rPr>
                <w:rFonts w:ascii="Arial" w:cs="Arial" w:eastAsia="Arial" w:hAnsi="Arial"/>
                <w:sz w:val="12"/>
                <w:szCs w:val="12"/>
                <w:b w:val="1"/>
                <w:bCs w:val="1"/>
                <w:color w:val="auto"/>
              </w:rPr>
              <w:t>(1),(2)</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Debt—41.3%</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Aircell Business Aviation Services LLC</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06/21/2017</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5"/>
              </w:rPr>
              <w:t>Communications</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11.25%</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L+975</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23,912,894</w:t>
            </w:r>
          </w:p>
        </w:tc>
        <w:tc>
          <w:tcPr>
            <w:tcW w:w="12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   23,012,057</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25,347,668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AKA Diversified Holdings, Inc.</w:t>
            </w:r>
          </w:p>
        </w:tc>
        <w:tc>
          <w:tcPr>
            <w:tcW w:w="8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12/21/2016</w:t>
            </w:r>
          </w:p>
        </w:tc>
        <w:tc>
          <w:tcPr>
            <w:tcW w:w="14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rPr>
              <w:t>Retail</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12.50%</w:t>
            </w:r>
          </w:p>
        </w:tc>
        <w:tc>
          <w:tcPr>
            <w:tcW w:w="9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L+1,225</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4"/>
              </w:rPr>
              <w:t>14,550,084</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14,310,552</w:t>
            </w:r>
          </w:p>
        </w:tc>
        <w:tc>
          <w:tcPr>
            <w:tcW w:w="18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14,694,828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(PIK 1.50%)</w:t>
            </w: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CEVA Group PLC </w:t>
            </w:r>
            <w:r>
              <w:rPr>
                <w:rFonts w:ascii="Arial" w:cs="Arial" w:eastAsia="Arial" w:hAnsi="Arial"/>
                <w:sz w:val="12"/>
                <w:szCs w:val="12"/>
                <w:color w:val="auto"/>
              </w:rPr>
              <w:t>(5), (10)</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10/01/2016</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0"/>
              </w:rPr>
              <w:t>Cargo Transport</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11.63%</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7,500,000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7,385,251</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7,725,000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Columbus International, Inc. </w:t>
            </w:r>
            <w:r>
              <w:rPr>
                <w:rFonts w:ascii="Arial" w:cs="Arial" w:eastAsia="Arial" w:hAnsi="Arial"/>
                <w:sz w:val="12"/>
                <w:szCs w:val="12"/>
                <w:color w:val="auto"/>
              </w:rPr>
              <w:t>(5), (10)</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11/20/2014</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Communications</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11.50%</w:t>
            </w: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10,000,000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Cydcor LLC</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06/12/2017</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0"/>
              </w:rPr>
              <w:t>Business Services</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9.75%</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L+725</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7,342,967</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7,342,967</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7,342,967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Good Sam Enterprises, LLC </w:t>
            </w:r>
            <w:r>
              <w:rPr>
                <w:rFonts w:ascii="Arial" w:cs="Arial" w:eastAsia="Arial" w:hAnsi="Arial"/>
                <w:sz w:val="12"/>
                <w:szCs w:val="12"/>
                <w:color w:val="auto"/>
              </w:rPr>
              <w:t>(5)</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12/01/2016</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Consumer Products</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11.50%</w:t>
            </w: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12,000,000</w:t>
            </w:r>
          </w:p>
        </w:tc>
        <w:tc>
          <w:tcPr>
            <w:tcW w:w="12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11,835,907</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12,900,000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IDQ Holdings, Inc. </w:t>
            </w:r>
            <w:r>
              <w:rPr>
                <w:rFonts w:ascii="Arial" w:cs="Arial" w:eastAsia="Arial" w:hAnsi="Arial"/>
                <w:sz w:val="12"/>
                <w:szCs w:val="12"/>
                <w:color w:val="auto"/>
              </w:rPr>
              <w:t>(5)</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03/30/2017</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2"/>
              </w:rPr>
              <w:t>Auto Sector</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11.50%</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11,500,000</w:t>
            </w:r>
          </w:p>
        </w:tc>
        <w:tc>
          <w:tcPr>
            <w:tcW w:w="12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11,326,110</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12,391,250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InfuSystem Holdings, Inc.</w:t>
            </w:r>
          </w:p>
        </w:tc>
        <w:tc>
          <w:tcPr>
            <w:tcW w:w="88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11/30/2016</w:t>
            </w:r>
          </w:p>
        </w:tc>
        <w:tc>
          <w:tcPr>
            <w:tcW w:w="14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2"/>
              </w:rPr>
              <w:t>Healthcare, Education</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11.95%</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P+625</w:t>
            </w:r>
            <w:r>
              <w:rPr>
                <w:rFonts w:ascii="Arial" w:cs="Arial" w:eastAsia="Arial" w:hAnsi="Arial"/>
                <w:sz w:val="12"/>
                <w:szCs w:val="12"/>
                <w:color w:val="auto"/>
              </w:rPr>
              <w:t>(8)</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4"/>
              </w:rPr>
              <w:t>11,600,000</w:t>
            </w:r>
          </w:p>
        </w:tc>
        <w:tc>
          <w:tcPr>
            <w:tcW w:w="122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11,600,000</w:t>
            </w: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11,708,430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and Childcare</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08/07/2014</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4"/>
              </w:rPr>
              <w:t>Printing and Publishing</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14.50%</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L+950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23,934,268</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23,788,980</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22,976,897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Instant Web, Inc.</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08/07/2014</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Printing and Publishing</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3.55%</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L+338</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18,199,679</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13,917,288</w:t>
            </w: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14,559,743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Interactive Health Solutions, Inc.</w:t>
            </w:r>
          </w:p>
        </w:tc>
        <w:tc>
          <w:tcPr>
            <w:tcW w:w="8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10/04/2016</w:t>
            </w:r>
          </w:p>
        </w:tc>
        <w:tc>
          <w:tcPr>
            <w:tcW w:w="14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Healthcare, Education</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11.50%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L+950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94"/>
              </w:rPr>
              <w:t>18,050,000</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17,770,705</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18,050,000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and Childcare</w:t>
            </w: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Jackson Hewitt Tax Service Inc.</w:t>
            </w:r>
          </w:p>
        </w:tc>
        <w:tc>
          <w:tcPr>
            <w:tcW w:w="8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10/16/2017</w:t>
            </w:r>
          </w:p>
        </w:tc>
        <w:tc>
          <w:tcPr>
            <w:tcW w:w="14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1"/>
              </w:rPr>
              <w:t>Personal, Food and</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10.00%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L+850</w:t>
            </w:r>
            <w:r>
              <w:rPr>
                <w:rFonts w:ascii="Arial" w:cs="Arial" w:eastAsia="Arial" w:hAnsi="Arial"/>
                <w:sz w:val="12"/>
                <w:szCs w:val="12"/>
                <w:color w:val="auto"/>
              </w:rPr>
              <w:t>(8)</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8,355,469</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8,349,704</w:t>
            </w:r>
          </w:p>
        </w:tc>
        <w:tc>
          <w:tcPr>
            <w:tcW w:w="18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8,230,137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Miscellaneous Services</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K2 Pure Solutions NoCal, L.P.</w:t>
            </w:r>
          </w:p>
        </w:tc>
        <w:tc>
          <w:tcPr>
            <w:tcW w:w="8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08/19/2019</w:t>
            </w:r>
          </w:p>
        </w:tc>
        <w:tc>
          <w:tcPr>
            <w:tcW w:w="14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Chemicals, Plastics</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10.00%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L+900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94"/>
              </w:rPr>
              <w:t>22,342,352</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21,899,258</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22,007,217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and Rubber</w:t>
            </w: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Penton Media, Inc.</w:t>
            </w:r>
          </w:p>
        </w:tc>
        <w:tc>
          <w:tcPr>
            <w:tcW w:w="8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08/01/2014</w:t>
            </w:r>
          </w:p>
        </w:tc>
        <w:tc>
          <w:tcPr>
            <w:tcW w:w="14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3"/>
              </w:rPr>
              <w:t>Other Media</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6.00%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L+500</w:t>
            </w:r>
            <w:r>
              <w:rPr>
                <w:rFonts w:ascii="Arial" w:cs="Arial" w:eastAsia="Arial" w:hAnsi="Arial"/>
                <w:sz w:val="12"/>
                <w:szCs w:val="12"/>
                <w:color w:val="auto"/>
              </w:rPr>
              <w:t>(8)</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4"/>
              </w:rPr>
              <w:t>37,950,152</w:t>
            </w:r>
          </w:p>
        </w:tc>
        <w:tc>
          <w:tcPr>
            <w:tcW w:w="122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36,110,124</w:t>
            </w: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37,523,212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(PIK 2.00%)</w:t>
            </w: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Prince Mineral Holding Corp. </w:t>
            </w:r>
            <w:r>
              <w:rPr>
                <w:rFonts w:ascii="Arial" w:cs="Arial" w:eastAsia="Arial" w:hAnsi="Arial"/>
                <w:sz w:val="12"/>
                <w:szCs w:val="12"/>
                <w:color w:val="auto"/>
              </w:rPr>
              <w:t>(5)</w:t>
            </w:r>
          </w:p>
        </w:tc>
        <w:tc>
          <w:tcPr>
            <w:tcW w:w="2340" w:type="dxa"/>
            <w:vAlign w:val="bottom"/>
            <w:gridSpan w:val="4"/>
            <w:shd w:val="clear" w:color="auto" w:fill="CCEEFF"/>
          </w:tcPr>
          <w:p>
            <w:pPr>
              <w:ind w:left="40"/>
              <w:spacing w:after="0" w:line="130" w:lineRule="exact"/>
              <w:rPr>
                <w:sz w:val="20"/>
                <w:szCs w:val="20"/>
                <w:color w:val="auto"/>
              </w:rPr>
            </w:pPr>
            <w:r>
              <w:rPr>
                <w:rFonts w:ascii="Arial" w:cs="Arial" w:eastAsia="Arial" w:hAnsi="Arial"/>
                <w:sz w:val="14"/>
                <w:szCs w:val="14"/>
                <w:color w:val="auto"/>
              </w:rPr>
              <w:t>12/16/2019   Mining, Steel, Iron and</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11.50%</w:t>
            </w:r>
          </w:p>
        </w:tc>
        <w:tc>
          <w:tcPr>
            <w:tcW w:w="9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94"/>
              </w:rPr>
              <w:t>14,250,000</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14,096,169</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15,176,250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Non-Precious Metals</w:t>
            </w: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04/30/2018</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Business Services</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12.00%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L+1,050</w:t>
            </w:r>
            <w:r>
              <w:rPr>
                <w:rFonts w:ascii="Arial" w:cs="Arial" w:eastAsia="Arial" w:hAnsi="Arial"/>
                <w:sz w:val="12"/>
                <w:szCs w:val="12"/>
                <w:color w:val="auto"/>
              </w:rPr>
              <w:t>(8)</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34,270,800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33,766,321</w:t>
            </w: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34,270,800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Worley Claims Services LLC</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07/06/2017</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Insurance</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12.50%</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L+1,100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12,451,096</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12,451,096</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12,388,840</w:t>
            </w:r>
          </w:p>
        </w:tc>
        <w:tc>
          <w:tcPr>
            <w:tcW w:w="0" w:type="dxa"/>
            <w:vAlign w:val="bottom"/>
          </w:tcPr>
          <w:p>
            <w:pPr>
              <w:spacing w:after="0"/>
              <w:rPr>
                <w:sz w:val="1"/>
                <w:szCs w:val="1"/>
                <w:color w:val="auto"/>
              </w:rPr>
            </w:pPr>
          </w:p>
        </w:tc>
      </w:tr>
      <w:tr>
        <w:trPr>
          <w:trHeight w:val="163"/>
        </w:trPr>
        <w:tc>
          <w:tcPr>
            <w:tcW w:w="4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278,962,489</w:t>
            </w:r>
          </w:p>
        </w:tc>
        <w:tc>
          <w:tcPr>
            <w:tcW w:w="18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288,043,239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Debt—48.9%</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 xml:space="preserve">American Gilsonite Company </w:t>
            </w:r>
            <w:r>
              <w:rPr>
                <w:rFonts w:ascii="Arial" w:cs="Arial" w:eastAsia="Arial" w:hAnsi="Arial"/>
                <w:sz w:val="12"/>
                <w:szCs w:val="12"/>
                <w:color w:val="auto"/>
              </w:rPr>
              <w:t>(5)</w:t>
            </w:r>
          </w:p>
        </w:tc>
        <w:tc>
          <w:tcPr>
            <w:tcW w:w="8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09/01/2017</w:t>
            </w:r>
          </w:p>
        </w:tc>
        <w:tc>
          <w:tcPr>
            <w:tcW w:w="14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7"/>
              </w:rPr>
              <w:t>Diversified Natural</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11.50%</w:t>
            </w:r>
          </w:p>
        </w:tc>
        <w:tc>
          <w:tcPr>
            <w:tcW w:w="9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4"/>
              </w:rPr>
              <w:t>25,400,000</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25,400,000</w:t>
            </w:r>
          </w:p>
        </w:tc>
        <w:tc>
          <w:tcPr>
            <w:tcW w:w="18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25,971,500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Resources, Precious</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Metals and Minerals</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Arsloane Acquisition, LLC</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10/01/2020</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0"/>
              </w:rPr>
              <w:t>Business Services</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11.75%</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L+1,050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18,750,000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18,375,000</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18,687,563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10/23/2019</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8"/>
              </w:rPr>
              <w:t>Energy / Utilities</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11.00%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L+975</w:t>
            </w:r>
            <w:r>
              <w:rPr>
                <w:rFonts w:ascii="Arial" w:cs="Arial" w:eastAsia="Arial" w:hAnsi="Arial"/>
                <w:sz w:val="12"/>
                <w:szCs w:val="12"/>
                <w:color w:val="auto"/>
              </w:rPr>
              <w:t>(8)</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42,278,570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41,471,524</w:t>
            </w: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43,159,233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Carolina Beverage Group, LLC</w:t>
            </w:r>
          </w:p>
        </w:tc>
        <w:tc>
          <w:tcPr>
            <w:tcW w:w="8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08/01/2018</w:t>
            </w:r>
          </w:p>
        </w:tc>
        <w:tc>
          <w:tcPr>
            <w:tcW w:w="14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1"/>
              </w:rPr>
              <w:t>Beverage, Food and</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10.63%</w:t>
            </w:r>
          </w:p>
        </w:tc>
        <w:tc>
          <w:tcPr>
            <w:tcW w:w="9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94"/>
              </w:rPr>
              <w:t>13,125,000</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13,125,000</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13,420,313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9"/>
              </w:rPr>
              <w:t>Tobacco</w:t>
            </w: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Envision Acquisition Company, LLC</w:t>
            </w:r>
          </w:p>
        </w:tc>
        <w:tc>
          <w:tcPr>
            <w:tcW w:w="88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11/04/2021</w:t>
            </w:r>
          </w:p>
        </w:tc>
        <w:tc>
          <w:tcPr>
            <w:tcW w:w="14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2"/>
              </w:rPr>
              <w:t>Healthcare, Education</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9.75%</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L+875</w:t>
            </w:r>
            <w:r>
              <w:rPr>
                <w:rFonts w:ascii="Arial" w:cs="Arial" w:eastAsia="Arial" w:hAnsi="Arial"/>
                <w:sz w:val="12"/>
                <w:szCs w:val="12"/>
                <w:color w:val="auto"/>
              </w:rPr>
              <w:t>(8)</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4"/>
              </w:rPr>
              <w:t>19,000,000</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18,620,000</w:t>
            </w:r>
          </w:p>
        </w:tc>
        <w:tc>
          <w:tcPr>
            <w:tcW w:w="18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18,905,000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and Childcare</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Eureka Hunter Pipeline, LLC</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08/16/2018</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8"/>
              </w:rPr>
              <w:t>Energy / Utilities</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12.50%</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45,000,000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44,599,796</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46,575,000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ILC Industries, LLC</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06/14/2019</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Electronics</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11.50%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L+1,000</w:t>
            </w:r>
            <w:r>
              <w:rPr>
                <w:rFonts w:ascii="Arial" w:cs="Arial" w:eastAsia="Arial" w:hAnsi="Arial"/>
                <w:sz w:val="12"/>
                <w:szCs w:val="12"/>
                <w:color w:val="auto"/>
              </w:rPr>
              <w:t>(8)</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7,500,000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7,200,000</w:t>
            </w: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6,900,000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Intermediate Transportation 100, L.L.C.</w:t>
            </w:r>
          </w:p>
        </w:tc>
        <w:tc>
          <w:tcPr>
            <w:tcW w:w="8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03/01/2017</w:t>
            </w:r>
          </w:p>
        </w:tc>
        <w:tc>
          <w:tcPr>
            <w:tcW w:w="14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0"/>
              </w:rPr>
              <w:t>Cargo Transport</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11.00%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L+700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3,544,833</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3,544,836</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3,544,833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8"/>
              </w:rPr>
              <w:t>(PIK 11.00%)</w:t>
            </w: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Jacobs Entertainment, Inc.</w:t>
            </w:r>
          </w:p>
        </w:tc>
        <w:tc>
          <w:tcPr>
            <w:tcW w:w="8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10/29/2019</w:t>
            </w:r>
          </w:p>
        </w:tc>
        <w:tc>
          <w:tcPr>
            <w:tcW w:w="14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4"/>
              </w:rPr>
              <w:t>Hotels, Motels, Inns</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13.00%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L+1,175</w:t>
            </w:r>
            <w:r>
              <w:rPr>
                <w:rFonts w:ascii="Arial" w:cs="Arial" w:eastAsia="Arial" w:hAnsi="Arial"/>
                <w:sz w:val="12"/>
                <w:szCs w:val="12"/>
                <w:color w:val="auto"/>
              </w:rPr>
              <w:t>(8)</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4"/>
              </w:rPr>
              <w:t>38,950,000</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38,287,499</w:t>
            </w:r>
          </w:p>
        </w:tc>
        <w:tc>
          <w:tcPr>
            <w:tcW w:w="18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39,096,063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and Gaming</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Language Line, LLC</w:t>
            </w:r>
          </w:p>
        </w:tc>
        <w:tc>
          <w:tcPr>
            <w:tcW w:w="8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12/20/2016</w:t>
            </w:r>
          </w:p>
        </w:tc>
        <w:tc>
          <w:tcPr>
            <w:tcW w:w="14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1"/>
              </w:rPr>
              <w:t>Personal, Food and</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10.50%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L+875</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94"/>
              </w:rPr>
              <w:t>33,750,000</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33,265,829</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33,187,388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Miscellaneous Services</w:t>
            </w: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Linc USA GP and Linc Energy Finance (USA), Inc. </w:t>
            </w:r>
            <w:r>
              <w:rPr>
                <w:rFonts w:ascii="Arial" w:cs="Arial" w:eastAsia="Arial" w:hAnsi="Arial"/>
                <w:sz w:val="12"/>
                <w:szCs w:val="12"/>
                <w:color w:val="auto"/>
              </w:rPr>
              <w:t>(5)</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10/31/2017</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Oil and Gas</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12.50%</w:t>
            </w: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11,875,000</w:t>
            </w:r>
          </w:p>
        </w:tc>
        <w:tc>
          <w:tcPr>
            <w:tcW w:w="12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11,511,878</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13,062,500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w:t>
            </w:r>
          </w:p>
        </w:tc>
        <w:tc>
          <w:tcPr>
            <w:tcW w:w="8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07/01/2020</w:t>
            </w:r>
          </w:p>
        </w:tc>
        <w:tc>
          <w:tcPr>
            <w:tcW w:w="14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1"/>
              </w:rPr>
              <w:t>Personal, Food and</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9.75%</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L+850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94"/>
              </w:rPr>
              <w:t>56,750,000</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55,923,621</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56,040,625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Miscellaneous Services</w:t>
            </w: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12/15/2014</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Other Media</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9.50%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L+550</w:t>
            </w:r>
            <w:r>
              <w:rPr>
                <w:rFonts w:ascii="Arial" w:cs="Arial" w:eastAsia="Arial" w:hAnsi="Arial"/>
                <w:sz w:val="12"/>
                <w:szCs w:val="12"/>
                <w:color w:val="auto"/>
              </w:rPr>
              <w:t>(8)</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2,395,378</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2,395,378</w:t>
            </w: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2,371,424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Questex Media Group LLC, Term Loan B</w:t>
            </w:r>
          </w:p>
        </w:tc>
        <w:tc>
          <w:tcPr>
            <w:tcW w:w="8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12/15/2015</w:t>
            </w:r>
          </w:p>
        </w:tc>
        <w:tc>
          <w:tcPr>
            <w:tcW w:w="14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Other Media</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11.50%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P+750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2,502,333</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2,502,333</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2,452,286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8"/>
              </w:rPr>
              <w:t>(PIK 11.50%)</w:t>
            </w: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ROC Finance LLC and ROC Finance 1 Corp.</w:t>
            </w:r>
          </w:p>
        </w:tc>
        <w:tc>
          <w:tcPr>
            <w:tcW w:w="2340" w:type="dxa"/>
            <w:vAlign w:val="bottom"/>
            <w:gridSpan w:val="4"/>
          </w:tcPr>
          <w:p>
            <w:pPr>
              <w:ind w:left="40"/>
              <w:spacing w:after="0" w:line="130" w:lineRule="exact"/>
              <w:rPr>
                <w:sz w:val="20"/>
                <w:szCs w:val="20"/>
                <w:color w:val="auto"/>
              </w:rPr>
            </w:pPr>
            <w:r>
              <w:rPr>
                <w:rFonts w:ascii="Arial" w:cs="Arial" w:eastAsia="Arial" w:hAnsi="Arial"/>
                <w:sz w:val="14"/>
                <w:szCs w:val="14"/>
                <w:color w:val="auto"/>
              </w:rPr>
              <w:t>08/31/2018   Hotels, Motels, Ins and</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12.13%</w:t>
            </w:r>
          </w:p>
        </w:tc>
        <w:tc>
          <w:tcPr>
            <w:tcW w:w="9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4"/>
              </w:rPr>
              <w:t>16,000,000</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15,785,252</w:t>
            </w:r>
          </w:p>
        </w:tc>
        <w:tc>
          <w:tcPr>
            <w:tcW w:w="18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17,720,000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Gaming</w:t>
            </w: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332,007,946</w:t>
            </w:r>
          </w:p>
        </w:tc>
        <w:tc>
          <w:tcPr>
            <w:tcW w:w="18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341,093,728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(CONTINUED)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Basis Point</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Current</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Spread</w:t>
            </w: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Issuer Name</w:t>
            </w: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Maturity</w:t>
            </w:r>
          </w:p>
        </w:tc>
        <w:tc>
          <w:tcPr>
            <w:tcW w:w="16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Industry</w:t>
            </w:r>
          </w:p>
        </w:tc>
        <w:tc>
          <w:tcPr>
            <w:tcW w:w="1160" w:type="dxa"/>
            <w:vAlign w:val="bottom"/>
            <w:gridSpan w:val="2"/>
            <w:vMerge w:val="continue"/>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Above</w:t>
            </w: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700" w:type="dxa"/>
            <w:vAlign w:val="bottom"/>
            <w:gridSpan w:val="4"/>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Coupon</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1"/>
              </w:rPr>
              <w:t>Subordinated</w:t>
            </w:r>
          </w:p>
        </w:tc>
        <w:tc>
          <w:tcPr>
            <w:tcW w:w="288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4"/>
                <w:szCs w:val="14"/>
                <w:b w:val="1"/>
                <w:bCs w:val="1"/>
                <w:color w:val="auto"/>
              </w:rPr>
              <w:t>Debt/Corporate Notes—37.4%</w:t>
            </w:r>
          </w:p>
        </w:tc>
        <w:tc>
          <w:tcPr>
            <w:tcW w:w="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Acentia, LLC</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10/02/2017</w:t>
            </w: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13.75%</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4"/>
              </w:rPr>
              <w:t>19,000,000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18,629,082</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18,879,139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11/15/2015</w:t>
            </w:r>
          </w:p>
        </w:tc>
        <w:tc>
          <w:tcPr>
            <w:tcW w:w="1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0"/>
              </w:rPr>
              <w:t>Consumer Products</w:t>
            </w: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11.63%</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4"/>
              </w:rPr>
              <w:t>35,552,000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34,570,664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20,442,400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Alegeus Technologies, LLC</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02/15/2019</w:t>
            </w:r>
          </w:p>
        </w:tc>
        <w:tc>
          <w:tcPr>
            <w:tcW w:w="1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Financial Services</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12.00%</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8,930,000</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8,773,751</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8,888,617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LLC</w:t>
            </w:r>
          </w:p>
        </w:tc>
        <w:tc>
          <w:tcPr>
            <w:tcW w:w="9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4"/>
              </w:rPr>
              <w:t>03/26/2018</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12.00%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23,514,494</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9"/>
              </w:rPr>
              <w:t>23,114,286</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23,867,211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(PIK 1.00%)</w:t>
            </w: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tcPr>
          <w:p>
            <w:pPr>
              <w:spacing w:after="0" w:line="130" w:lineRule="exact"/>
              <w:rPr>
                <w:sz w:val="20"/>
                <w:szCs w:val="20"/>
                <w:color w:val="auto"/>
              </w:rPr>
            </w:pPr>
            <w:r>
              <w:rPr>
                <w:rFonts w:ascii="Arial" w:cs="Arial" w:eastAsia="Arial" w:hAnsi="Arial"/>
                <w:sz w:val="14"/>
                <w:szCs w:val="14"/>
                <w:color w:val="auto"/>
              </w:rPr>
              <w:t>Credit Infonet, Inc.</w:t>
            </w:r>
          </w:p>
        </w:tc>
        <w:tc>
          <w:tcPr>
            <w:tcW w:w="92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4"/>
              </w:rPr>
              <w:t>10/26/2018</w:t>
            </w:r>
          </w:p>
        </w:tc>
        <w:tc>
          <w:tcPr>
            <w:tcW w:w="168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Personal, Food and</w:t>
            </w:r>
          </w:p>
        </w:tc>
        <w:tc>
          <w:tcPr>
            <w:tcW w:w="11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12.25%</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10,600,000</w:t>
            </w: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9"/>
              </w:rPr>
              <w:t>10,399,101</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10,653,423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Miscellaneous Services</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Escort, Inc.</w:t>
            </w:r>
          </w:p>
        </w:tc>
        <w:tc>
          <w:tcPr>
            <w:tcW w:w="9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4"/>
              </w:rPr>
              <w:t>06/01/2016</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14.75%</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25,965,563</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9"/>
              </w:rPr>
              <w:t>25,579,621</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26,484,875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(PIK 2.75%)</w:t>
            </w: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tcPr>
          <w:p>
            <w:pPr>
              <w:spacing w:after="0" w:line="130" w:lineRule="exact"/>
              <w:rPr>
                <w:sz w:val="20"/>
                <w:szCs w:val="20"/>
                <w:color w:val="auto"/>
              </w:rPr>
            </w:pPr>
            <w:r>
              <w:rPr>
                <w:rFonts w:ascii="Arial" w:cs="Arial" w:eastAsia="Arial" w:hAnsi="Arial"/>
                <w:sz w:val="14"/>
                <w:szCs w:val="14"/>
                <w:color w:val="auto"/>
              </w:rPr>
              <w:t>JF Acquisition, LLC</w:t>
            </w:r>
          </w:p>
        </w:tc>
        <w:tc>
          <w:tcPr>
            <w:tcW w:w="92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4"/>
              </w:rPr>
              <w:t>06/30/2017</w:t>
            </w:r>
          </w:p>
        </w:tc>
        <w:tc>
          <w:tcPr>
            <w:tcW w:w="16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9"/>
              </w:rPr>
              <w:t>Distribution</w:t>
            </w:r>
          </w:p>
        </w:tc>
        <w:tc>
          <w:tcPr>
            <w:tcW w:w="11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14.00%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17,517,386</w:t>
            </w: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9"/>
              </w:rPr>
              <w:t>17,160,955</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17,517,386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(PIK 2.00%)</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Learning Care Group (US) Inc.</w:t>
            </w:r>
          </w:p>
        </w:tc>
        <w:tc>
          <w:tcPr>
            <w:tcW w:w="9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4"/>
              </w:rPr>
              <w:t>05/08/2020</w:t>
            </w:r>
          </w:p>
        </w:tc>
        <w:tc>
          <w:tcPr>
            <w:tcW w:w="168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3"/>
              </w:rPr>
              <w:t>Education</w:t>
            </w:r>
          </w:p>
        </w:tc>
        <w:tc>
          <w:tcPr>
            <w:tcW w:w="11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15.00%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7,215,989</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6,754,246</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7,215,989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(PIK 15.00%)</w:t>
            </w: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tcPr>
          <w:p>
            <w:pPr>
              <w:spacing w:after="0" w:line="130" w:lineRule="exact"/>
              <w:rPr>
                <w:sz w:val="20"/>
                <w:szCs w:val="20"/>
                <w:color w:val="auto"/>
              </w:rPr>
            </w:pPr>
            <w:r>
              <w:rPr>
                <w:rFonts w:ascii="Arial" w:cs="Arial" w:eastAsia="Arial" w:hAnsi="Arial"/>
                <w:sz w:val="14"/>
                <w:szCs w:val="14"/>
                <w:color w:val="auto"/>
              </w:rPr>
              <w:t>LTI Flexible Products, Inc.</w:t>
            </w:r>
          </w:p>
        </w:tc>
        <w:tc>
          <w:tcPr>
            <w:tcW w:w="92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4"/>
              </w:rPr>
              <w:t>01/19/2019</w:t>
            </w:r>
          </w:p>
        </w:tc>
        <w:tc>
          <w:tcPr>
            <w:tcW w:w="168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Chemicals, Plastics and</w:t>
            </w:r>
          </w:p>
        </w:tc>
        <w:tc>
          <w:tcPr>
            <w:tcW w:w="11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12.50%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30,000,000</w:t>
            </w: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9"/>
              </w:rPr>
              <w:t>30,000,000</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30,525,000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Rubber</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 xml:space="preserve">LTI Flexible Products, Inc. </w:t>
            </w:r>
            <w:r>
              <w:rPr>
                <w:rFonts w:ascii="Arial" w:cs="Arial" w:eastAsia="Arial" w:hAnsi="Arial"/>
                <w:sz w:val="12"/>
                <w:szCs w:val="12"/>
                <w:color w:val="auto"/>
              </w:rPr>
              <w:t>(9)</w:t>
            </w:r>
          </w:p>
        </w:tc>
        <w:tc>
          <w:tcPr>
            <w:tcW w:w="9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4"/>
              </w:rPr>
              <w:t>01/11/2014</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Chemicals, Plastics and</w:t>
            </w:r>
          </w:p>
        </w:tc>
        <w:tc>
          <w:tcPr>
            <w:tcW w:w="1160" w:type="dxa"/>
            <w:vAlign w:val="bottom"/>
            <w:gridSpan w:val="2"/>
            <w:shd w:val="clear" w:color="auto" w:fill="CCEEFF"/>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5,000,000</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4,825,000</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5,087,500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1"/>
              </w:rPr>
              <w:t>Rubber</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MSPark, Inc.</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06/15/2017</w:t>
            </w: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Printing and Publishing</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14.50%</w:t>
            </w:r>
            <w:r>
              <w:rPr>
                <w:rFonts w:ascii="Arial" w:cs="Arial" w:eastAsia="Arial" w:hAnsi="Arial"/>
                <w:sz w:val="12"/>
                <w:szCs w:val="12"/>
                <w:color w:val="auto"/>
              </w:rPr>
              <w:t>(7)</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4"/>
              </w:rPr>
              <w:t>15,000,000</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14,691,342</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14,700,000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Varel International Energy Mezzanine Funding Corp.</w:t>
            </w:r>
          </w:p>
        </w:tc>
        <w:tc>
          <w:tcPr>
            <w:tcW w:w="9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4"/>
              </w:rPr>
              <w:t>01/15/2018</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14.00%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37,070,637</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9"/>
              </w:rPr>
              <w:t>36,441,726</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36,720,586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(PIK 4.00%)</w:t>
            </w: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Vestcom International, Inc.</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06/27/2019</w:t>
            </w: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Printing and Publishing</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12.00%</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4"/>
              </w:rPr>
              <w:t>39,892,933</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39,147,926</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39,827,248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270,087,700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2"/>
              </w:rPr>
              <w:t>260,809,374</w:t>
            </w:r>
          </w:p>
        </w:tc>
        <w:tc>
          <w:tcPr>
            <w:tcW w:w="0" w:type="dxa"/>
            <w:vAlign w:val="bottom"/>
          </w:tcPr>
          <w:p>
            <w:pPr>
              <w:spacing w:after="0"/>
              <w:rPr>
                <w:sz w:val="1"/>
                <w:szCs w:val="1"/>
                <w:color w:val="auto"/>
              </w:rPr>
            </w:pPr>
          </w:p>
        </w:tc>
      </w:tr>
      <w:tr>
        <w:trPr>
          <w:trHeight w:val="156"/>
        </w:trPr>
        <w:tc>
          <w:tcPr>
            <w:tcW w:w="370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 xml:space="preserve">Preferred Equity/Partnership Interests—1.2% </w:t>
            </w:r>
            <w:r>
              <w:rPr>
                <w:rFonts w:ascii="Arial" w:cs="Arial" w:eastAsia="Arial" w:hAnsi="Arial"/>
                <w:sz w:val="12"/>
                <w:szCs w:val="12"/>
                <w:b w:val="1"/>
                <w:bCs w:val="1"/>
                <w:color w:val="auto"/>
              </w:rPr>
              <w:t>(6)</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AH Holdings, Inc.</w:t>
            </w:r>
          </w:p>
        </w:tc>
        <w:tc>
          <w:tcPr>
            <w:tcW w:w="9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 and</w:t>
            </w:r>
          </w:p>
        </w:tc>
        <w:tc>
          <w:tcPr>
            <w:tcW w:w="11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6.00%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211</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815,133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Childcare</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AHC Mezzanine, LLC</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Other Media</w:t>
            </w: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7,505</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318,896</w:t>
            </w:r>
          </w:p>
        </w:tc>
        <w:tc>
          <w:tcPr>
            <w:tcW w:w="100" w:type="dxa"/>
            <w:vAlign w:val="bottom"/>
          </w:tcPr>
          <w:p>
            <w:pPr>
              <w:spacing w:after="0"/>
              <w:rPr>
                <w:sz w:val="12"/>
                <w:szCs w:val="12"/>
                <w:color w:val="auto"/>
              </w:rPr>
            </w:pPr>
          </w:p>
        </w:tc>
        <w:tc>
          <w:tcPr>
            <w:tcW w:w="8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Alegeus Technologies Holdings Corp., Series A (Alegeus</w:t>
            </w:r>
          </w:p>
        </w:tc>
        <w:tc>
          <w:tcPr>
            <w:tcW w:w="9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3"/>
              </w:rPr>
              <w:t>Financial Services</w:t>
            </w:r>
          </w:p>
        </w:tc>
        <w:tc>
          <w:tcPr>
            <w:tcW w:w="1160" w:type="dxa"/>
            <w:vAlign w:val="bottom"/>
            <w:gridSpan w:val="2"/>
            <w:shd w:val="clear" w:color="auto" w:fill="CCEEFF"/>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949</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949,050</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805,697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Technologies, LLC)</w:t>
            </w: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tcPr>
          <w:p>
            <w:pPr>
              <w:spacing w:after="0" w:line="130" w:lineRule="exact"/>
              <w:rPr>
                <w:sz w:val="20"/>
                <w:szCs w:val="20"/>
                <w:color w:val="auto"/>
              </w:rPr>
            </w:pPr>
            <w:r>
              <w:rPr>
                <w:rFonts w:ascii="Arial" w:cs="Arial" w:eastAsia="Arial" w:hAnsi="Arial"/>
                <w:sz w:val="14"/>
                <w:szCs w:val="14"/>
                <w:color w:val="auto"/>
              </w:rPr>
              <w:t>CI (IHS) Investment Holdings, LLC</w:t>
            </w:r>
          </w:p>
        </w:tc>
        <w:tc>
          <w:tcPr>
            <w:tcW w:w="92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8.00%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76,357</w:t>
            </w: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765,307</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1,187,410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tcPr>
          <w:p>
            <w:pPr>
              <w:ind w:left="140"/>
              <w:spacing w:after="0"/>
              <w:rPr>
                <w:sz w:val="20"/>
                <w:szCs w:val="20"/>
                <w:color w:val="auto"/>
              </w:rPr>
            </w:pPr>
            <w:r>
              <w:rPr>
                <w:rFonts w:ascii="Arial" w:cs="Arial" w:eastAsia="Arial" w:hAnsi="Arial"/>
                <w:sz w:val="14"/>
                <w:szCs w:val="14"/>
                <w:color w:val="auto"/>
              </w:rPr>
              <w:t>(Interactive Health Solutions, Inc.)</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 xml:space="preserve">CI (IHS) Investment Holdings, LLC </w:t>
            </w:r>
            <w:r>
              <w:rPr>
                <w:rFonts w:ascii="Arial" w:cs="Arial" w:eastAsia="Arial" w:hAnsi="Arial"/>
                <w:sz w:val="12"/>
                <w:szCs w:val="12"/>
                <w:color w:val="auto"/>
              </w:rPr>
              <w:t>(9)</w:t>
            </w:r>
            <w:r>
              <w:rPr>
                <w:rFonts w:ascii="Arial" w:cs="Arial" w:eastAsia="Arial" w:hAnsi="Arial"/>
                <w:sz w:val="14"/>
                <w:szCs w:val="14"/>
                <w:color w:val="auto"/>
              </w:rPr>
              <w:t xml:space="preserve"> (Interactive Health</w:t>
            </w:r>
          </w:p>
        </w:tc>
        <w:tc>
          <w:tcPr>
            <w:tcW w:w="9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shd w:val="clear" w:color="auto" w:fill="CCEEFF"/>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38,179</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382,654</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593,705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Solutions, Inc.)</w:t>
            </w: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tcPr>
          <w:p>
            <w:pPr>
              <w:spacing w:after="0" w:line="130" w:lineRule="exact"/>
              <w:rPr>
                <w:sz w:val="20"/>
                <w:szCs w:val="20"/>
                <w:color w:val="auto"/>
              </w:rPr>
            </w:pPr>
            <w:r>
              <w:rPr>
                <w:rFonts w:ascii="Arial" w:cs="Arial" w:eastAsia="Arial" w:hAnsi="Arial"/>
                <w:sz w:val="14"/>
                <w:szCs w:val="14"/>
                <w:color w:val="auto"/>
              </w:rPr>
              <w:t>Convergint Technologies Holdings, LLC (Convergint</w:t>
            </w:r>
          </w:p>
        </w:tc>
        <w:tc>
          <w:tcPr>
            <w:tcW w:w="92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8.00%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2,375</w:t>
            </w: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2,375,000</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2,584,106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tcPr>
          <w:p>
            <w:pPr>
              <w:ind w:left="140"/>
              <w:spacing w:after="0"/>
              <w:rPr>
                <w:sz w:val="20"/>
                <w:szCs w:val="20"/>
                <w:color w:val="auto"/>
              </w:rPr>
            </w:pPr>
            <w:r>
              <w:rPr>
                <w:rFonts w:ascii="Arial" w:cs="Arial" w:eastAsia="Arial" w:hAnsi="Arial"/>
                <w:sz w:val="14"/>
                <w:szCs w:val="14"/>
                <w:color w:val="auto"/>
              </w:rPr>
              <w:t>Technologies LLC)</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92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9.00%</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326,215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326,215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326,215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HW Topco, Inc.</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Other Media</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8.00%</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3,591</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24,177</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A</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Insurance</w:t>
            </w:r>
          </w:p>
        </w:tc>
        <w:tc>
          <w:tcPr>
            <w:tcW w:w="11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686</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685,820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TZ Holdings, L.P., Series B</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Insurance</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6.50%</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1,312</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1,312,006</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862,664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VRide Holdings, Inc.</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Personal Transportation</w:t>
            </w: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8.00%</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1,824,167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1,824,167</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156,029</w:t>
            </w:r>
          </w:p>
        </w:tc>
        <w:tc>
          <w:tcPr>
            <w:tcW w:w="0" w:type="dxa"/>
            <w:vAlign w:val="bottom"/>
          </w:tcPr>
          <w:p>
            <w:pPr>
              <w:spacing w:after="0"/>
              <w:rPr>
                <w:sz w:val="1"/>
                <w:szCs w:val="1"/>
                <w:color w:val="auto"/>
              </w:rPr>
            </w:pPr>
          </w:p>
        </w:tc>
      </w:tr>
      <w:tr>
        <w:trPr>
          <w:trHeight w:val="163"/>
        </w:trPr>
        <w:tc>
          <w:tcPr>
            <w:tcW w:w="370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9,463,292</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8,051,870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5"/>
              </w:rPr>
              <w:t>Common Equity/Warrants/Partnership Interests—10.1%</w:t>
            </w:r>
            <w:r>
              <w:rPr>
                <w:rFonts w:ascii="Arial" w:cs="Arial" w:eastAsia="Arial" w:hAnsi="Arial"/>
                <w:sz w:val="12"/>
                <w:szCs w:val="12"/>
                <w:b w:val="1"/>
                <w:bCs w:val="1"/>
                <w:color w:val="auto"/>
                <w:w w:val="95"/>
              </w:rPr>
              <w:t>(6)</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 xml:space="preserve">Acentia, LLC, Class A Units </w:t>
            </w:r>
            <w:r>
              <w:rPr>
                <w:rFonts w:ascii="Arial" w:cs="Arial" w:eastAsia="Arial" w:hAnsi="Arial"/>
                <w:sz w:val="12"/>
                <w:szCs w:val="12"/>
                <w:color w:val="auto"/>
              </w:rPr>
              <w:t>(12)</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1,998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2,000,000</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1,572,603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AH Holdings, Inc. (Warrants)</w:t>
            </w: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1"/>
              </w:rPr>
              <w:t>03/23/2021</w:t>
            </w:r>
          </w:p>
        </w:tc>
        <w:tc>
          <w:tcPr>
            <w:tcW w:w="24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shd w:val="clear" w:color="auto" w:fill="CCEEFF"/>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753</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2,499,319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tcPr>
          <w:p>
            <w:pPr>
              <w:spacing w:after="0" w:line="130" w:lineRule="exact"/>
              <w:rPr>
                <w:sz w:val="20"/>
                <w:szCs w:val="20"/>
                <w:color w:val="auto"/>
              </w:rPr>
            </w:pPr>
            <w:r>
              <w:rPr>
                <w:rFonts w:ascii="Arial" w:cs="Arial" w:eastAsia="Arial" w:hAnsi="Arial"/>
                <w:sz w:val="14"/>
                <w:szCs w:val="14"/>
                <w:color w:val="auto"/>
              </w:rPr>
              <w:t>Alegeus Technologies Holding Corp., Class A (Alegeus</w:t>
            </w:r>
          </w:p>
        </w:tc>
        <w:tc>
          <w:tcPr>
            <w:tcW w:w="92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3"/>
              </w:rPr>
              <w:t>Financial Services</w:t>
            </w:r>
          </w:p>
        </w:tc>
        <w:tc>
          <w:tcPr>
            <w:tcW w:w="1160" w:type="dxa"/>
            <w:vAlign w:val="bottom"/>
            <w:gridSpan w:val="2"/>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950</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tcPr>
          <w:p>
            <w:pPr>
              <w:ind w:left="140"/>
              <w:spacing w:after="0"/>
              <w:rPr>
                <w:sz w:val="20"/>
                <w:szCs w:val="20"/>
                <w:color w:val="auto"/>
              </w:rPr>
            </w:pPr>
            <w:r>
              <w:rPr>
                <w:rFonts w:ascii="Arial" w:cs="Arial" w:eastAsia="Arial" w:hAnsi="Arial"/>
                <w:sz w:val="14"/>
                <w:szCs w:val="14"/>
                <w:color w:val="auto"/>
              </w:rPr>
              <w:t>Technologies, LLC)</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Autumn Games, LLC</w:t>
            </w:r>
          </w:p>
        </w:tc>
        <w:tc>
          <w:tcPr>
            <w:tcW w:w="9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Broadcasting and</w:t>
            </w:r>
          </w:p>
        </w:tc>
        <w:tc>
          <w:tcPr>
            <w:tcW w:w="1160" w:type="dxa"/>
            <w:vAlign w:val="bottom"/>
            <w:gridSpan w:val="2"/>
            <w:shd w:val="clear" w:color="auto" w:fill="CCEEFF"/>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1,333,330</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3,000,000</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4"/>
              </w:rPr>
              <w:t>Entertainment</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 xml:space="preserve">CI (Galls) Prime Investment Holdings, LLC </w:t>
            </w:r>
            <w:r>
              <w:rPr>
                <w:rFonts w:ascii="Arial" w:cs="Arial" w:eastAsia="Arial" w:hAnsi="Arial"/>
                <w:sz w:val="12"/>
                <w:szCs w:val="12"/>
                <w:color w:val="auto"/>
              </w:rPr>
              <w:t>(11)</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Distribution</w:t>
            </w: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1,505,000</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1,505,000</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2,308,777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CI (IHS) Investment Holdings, LLC (Interactive Health</w:t>
            </w:r>
          </w:p>
        </w:tc>
        <w:tc>
          <w:tcPr>
            <w:tcW w:w="9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shd w:val="clear" w:color="auto" w:fill="CCEEFF"/>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23,416</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234,693</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364,156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Solutions, Inc.)</w:t>
            </w: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tcPr>
          <w:p>
            <w:pPr>
              <w:spacing w:after="0" w:line="130" w:lineRule="exact"/>
              <w:rPr>
                <w:sz w:val="20"/>
                <w:szCs w:val="20"/>
                <w:color w:val="auto"/>
              </w:rPr>
            </w:pPr>
            <w:r>
              <w:rPr>
                <w:rFonts w:ascii="Arial" w:cs="Arial" w:eastAsia="Arial" w:hAnsi="Arial"/>
                <w:sz w:val="14"/>
                <w:szCs w:val="14"/>
                <w:color w:val="auto"/>
              </w:rPr>
              <w:t xml:space="preserve">CI (IHS) Investment Holdings, LLC </w:t>
            </w:r>
            <w:r>
              <w:rPr>
                <w:rFonts w:ascii="Arial" w:cs="Arial" w:eastAsia="Arial" w:hAnsi="Arial"/>
                <w:sz w:val="12"/>
                <w:szCs w:val="12"/>
                <w:color w:val="auto"/>
              </w:rPr>
              <w:t>(9)</w:t>
            </w:r>
            <w:r>
              <w:rPr>
                <w:rFonts w:ascii="Arial" w:cs="Arial" w:eastAsia="Arial" w:hAnsi="Arial"/>
                <w:sz w:val="14"/>
                <w:szCs w:val="14"/>
                <w:color w:val="auto"/>
              </w:rPr>
              <w:t xml:space="preserve"> (Interactive Health</w:t>
            </w:r>
          </w:p>
        </w:tc>
        <w:tc>
          <w:tcPr>
            <w:tcW w:w="92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11,708</w:t>
            </w: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117,346</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182,078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tcPr>
          <w:p>
            <w:pPr>
              <w:ind w:left="140"/>
              <w:spacing w:after="0"/>
              <w:rPr>
                <w:sz w:val="20"/>
                <w:szCs w:val="20"/>
                <w:color w:val="auto"/>
              </w:rPr>
            </w:pPr>
            <w:r>
              <w:rPr>
                <w:rFonts w:ascii="Arial" w:cs="Arial" w:eastAsia="Arial" w:hAnsi="Arial"/>
                <w:sz w:val="14"/>
                <w:szCs w:val="14"/>
                <w:color w:val="auto"/>
              </w:rPr>
              <w:t>Solutions, Inc.)</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Holdings, LLC (Convergint</w:t>
            </w:r>
          </w:p>
        </w:tc>
        <w:tc>
          <w:tcPr>
            <w:tcW w:w="9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shd w:val="clear" w:color="auto" w:fill="CCEEFF"/>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2,375</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212,881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Technologies LLC)</w:t>
            </w: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5,556</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1,918,346</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7,285,399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HW Topco, Inc.</w:t>
            </w:r>
          </w:p>
        </w:tc>
        <w:tc>
          <w:tcPr>
            <w:tcW w:w="92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Other Media</w:t>
            </w: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386,770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2,697,835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3,400,855</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(CONTINUED)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Basis Point</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Current</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Spread</w:t>
            </w: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Par/</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Maturity</w:t>
            </w:r>
          </w:p>
        </w:tc>
        <w:tc>
          <w:tcPr>
            <w:tcW w:w="15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Industry</w:t>
            </w:r>
          </w:p>
        </w:tc>
        <w:tc>
          <w:tcPr>
            <w:tcW w:w="1080" w:type="dxa"/>
            <w:vAlign w:val="bottom"/>
            <w:gridSpan w:val="2"/>
            <w:vMerge w:val="continue"/>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Above</w:t>
            </w:r>
          </w:p>
        </w:tc>
        <w:tc>
          <w:tcPr>
            <w:tcW w:w="1000" w:type="dxa"/>
            <w:vAlign w:val="bottom"/>
            <w:gridSpan w:val="2"/>
            <w:vMerge w:val="continue"/>
          </w:tcPr>
          <w:p>
            <w:pPr>
              <w:spacing w:after="0"/>
              <w:rPr>
                <w:sz w:val="12"/>
                <w:szCs w:val="12"/>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400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Coupon</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398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Kadmon Holdings, LLC, Class A</w:t>
            </w:r>
          </w:p>
        </w:tc>
        <w:tc>
          <w:tcPr>
            <w:tcW w:w="660" w:type="dxa"/>
            <w:vAlign w:val="bottom"/>
            <w:shd w:val="clear" w:color="auto" w:fill="CCEEFF"/>
          </w:tcPr>
          <w:p>
            <w:pPr>
              <w:ind w:left="220"/>
              <w:spacing w:after="0" w:line="123" w:lineRule="exact"/>
              <w:rPr>
                <w:sz w:val="20"/>
                <w:szCs w:val="20"/>
                <w:color w:val="auto"/>
              </w:rPr>
            </w:pPr>
            <w:r>
              <w:rPr>
                <w:rFonts w:ascii="Arial" w:cs="Arial" w:eastAsia="Arial" w:hAnsi="Arial"/>
                <w:sz w:val="14"/>
                <w:szCs w:val="14"/>
                <w:color w:val="auto"/>
              </w:rPr>
              <w:t>—</w:t>
            </w:r>
          </w:p>
        </w:tc>
        <w:tc>
          <w:tcPr>
            <w:tcW w:w="180" w:type="dxa"/>
            <w:vAlign w:val="bottom"/>
            <w:vMerge w:val="continue"/>
            <w:shd w:val="clear" w:color="auto" w:fill="CCEEFF"/>
          </w:tcPr>
          <w:p>
            <w:pPr>
              <w:spacing w:after="0"/>
              <w:rPr>
                <w:sz w:val="10"/>
                <w:szCs w:val="10"/>
                <w:color w:val="auto"/>
              </w:rPr>
            </w:pPr>
          </w:p>
        </w:tc>
        <w:tc>
          <w:tcPr>
            <w:tcW w:w="140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2"/>
              </w:rPr>
              <w:t>Healthcare, Education</w:t>
            </w:r>
          </w:p>
        </w:tc>
        <w:tc>
          <w:tcPr>
            <w:tcW w:w="160" w:type="dxa"/>
            <w:vAlign w:val="bottom"/>
            <w:vMerge w:val="continue"/>
            <w:shd w:val="clear" w:color="auto" w:fill="CCEEFF"/>
          </w:tcPr>
          <w:p>
            <w:pPr>
              <w:spacing w:after="0"/>
              <w:rPr>
                <w:sz w:val="10"/>
                <w:szCs w:val="10"/>
                <w:color w:val="auto"/>
              </w:rPr>
            </w:pPr>
          </w:p>
        </w:tc>
        <w:tc>
          <w:tcPr>
            <w:tcW w:w="700" w:type="dxa"/>
            <w:vAlign w:val="bottom"/>
            <w:shd w:val="clear" w:color="auto" w:fill="CCEEFF"/>
          </w:tcPr>
          <w:p>
            <w:pPr>
              <w:ind w:left="480"/>
              <w:spacing w:after="0" w:line="123" w:lineRule="exact"/>
              <w:rPr>
                <w:sz w:val="20"/>
                <w:szCs w:val="20"/>
                <w:color w:val="auto"/>
              </w:rPr>
            </w:pPr>
            <w:r>
              <w:rPr>
                <w:rFonts w:ascii="Arial" w:cs="Arial" w:eastAsia="Arial" w:hAnsi="Arial"/>
                <w:sz w:val="14"/>
                <w:szCs w:val="14"/>
                <w:color w:val="auto"/>
              </w:rPr>
              <w:t>—</w:t>
            </w:r>
          </w:p>
        </w:tc>
        <w:tc>
          <w:tcPr>
            <w:tcW w:w="380" w:type="dxa"/>
            <w:vAlign w:val="bottom"/>
            <w:vMerge w:val="continue"/>
            <w:shd w:val="clear" w:color="auto" w:fill="CCEEFF"/>
          </w:tcPr>
          <w:p>
            <w:pPr>
              <w:spacing w:after="0"/>
              <w:rPr>
                <w:sz w:val="10"/>
                <w:szCs w:val="10"/>
                <w:color w:val="auto"/>
              </w:rPr>
            </w:pPr>
          </w:p>
        </w:tc>
        <w:tc>
          <w:tcPr>
            <w:tcW w:w="700" w:type="dxa"/>
            <w:vAlign w:val="bottom"/>
            <w:shd w:val="clear" w:color="auto" w:fill="CCEEFF"/>
          </w:tcPr>
          <w:p>
            <w:pPr>
              <w:ind w:left="480"/>
              <w:spacing w:after="0" w:line="123" w:lineRule="exact"/>
              <w:rPr>
                <w:sz w:val="20"/>
                <w:szCs w:val="20"/>
                <w:color w:val="auto"/>
              </w:rPr>
            </w:pPr>
            <w:r>
              <w:rPr>
                <w:rFonts w:ascii="Arial" w:cs="Arial" w:eastAsia="Arial" w:hAnsi="Arial"/>
                <w:sz w:val="14"/>
                <w:szCs w:val="14"/>
                <w:color w:val="auto"/>
              </w:rPr>
              <w:t>—</w:t>
            </w:r>
          </w:p>
        </w:tc>
        <w:tc>
          <w:tcPr>
            <w:tcW w:w="260" w:type="dxa"/>
            <w:vAlign w:val="bottom"/>
            <w:vMerge w:val="continue"/>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1,079,920</w:t>
            </w:r>
          </w:p>
        </w:tc>
        <w:tc>
          <w:tcPr>
            <w:tcW w:w="320" w:type="dxa"/>
            <w:vAlign w:val="bottom"/>
            <w:vMerge w:val="continue"/>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1,236,832</w:t>
            </w:r>
          </w:p>
        </w:tc>
        <w:tc>
          <w:tcPr>
            <w:tcW w:w="240" w:type="dxa"/>
            <w:vAlign w:val="bottom"/>
            <w:vMerge w:val="continue"/>
            <w:shd w:val="clear" w:color="auto" w:fill="CCEEFF"/>
          </w:tcPr>
          <w:p>
            <w:pPr>
              <w:spacing w:after="0"/>
              <w:rPr>
                <w:sz w:val="10"/>
                <w:szCs w:val="10"/>
                <w:color w:val="auto"/>
              </w:rPr>
            </w:pPr>
          </w:p>
        </w:tc>
        <w:tc>
          <w:tcPr>
            <w:tcW w:w="82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11,085,403</w:t>
            </w:r>
          </w:p>
        </w:tc>
        <w:tc>
          <w:tcPr>
            <w:tcW w:w="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rPr>
              <w:t>Kadmon Holdings, LLC, Class D</w:t>
            </w:r>
          </w:p>
        </w:tc>
        <w:tc>
          <w:tcPr>
            <w:tcW w:w="8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0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0" w:lineRule="exact"/>
              <w:rPr>
                <w:sz w:val="20"/>
                <w:szCs w:val="20"/>
                <w:color w:val="auto"/>
              </w:rPr>
            </w:pPr>
            <w:r>
              <w:rPr>
                <w:rFonts w:ascii="Arial" w:cs="Arial" w:eastAsia="Arial" w:hAnsi="Arial"/>
                <w:sz w:val="14"/>
                <w:szCs w:val="14"/>
                <w:color w:val="auto"/>
              </w:rPr>
              <w:t>1,079,920</w:t>
            </w:r>
          </w:p>
        </w:tc>
        <w:tc>
          <w:tcPr>
            <w:tcW w:w="320" w:type="dxa"/>
            <w:vAlign w:val="bottom"/>
          </w:tcPr>
          <w:p>
            <w:pPr>
              <w:spacing w:after="0"/>
              <w:rPr>
                <w:sz w:val="11"/>
                <w:szCs w:val="11"/>
                <w:color w:val="auto"/>
              </w:rPr>
            </w:pP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1,028,807</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1,028,807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04/27/2020</w:t>
            </w:r>
          </w:p>
        </w:tc>
        <w:tc>
          <w:tcPr>
            <w:tcW w:w="1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Education</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6,649</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779,920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4,300,696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w w:val="97"/>
              </w:rPr>
              <w:t>Magnum Hunter Resources Corporation (Eureka Hunter Pipeline,</w:t>
            </w:r>
          </w:p>
        </w:tc>
        <w:tc>
          <w:tcPr>
            <w:tcW w:w="8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0" w:lineRule="exact"/>
              <w:rPr>
                <w:sz w:val="20"/>
                <w:szCs w:val="20"/>
                <w:color w:val="auto"/>
              </w:rPr>
            </w:pPr>
            <w:r>
              <w:rPr>
                <w:rFonts w:ascii="Arial" w:cs="Arial" w:eastAsia="Arial" w:hAnsi="Arial"/>
                <w:sz w:val="14"/>
                <w:szCs w:val="14"/>
                <w:color w:val="auto"/>
              </w:rPr>
              <w:t>1,221,932</w:t>
            </w:r>
          </w:p>
        </w:tc>
        <w:tc>
          <w:tcPr>
            <w:tcW w:w="320" w:type="dxa"/>
            <w:vAlign w:val="bottom"/>
          </w:tcPr>
          <w:p>
            <w:pPr>
              <w:spacing w:after="0"/>
              <w:rPr>
                <w:sz w:val="11"/>
                <w:szCs w:val="11"/>
                <w:color w:val="auto"/>
              </w:rPr>
            </w:pP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3,057,500</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7,539,320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gridSpan w:val="2"/>
          </w:tcPr>
          <w:p>
            <w:pPr>
              <w:ind w:left="140"/>
              <w:spacing w:after="0"/>
              <w:rPr>
                <w:sz w:val="20"/>
                <w:szCs w:val="20"/>
                <w:color w:val="auto"/>
              </w:rPr>
            </w:pPr>
            <w:r>
              <w:rPr>
                <w:rFonts w:ascii="Arial" w:cs="Arial" w:eastAsia="Arial" w:hAnsi="Arial"/>
                <w:sz w:val="14"/>
                <w:szCs w:val="14"/>
                <w:color w:val="auto"/>
              </w:rPr>
              <w:t>LLC)</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Magnum Hunter Resources Corporation (Warrants)(Eureka</w:t>
            </w:r>
          </w:p>
        </w:tc>
        <w:tc>
          <w:tcPr>
            <w:tcW w:w="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1"/>
              </w:rPr>
              <w:t>10/14/2013</w:t>
            </w:r>
          </w:p>
        </w:tc>
        <w:tc>
          <w:tcPr>
            <w:tcW w:w="18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122,193</w:t>
            </w:r>
          </w:p>
        </w:tc>
        <w:tc>
          <w:tcPr>
            <w:tcW w:w="84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105,697</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Hunter Pipeline, LLC)</w:t>
            </w: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rPr>
              <w:t>Magnum Hunter Resources Corporation (Warrants)(Eureka</w:t>
            </w:r>
          </w:p>
        </w:tc>
        <w:tc>
          <w:tcPr>
            <w:tcW w:w="660" w:type="dxa"/>
            <w:vAlign w:val="bottom"/>
          </w:tcPr>
          <w:p>
            <w:pPr>
              <w:spacing w:after="0" w:line="130" w:lineRule="exact"/>
              <w:rPr>
                <w:sz w:val="20"/>
                <w:szCs w:val="20"/>
                <w:color w:val="auto"/>
              </w:rPr>
            </w:pPr>
            <w:r>
              <w:rPr>
                <w:rFonts w:ascii="Arial" w:cs="Arial" w:eastAsia="Arial" w:hAnsi="Arial"/>
                <w:sz w:val="14"/>
                <w:szCs w:val="14"/>
                <w:color w:val="auto"/>
                <w:w w:val="91"/>
              </w:rPr>
              <w:t>04/16/2016</w:t>
            </w:r>
          </w:p>
        </w:tc>
        <w:tc>
          <w:tcPr>
            <w:tcW w:w="180" w:type="dxa"/>
            <w:vAlign w:val="bottom"/>
          </w:tcPr>
          <w:p>
            <w:pPr>
              <w:spacing w:after="0"/>
              <w:rPr>
                <w:sz w:val="11"/>
                <w:szCs w:val="11"/>
                <w:color w:val="auto"/>
              </w:rPr>
            </w:pPr>
          </w:p>
        </w:tc>
        <w:tc>
          <w:tcPr>
            <w:tcW w:w="156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122,193</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182,499</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205,667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gridSpan w:val="2"/>
          </w:tcPr>
          <w:p>
            <w:pPr>
              <w:ind w:left="140"/>
              <w:spacing w:after="0"/>
              <w:rPr>
                <w:sz w:val="20"/>
                <w:szCs w:val="20"/>
                <w:color w:val="auto"/>
              </w:rPr>
            </w:pPr>
            <w:r>
              <w:rPr>
                <w:rFonts w:ascii="Arial" w:cs="Arial" w:eastAsia="Arial" w:hAnsi="Arial"/>
                <w:sz w:val="14"/>
                <w:szCs w:val="14"/>
                <w:color w:val="auto"/>
              </w:rPr>
              <w:t>Hunter Pipeline, LLC)</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MidOcean JF Holdings Corp.</w:t>
            </w:r>
          </w:p>
        </w:tc>
        <w:tc>
          <w:tcPr>
            <w:tcW w:w="84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7"/>
              </w:rPr>
              <w:t>Distribution</w:t>
            </w:r>
          </w:p>
        </w:tc>
        <w:tc>
          <w:tcPr>
            <w:tcW w:w="10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1,850</w:t>
            </w:r>
          </w:p>
        </w:tc>
        <w:tc>
          <w:tcPr>
            <w:tcW w:w="84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1,850,294</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1,845,784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(JF Acquisition, LLC)</w:t>
            </w: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rPr>
              <w:t>MidOcean PPL Holdings, Corp.</w:t>
            </w:r>
          </w:p>
        </w:tc>
        <w:tc>
          <w:tcPr>
            <w:tcW w:w="8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Personal, Food and</w:t>
            </w:r>
          </w:p>
        </w:tc>
        <w:tc>
          <w:tcPr>
            <w:tcW w:w="10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3,000</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5,441,976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80" w:type="dxa"/>
            <w:vAlign w:val="bottom"/>
            <w:gridSpan w:val="2"/>
          </w:tcPr>
          <w:p>
            <w:pPr>
              <w:ind w:left="140"/>
              <w:spacing w:after="0"/>
              <w:rPr>
                <w:sz w:val="20"/>
                <w:szCs w:val="20"/>
                <w:color w:val="auto"/>
              </w:rPr>
            </w:pPr>
            <w:r>
              <w:rPr>
                <w:rFonts w:ascii="Arial" w:cs="Arial" w:eastAsia="Arial" w:hAnsi="Arial"/>
                <w:sz w:val="14"/>
                <w:szCs w:val="14"/>
                <w:color w:val="auto"/>
              </w:rPr>
              <w:t>(Pre-Paid Legal Services, Inc.)</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Miscellaneous Services</w:t>
            </w: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Paradigm Acquisition Corp.</w:t>
            </w:r>
          </w:p>
        </w:tc>
        <w:tc>
          <w:tcPr>
            <w:tcW w:w="84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0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20,000</w:t>
            </w:r>
          </w:p>
        </w:tc>
        <w:tc>
          <w:tcPr>
            <w:tcW w:w="84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2,000,000</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3,720,481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QMG HoldCo, LLC, Class A (Questex Media Group, LLC)</w:t>
            </w: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Other Media</w:t>
            </w:r>
          </w:p>
        </w:tc>
        <w:tc>
          <w:tcPr>
            <w:tcW w:w="10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4,325</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1,306,167</w:t>
            </w:r>
          </w:p>
        </w:tc>
        <w:tc>
          <w:tcPr>
            <w:tcW w:w="2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2,073,419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QMG HoldCo, LLC, Class B (Questex Media Group, LLC)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Other Media</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w:t>
            </w: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254,563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rPr>
              <w:t>SPG Boyd Holdings Corp. (LTI Flexible Products, Inc.)</w:t>
            </w:r>
          </w:p>
        </w:tc>
        <w:tc>
          <w:tcPr>
            <w:tcW w:w="8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2"/>
              </w:rPr>
              <w:t>Chemical, Plastic and</w:t>
            </w:r>
          </w:p>
        </w:tc>
        <w:tc>
          <w:tcPr>
            <w:tcW w:w="10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300,000</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5,571,120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Rubber</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12/29/2019</w:t>
            </w:r>
          </w:p>
        </w:tc>
        <w:tc>
          <w:tcPr>
            <w:tcW w:w="1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0"/>
              </w:rPr>
              <w:t>Business Services</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3,500</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29,400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606,681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rPr>
              <w:t xml:space="preserve">Transportation 100 Holdco, L.L.C. </w:t>
            </w:r>
            <w:r>
              <w:rPr>
                <w:rFonts w:ascii="Arial" w:cs="Arial" w:eastAsia="Arial" w:hAnsi="Arial"/>
                <w:sz w:val="12"/>
                <w:szCs w:val="12"/>
                <w:color w:val="auto"/>
              </w:rPr>
              <w:t>(13)</w:t>
            </w:r>
            <w:r>
              <w:rPr>
                <w:rFonts w:ascii="Arial" w:cs="Arial" w:eastAsia="Arial" w:hAnsi="Arial"/>
                <w:sz w:val="14"/>
                <w:szCs w:val="14"/>
                <w:color w:val="auto"/>
              </w:rPr>
              <w:t xml:space="preserve"> (Intermediate</w:t>
            </w:r>
          </w:p>
        </w:tc>
        <w:tc>
          <w:tcPr>
            <w:tcW w:w="8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Cargo Transport</w:t>
            </w:r>
          </w:p>
        </w:tc>
        <w:tc>
          <w:tcPr>
            <w:tcW w:w="10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137,923</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2,111,588</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379,453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gridSpan w:val="2"/>
          </w:tcPr>
          <w:p>
            <w:pPr>
              <w:ind w:left="140"/>
              <w:spacing w:after="0"/>
              <w:rPr>
                <w:sz w:val="20"/>
                <w:szCs w:val="20"/>
                <w:color w:val="auto"/>
              </w:rPr>
            </w:pPr>
            <w:r>
              <w:rPr>
                <w:rFonts w:ascii="Arial" w:cs="Arial" w:eastAsia="Arial" w:hAnsi="Arial"/>
                <w:sz w:val="14"/>
                <w:szCs w:val="14"/>
                <w:color w:val="auto"/>
              </w:rPr>
              <w:t>Transportation 100, L.L.C.)</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Insurance</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9,567</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Vestcom Parent Holdings, Inc. (Vestcom International, Inc.)</w:t>
            </w: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Printing and Publishing</w:t>
            </w:r>
          </w:p>
        </w:tc>
        <w:tc>
          <w:tcPr>
            <w:tcW w:w="10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211,797</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2,325,555</w:t>
            </w:r>
          </w:p>
        </w:tc>
        <w:tc>
          <w:tcPr>
            <w:tcW w:w="2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2,626,512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VRide Holdings Inc.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Personal Transportation</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9,166</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9,166</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VText Holdings, Inc.</w:t>
            </w: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Business Services</w:t>
            </w:r>
          </w:p>
        </w:tc>
        <w:tc>
          <w:tcPr>
            <w:tcW w:w="10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35,526</w:t>
            </w: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4,050,000</w:t>
            </w:r>
          </w:p>
        </w:tc>
        <w:tc>
          <w:tcPr>
            <w:tcW w:w="2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5,966,074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37,557,162</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70,472,831</w:t>
            </w:r>
          </w:p>
        </w:tc>
        <w:tc>
          <w:tcPr>
            <w:tcW w:w="0" w:type="dxa"/>
            <w:vAlign w:val="bottom"/>
          </w:tcPr>
          <w:p>
            <w:pPr>
              <w:spacing w:after="0"/>
              <w:rPr>
                <w:sz w:val="1"/>
                <w:szCs w:val="1"/>
                <w:color w:val="auto"/>
              </w:rPr>
            </w:pPr>
          </w:p>
        </w:tc>
      </w:tr>
      <w:tr>
        <w:trPr>
          <w:trHeight w:val="163"/>
        </w:trPr>
        <w:tc>
          <w:tcPr>
            <w:tcW w:w="484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Total Investments in Non-Controlled, Non-Affiliated Portfolio Companies</w:t>
            </w: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928,078,589</w:t>
            </w:r>
          </w:p>
        </w:tc>
        <w:tc>
          <w:tcPr>
            <w:tcW w:w="2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968,471,042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5"/>
              </w:rPr>
              <w:t xml:space="preserve">Investments in Non-Controlled, Affiliated Portfolio Companies—11.0% </w:t>
            </w:r>
            <w:r>
              <w:rPr>
                <w:rFonts w:ascii="Arial" w:cs="Arial" w:eastAsia="Arial" w:hAnsi="Arial"/>
                <w:sz w:val="12"/>
                <w:szCs w:val="12"/>
                <w:b w:val="1"/>
                <w:bCs w:val="1"/>
                <w:color w:val="auto"/>
                <w:w w:val="95"/>
              </w:rPr>
              <w:t>(1),(2)</w:t>
            </w: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Notes—5.7%</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DirectBuy Holdings, Inc.</w:t>
            </w:r>
          </w:p>
        </w:tc>
        <w:tc>
          <w:tcPr>
            <w:tcW w:w="6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88"/>
              </w:rPr>
              <w:t>11/05/2019</w:t>
            </w:r>
          </w:p>
        </w:tc>
        <w:tc>
          <w:tcPr>
            <w:tcW w:w="18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0"/>
              </w:rPr>
              <w:t>Consumer Products</w:t>
            </w:r>
          </w:p>
        </w:tc>
        <w:tc>
          <w:tcPr>
            <w:tcW w:w="1080" w:type="dxa"/>
            <w:vAlign w:val="bottom"/>
            <w:gridSpan w:val="2"/>
            <w:shd w:val="clear" w:color="auto" w:fill="CCEEFF"/>
          </w:tcPr>
          <w:p>
            <w:pPr>
              <w:ind w:left="380"/>
              <w:spacing w:after="0" w:line="130" w:lineRule="exact"/>
              <w:rPr>
                <w:sz w:val="20"/>
                <w:szCs w:val="20"/>
                <w:color w:val="auto"/>
              </w:rPr>
            </w:pPr>
            <w:r>
              <w:rPr>
                <w:rFonts w:ascii="Arial" w:cs="Arial" w:eastAsia="Arial" w:hAnsi="Arial"/>
                <w:sz w:val="14"/>
                <w:szCs w:val="14"/>
                <w:color w:val="auto"/>
              </w:rPr>
              <w:t>12.00%</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11,428,224</w:t>
            </w:r>
          </w:p>
        </w:tc>
        <w:tc>
          <w:tcPr>
            <w:tcW w:w="84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93"/>
              </w:rPr>
              <w:t>$  11,428,224</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w w:val="93"/>
              </w:rPr>
              <w:t>$  11,428,224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(PIK 12.00%)</w:t>
            </w: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Service Champ, Inc.</w:t>
            </w:r>
          </w:p>
        </w:tc>
        <w:tc>
          <w:tcPr>
            <w:tcW w:w="660" w:type="dxa"/>
            <w:vAlign w:val="bottom"/>
          </w:tcPr>
          <w:p>
            <w:pPr>
              <w:spacing w:after="0" w:line="149" w:lineRule="exact"/>
              <w:rPr>
                <w:sz w:val="20"/>
                <w:szCs w:val="20"/>
                <w:color w:val="auto"/>
              </w:rPr>
            </w:pPr>
            <w:r>
              <w:rPr>
                <w:rFonts w:ascii="Arial" w:cs="Arial" w:eastAsia="Arial" w:hAnsi="Arial"/>
                <w:sz w:val="14"/>
                <w:szCs w:val="14"/>
                <w:color w:val="auto"/>
                <w:w w:val="91"/>
              </w:rPr>
              <w:t>10/02/2017</w:t>
            </w:r>
          </w:p>
        </w:tc>
        <w:tc>
          <w:tcPr>
            <w:tcW w:w="180" w:type="dxa"/>
            <w:vAlign w:val="bottom"/>
          </w:tcPr>
          <w:p>
            <w:pPr>
              <w:spacing w:after="0"/>
              <w:rPr>
                <w:sz w:val="13"/>
                <w:szCs w:val="13"/>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Auto Sector</w:t>
            </w:r>
          </w:p>
        </w:tc>
        <w:tc>
          <w:tcPr>
            <w:tcW w:w="10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12.50%</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28,000,000</w:t>
            </w:r>
          </w:p>
        </w:tc>
        <w:tc>
          <w:tcPr>
            <w:tcW w:w="32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27,474,713</w:t>
            </w:r>
          </w:p>
        </w:tc>
        <w:tc>
          <w:tcPr>
            <w:tcW w:w="2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28,248,043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w:t>
            </w:r>
            <w:r>
              <w:rPr>
                <w:rFonts w:ascii="Arial" w:cs="Arial" w:eastAsia="Arial" w:hAnsi="Arial"/>
                <w:sz w:val="14"/>
                <w:szCs w:val="14"/>
                <w:b w:val="1"/>
                <w:bCs w:val="1"/>
                <w:color w:val="auto"/>
              </w:rPr>
              <w:t>otal Subordinated Debt/Corporate Notes</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38,902,937</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39,676,267</w:t>
            </w:r>
          </w:p>
        </w:tc>
        <w:tc>
          <w:tcPr>
            <w:tcW w:w="0" w:type="dxa"/>
            <w:vAlign w:val="bottom"/>
          </w:tcPr>
          <w:p>
            <w:pPr>
              <w:spacing w:after="0"/>
              <w:rPr>
                <w:sz w:val="1"/>
                <w:szCs w:val="1"/>
                <w:color w:val="auto"/>
              </w:rPr>
            </w:pPr>
          </w:p>
        </w:tc>
      </w:tr>
      <w:tr>
        <w:trPr>
          <w:trHeight w:val="156"/>
        </w:trPr>
        <w:tc>
          <w:tcPr>
            <w:tcW w:w="40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Preferred Equity—0.2%</w:t>
            </w:r>
            <w:r>
              <w:rPr>
                <w:rFonts w:ascii="Arial" w:cs="Arial" w:eastAsia="Arial" w:hAnsi="Arial"/>
                <w:sz w:val="12"/>
                <w:szCs w:val="12"/>
                <w:b w:val="1"/>
                <w:bCs w:val="1"/>
                <w:color w:val="auto"/>
              </w:rPr>
              <w:t>(6)</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0"/>
              </w:rPr>
              <w:t>Aerospace and Defense</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53,071</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20,059,340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1,694,296</w:t>
            </w:r>
          </w:p>
        </w:tc>
        <w:tc>
          <w:tcPr>
            <w:tcW w:w="0" w:type="dxa"/>
            <w:vAlign w:val="bottom"/>
          </w:tcPr>
          <w:p>
            <w:pPr>
              <w:spacing w:after="0"/>
              <w:rPr>
                <w:sz w:val="1"/>
                <w:szCs w:val="1"/>
                <w:color w:val="auto"/>
              </w:rPr>
            </w:pPr>
          </w:p>
        </w:tc>
      </w:tr>
      <w:tr>
        <w:trPr>
          <w:trHeight w:val="156"/>
        </w:trPr>
        <w:tc>
          <w:tcPr>
            <w:tcW w:w="40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 xml:space="preserve">Common Equity/Partnership Interest—5.1% </w:t>
            </w:r>
            <w:r>
              <w:rPr>
                <w:rFonts w:ascii="Arial" w:cs="Arial" w:eastAsia="Arial" w:hAnsi="Arial"/>
                <w:sz w:val="12"/>
                <w:szCs w:val="12"/>
                <w:b w:val="1"/>
                <w:bCs w:val="1"/>
                <w:color w:val="auto"/>
              </w:rPr>
              <w:t>(6)</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DirectBuy Holdings, Inc.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0"/>
              </w:rPr>
              <w:t>Consumer Products</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104,719</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21,492,822</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5,556,207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DirectBuy Holdings, Inc. (Warrants)</w:t>
            </w: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auto"/>
                <w:w w:val="88"/>
              </w:rPr>
              <w:t>11/05/2022</w:t>
            </w:r>
          </w:p>
        </w:tc>
        <w:tc>
          <w:tcPr>
            <w:tcW w:w="18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Consumer Products</w:t>
            </w:r>
          </w:p>
        </w:tc>
        <w:tc>
          <w:tcPr>
            <w:tcW w:w="10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15,486</w:t>
            </w:r>
          </w:p>
        </w:tc>
        <w:tc>
          <w:tcPr>
            <w:tcW w:w="10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821,505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Holdings, Inc.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3"/>
              </w:rPr>
              <w:t>Environmental Services</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142,684</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11,891,822</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21,265,345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rPr>
              <w:t>NCP-Performance</w:t>
            </w:r>
          </w:p>
        </w:tc>
        <w:tc>
          <w:tcPr>
            <w:tcW w:w="8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3"/>
              </w:rPr>
              <w:t>Leisure, Amusement,</w:t>
            </w:r>
          </w:p>
        </w:tc>
        <w:tc>
          <w:tcPr>
            <w:tcW w:w="10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375,000</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3,750,000</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2,500,165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Motion Pictures</w:t>
            </w: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and Entertainment</w:t>
            </w: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Service Champ Holdings, Inc. (Service Champ, Inc.)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Auto Sector</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16,800</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2,721,600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5,222,015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Aerospace and Defense</w:t>
            </w:r>
          </w:p>
        </w:tc>
        <w:tc>
          <w:tcPr>
            <w:tcW w:w="10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53,071</w:t>
            </w: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202,620</w:t>
            </w:r>
          </w:p>
        </w:tc>
        <w:tc>
          <w:tcPr>
            <w:tcW w:w="240" w:type="dxa"/>
            <w:vAlign w:val="bottom"/>
          </w:tcPr>
          <w:p>
            <w:pPr>
              <w:spacing w:after="0"/>
              <w:rPr>
                <w:sz w:val="13"/>
                <w:szCs w:val="13"/>
                <w:color w:val="auto"/>
              </w:rPr>
            </w:pPr>
          </w:p>
        </w:tc>
        <w:tc>
          <w:tcPr>
            <w:tcW w:w="820" w:type="dxa"/>
            <w:vAlign w:val="bottom"/>
            <w:tcBorders>
              <w:bottom w:val="single" w:sz="8" w:color="auto"/>
            </w:tcBorders>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40,058,864</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35,365,237</w:t>
            </w:r>
          </w:p>
        </w:tc>
        <w:tc>
          <w:tcPr>
            <w:tcW w:w="0" w:type="dxa"/>
            <w:vAlign w:val="bottom"/>
          </w:tcPr>
          <w:p>
            <w:pPr>
              <w:spacing w:after="0"/>
              <w:rPr>
                <w:sz w:val="1"/>
                <w:szCs w:val="1"/>
                <w:color w:val="auto"/>
              </w:rPr>
            </w:pPr>
          </w:p>
        </w:tc>
      </w:tr>
      <w:tr>
        <w:trPr>
          <w:trHeight w:val="156"/>
        </w:trPr>
        <w:tc>
          <w:tcPr>
            <w:tcW w:w="484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Total Investments in Non-Controlled, Affiliated Portfolio Companies</w:t>
            </w: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99,021,141</w:t>
            </w:r>
          </w:p>
        </w:tc>
        <w:tc>
          <w:tcPr>
            <w:tcW w:w="24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76,735,800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(CONTINUED)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Basis Point</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Current</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Spread</w:t>
            </w: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Par/</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Industry</w:t>
            </w:r>
          </w:p>
        </w:tc>
        <w:tc>
          <w:tcPr>
            <w:tcW w:w="1160" w:type="dxa"/>
            <w:vAlign w:val="bottom"/>
            <w:gridSpan w:val="2"/>
            <w:vMerge w:val="continue"/>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Above</w:t>
            </w:r>
          </w:p>
        </w:tc>
        <w:tc>
          <w:tcPr>
            <w:tcW w:w="1000" w:type="dxa"/>
            <w:vAlign w:val="bottom"/>
            <w:gridSpan w:val="2"/>
            <w:vMerge w:val="continue"/>
          </w:tcPr>
          <w:p>
            <w:pPr>
              <w:spacing w:after="0"/>
              <w:rPr>
                <w:sz w:val="12"/>
                <w:szCs w:val="12"/>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10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98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Coupon</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xml:space="preserve">Index </w:t>
            </w:r>
            <w:r>
              <w:rPr>
                <w:rFonts w:ascii="Arial" w:cs="Arial" w:eastAsia="Arial" w:hAnsi="Arial"/>
                <w:sz w:val="12"/>
                <w:szCs w:val="12"/>
                <w:b w:val="1"/>
                <w:bCs w:val="1"/>
                <w:color w:val="auto"/>
                <w:w w:val="97"/>
              </w:rPr>
              <w:t>(4)</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w:t>
            </w:r>
          </w:p>
        </w:tc>
        <w:tc>
          <w:tcPr>
            <w:tcW w:w="32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in Controlled, Affiliated Portfolio Companies—4.7%</w:t>
            </w:r>
          </w:p>
        </w:tc>
        <w:tc>
          <w:tcPr>
            <w:tcW w:w="660" w:type="dxa"/>
            <w:vAlign w:val="bottom"/>
            <w:tcBorders>
              <w:top w:val="single" w:sz="8" w:color="auto"/>
            </w:tcBorders>
            <w:shd w:val="clear" w:color="auto" w:fill="CCEEFF"/>
          </w:tcPr>
          <w:p>
            <w:pPr>
              <w:jc w:val="right"/>
              <w:ind w:right="189"/>
              <w:spacing w:after="0" w:line="129" w:lineRule="exact"/>
              <w:rPr>
                <w:sz w:val="20"/>
                <w:szCs w:val="20"/>
                <w:color w:val="auto"/>
              </w:rPr>
            </w:pPr>
            <w:r>
              <w:rPr>
                <w:rFonts w:ascii="Arial" w:cs="Arial" w:eastAsia="Arial" w:hAnsi="Arial"/>
                <w:sz w:val="12"/>
                <w:szCs w:val="12"/>
                <w:b w:val="1"/>
                <w:bCs w:val="1"/>
                <w:color w:val="auto"/>
              </w:rPr>
              <w:t>(1),(2)</w:t>
            </w:r>
          </w:p>
        </w:tc>
        <w:tc>
          <w:tcPr>
            <w:tcW w:w="18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Debt—1.6%</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06/30/2020</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9,250,000</w:t>
            </w: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9,250,000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9,556,385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Universal Pegasus International, LLC </w:t>
            </w:r>
            <w:r>
              <w:rPr>
                <w:rFonts w:ascii="Arial" w:cs="Arial" w:eastAsia="Arial" w:hAnsi="Arial"/>
                <w:sz w:val="12"/>
                <w:szCs w:val="12"/>
                <w:color w:val="auto"/>
              </w:rPr>
              <w:t>(9)</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12/31/2015</w:t>
            </w:r>
          </w:p>
        </w:tc>
        <w:tc>
          <w:tcPr>
            <w:tcW w:w="18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1,916,667</w:t>
            </w:r>
          </w:p>
        </w:tc>
        <w:tc>
          <w:tcPr>
            <w:tcW w:w="32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1,787,941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1,916,667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11,037,941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11,473,052</w:t>
            </w:r>
          </w:p>
        </w:tc>
        <w:tc>
          <w:tcPr>
            <w:tcW w:w="0" w:type="dxa"/>
            <w:vAlign w:val="bottom"/>
          </w:tcPr>
          <w:p>
            <w:pPr>
              <w:spacing w:after="0"/>
              <w:rPr>
                <w:sz w:val="1"/>
                <w:szCs w:val="1"/>
                <w:color w:val="auto"/>
              </w:rPr>
            </w:pPr>
          </w:p>
        </w:tc>
      </w:tr>
      <w:tr>
        <w:trPr>
          <w:trHeight w:val="156"/>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Debt—2.4%</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Universal Pegasus International, LLC</w:t>
            </w:r>
          </w:p>
        </w:tc>
        <w:tc>
          <w:tcPr>
            <w:tcW w:w="6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12/31/2015</w:t>
            </w: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15.00%</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4"/>
              </w:rPr>
              <w:t>16,615,645</w:t>
            </w:r>
          </w:p>
        </w:tc>
        <w:tc>
          <w:tcPr>
            <w:tcW w:w="3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14,709,502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16,449,489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98"/>
              </w:rPr>
              <w:t>(PIK 15.00%)</w:t>
            </w: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Notes—0.3%</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6/30/2020</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2,250,000</w:t>
            </w: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2,250,000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1,961,667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Preferred Equity—0.4%</w:t>
            </w:r>
            <w:r>
              <w:rPr>
                <w:rFonts w:ascii="Arial" w:cs="Arial" w:eastAsia="Arial" w:hAnsi="Arial"/>
                <w:sz w:val="12"/>
                <w:szCs w:val="12"/>
                <w:b w:val="1"/>
                <w:bCs w:val="1"/>
                <w:color w:val="auto"/>
              </w:rPr>
              <w:t>(6)</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14.00%</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2,000</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1,981,948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60" w:type="dxa"/>
            <w:vAlign w:val="bottom"/>
            <w:gridSpan w:val="2"/>
          </w:tcPr>
          <w:p>
            <w:pPr>
              <w:spacing w:after="0" w:line="130" w:lineRule="exact"/>
              <w:rPr>
                <w:sz w:val="20"/>
                <w:szCs w:val="20"/>
                <w:color w:val="auto"/>
              </w:rPr>
            </w:pPr>
            <w:r>
              <w:rPr>
                <w:rFonts w:ascii="Arial" w:cs="Arial" w:eastAsia="Arial" w:hAnsi="Arial"/>
                <w:sz w:val="14"/>
                <w:szCs w:val="14"/>
                <w:color w:val="auto"/>
              </w:rPr>
              <w:t>Universal Pegasus International Holdings, Inc.</w:t>
            </w:r>
          </w:p>
        </w:tc>
        <w:tc>
          <w:tcPr>
            <w:tcW w:w="8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8.00%</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376,988</w:t>
            </w:r>
          </w:p>
        </w:tc>
        <w:tc>
          <w:tcPr>
            <w:tcW w:w="10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34,420,612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1,102,555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gridSpan w:val="2"/>
          </w:tcPr>
          <w:p>
            <w:pPr>
              <w:ind w:left="140"/>
              <w:spacing w:after="0"/>
              <w:rPr>
                <w:sz w:val="20"/>
                <w:szCs w:val="20"/>
                <w:color w:val="auto"/>
              </w:rPr>
            </w:pPr>
            <w:r>
              <w:rPr>
                <w:rFonts w:ascii="Arial" w:cs="Arial" w:eastAsia="Arial" w:hAnsi="Arial"/>
                <w:sz w:val="14"/>
                <w:szCs w:val="14"/>
                <w:color w:val="auto"/>
              </w:rPr>
              <w:t>(Universal Pegasus International, LLC)</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36,420,612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3,084,503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Common Equity—0.0</w:t>
            </w:r>
            <w:r>
              <w:rPr>
                <w:rFonts w:ascii="Arial" w:cs="Arial" w:eastAsia="Arial" w:hAnsi="Arial"/>
                <w:sz w:val="14"/>
                <w:szCs w:val="14"/>
                <w:color w:val="auto"/>
              </w:rPr>
              <w:t>%</w:t>
            </w:r>
            <w:r>
              <w:rPr>
                <w:rFonts w:ascii="Arial" w:cs="Arial" w:eastAsia="Arial" w:hAnsi="Arial"/>
                <w:sz w:val="12"/>
                <w:szCs w:val="12"/>
                <w:color w:val="auto"/>
              </w:rPr>
              <w:t>(6)</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94"/>
              </w:rPr>
              <w:t>Total Investments in Controlled, Affiliated Portfolio Companies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64,418,155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32,968,711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Investments—154.6%</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1,091,517,885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1,078,175,553</w:t>
            </w:r>
          </w:p>
        </w:tc>
        <w:tc>
          <w:tcPr>
            <w:tcW w:w="0" w:type="dxa"/>
            <w:vAlign w:val="bottom"/>
          </w:tcPr>
          <w:p>
            <w:pPr>
              <w:spacing w:after="0"/>
              <w:rPr>
                <w:sz w:val="1"/>
                <w:szCs w:val="1"/>
                <w:color w:val="auto"/>
              </w:rPr>
            </w:pPr>
          </w:p>
        </w:tc>
      </w:tr>
      <w:tr>
        <w:trPr>
          <w:trHeight w:val="156"/>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and Cash Equivalents—8.4%</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2,667,511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2,667,511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BlackRock Liquidity Funds, Temp Cash, Institutional Shares</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2,446,232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2,446,232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BNY Mellon Cash Reserve</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53,327,086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53,327,086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Cash and Cash Equivalents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58,440,829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58,440,829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Cash and Cash Equivalents—163.0%</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$ 1,149,958,714</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1,136,616,382</w:t>
            </w: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Assets—(63.0%)</w:t>
            </w: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8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94"/>
              </w:rPr>
              <w:t>(439,110,183)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697,506,199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20" w:hanging="332"/>
        <w:spacing w:after="0" w:line="248" w:lineRule="auto"/>
        <w:tabs>
          <w:tab w:leader="none" w:pos="3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0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or “P” rate.</w:t>
      </w:r>
    </w:p>
    <w:p>
      <w:pPr>
        <w:ind w:left="340" w:right="6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Coupon is payable in cash and/or PIK.</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investments). This security does not have a basis point spread above an index.</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U.S.</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Investment is held through PNNT CI (Galls) Prime Investment Holdings, LLC, a consolidated subsidiary.</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Investment is held through PNNT Acentia LLC, a consolidated subsidiary.</w:t>
      </w:r>
    </w:p>
    <w:p>
      <w:pPr>
        <w:spacing w:after="0"/>
        <w:rPr>
          <w:sz w:val="20"/>
          <w:szCs w:val="20"/>
          <w:color w:val="auto"/>
        </w:rPr>
      </w:pPr>
      <w:r>
        <w:rPr>
          <w:rFonts w:ascii="Arial" w:cs="Arial" w:eastAsia="Arial" w:hAnsi="Arial"/>
          <w:sz w:val="14"/>
          <w:szCs w:val="14"/>
          <w:color w:val="auto"/>
        </w:rPr>
        <w:t>(13)Investment is held through PNNT Transportation 100 Holdco, L.L.C., a consolidated subsidiary.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Basis Point</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Current</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Spread</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Par/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0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Maturity</w:t>
            </w:r>
          </w:p>
        </w:tc>
        <w:tc>
          <w:tcPr>
            <w:tcW w:w="15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Industry</w:t>
            </w:r>
          </w:p>
        </w:tc>
        <w:tc>
          <w:tcPr>
            <w:tcW w:w="1080" w:type="dxa"/>
            <w:vAlign w:val="bottom"/>
            <w:gridSpan w:val="2"/>
            <w:vMerge w:val="continue"/>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Above</w:t>
            </w: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680" w:type="dxa"/>
            <w:vAlign w:val="bottom"/>
            <w:gridSpan w:val="3"/>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Coupon</w:t>
            </w: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900" w:type="dxa"/>
            <w:vAlign w:val="bottom"/>
            <w:vMerge w:val="restart"/>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 Non-Controlled, Non-Affiliated Portfolio</w:t>
            </w: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w:t>
            </w:r>
          </w:p>
        </w:tc>
        <w:tc>
          <w:tcPr>
            <w:tcW w:w="2900" w:type="dxa"/>
            <w:vAlign w:val="bottom"/>
            <w:vMerge w:val="continue"/>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72"/>
              </w:rPr>
              <w:t>Companies—130.3%</w:t>
            </w:r>
          </w:p>
        </w:tc>
        <w:tc>
          <w:tcPr>
            <w:tcW w:w="1380" w:type="dxa"/>
            <w:vAlign w:val="bottom"/>
            <w:shd w:val="clear" w:color="auto" w:fill="CCEEFF"/>
          </w:tcPr>
          <w:p>
            <w:pPr>
              <w:jc w:val="right"/>
              <w:ind w:right="868"/>
              <w:spacing w:after="0" w:line="129" w:lineRule="exact"/>
              <w:rPr>
                <w:sz w:val="20"/>
                <w:szCs w:val="20"/>
                <w:color w:val="auto"/>
              </w:rPr>
            </w:pPr>
            <w:r>
              <w:rPr>
                <w:rFonts w:ascii="Arial" w:cs="Arial" w:eastAsia="Arial" w:hAnsi="Arial"/>
                <w:sz w:val="12"/>
                <w:szCs w:val="12"/>
                <w:b w:val="1"/>
                <w:bCs w:val="1"/>
                <w:color w:val="auto"/>
              </w:rPr>
              <w:t>(1),(2)</w:t>
            </w:r>
          </w:p>
        </w:tc>
        <w:tc>
          <w:tcPr>
            <w:tcW w:w="160" w:type="dxa"/>
            <w:vAlign w:val="bottom"/>
            <w:vMerge w:val="continue"/>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Debt—41.7%</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Aircell Business Aviation Services LLC</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06/21/2017</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Communications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11.25%</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L+975</w:t>
            </w:r>
            <w:r>
              <w:rPr>
                <w:rFonts w:ascii="Arial" w:cs="Arial" w:eastAsia="Arial" w:hAnsi="Arial"/>
                <w:sz w:val="12"/>
                <w:szCs w:val="12"/>
                <w:color w:val="auto"/>
              </w:rPr>
              <w:t>(8)</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14,906,250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  14,332,682</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5"/>
              </w:rPr>
              <w:t>$  14,906,250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American Surgical Holdings, Inc.</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03/23/2015</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14.00%</w:t>
            </w:r>
          </w:p>
        </w:tc>
        <w:tc>
          <w:tcPr>
            <w:tcW w:w="10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L+1,000</w:t>
            </w:r>
            <w:r>
              <w:rPr>
                <w:rFonts w:ascii="Arial" w:cs="Arial" w:eastAsia="Arial" w:hAnsi="Arial"/>
                <w:sz w:val="12"/>
                <w:szCs w:val="12"/>
                <w:color w:val="auto"/>
              </w:rPr>
              <w:t>(8)</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6"/>
              </w:rPr>
              <w:t>17,811,828</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17,441,366</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17,811,828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02/07/2014</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Energy/Utilities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3.68%</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L+325</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2,000,000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1,757,029</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1,973,334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CEVA Group PLC</w:t>
            </w:r>
            <w:r>
              <w:rPr>
                <w:rFonts w:ascii="Arial" w:cs="Arial" w:eastAsia="Arial" w:hAnsi="Arial"/>
                <w:sz w:val="12"/>
                <w:szCs w:val="12"/>
                <w:color w:val="auto"/>
              </w:rPr>
              <w:t>(5),(10)</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10/01/2016</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Cargo Transport</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11.63%</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7,500,000</w:t>
            </w:r>
          </w:p>
        </w:tc>
        <w:tc>
          <w:tcPr>
            <w:tcW w:w="12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7,355,237</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7,687,500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CEVA Group PLC</w:t>
            </w:r>
            <w:r>
              <w:rPr>
                <w:rFonts w:ascii="Arial" w:cs="Arial" w:eastAsia="Arial" w:hAnsi="Arial"/>
                <w:sz w:val="12"/>
                <w:szCs w:val="12"/>
                <w:color w:val="auto"/>
              </w:rPr>
              <w:t>(5),(10)</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04/01/2018</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Cargo Transport</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990,089</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880,000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Columbus International, Inc.</w:t>
            </w:r>
            <w:r>
              <w:rPr>
                <w:rFonts w:ascii="Arial" w:cs="Arial" w:eastAsia="Arial" w:hAnsi="Arial"/>
                <w:sz w:val="12"/>
                <w:szCs w:val="12"/>
                <w:color w:val="auto"/>
              </w:rPr>
              <w:t>(5), (10)</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11/20/2014</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Communications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10,000,000</w:t>
            </w:r>
          </w:p>
        </w:tc>
        <w:tc>
          <w:tcPr>
            <w:tcW w:w="12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10,000,000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11,100,000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Good Sam Enterprises, LLC</w:t>
            </w:r>
            <w:r>
              <w:rPr>
                <w:rFonts w:ascii="Arial" w:cs="Arial" w:eastAsia="Arial" w:hAnsi="Arial"/>
                <w:sz w:val="12"/>
                <w:szCs w:val="12"/>
                <w:color w:val="auto"/>
              </w:rPr>
              <w:t>(5)</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12/01/2016</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Consumer Products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12,000,000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11,795,443</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12,720,000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Hanley-Wood, L.L.C.</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01/13/2017</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8.00%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L+650</w:t>
            </w:r>
            <w:r>
              <w:rPr>
                <w:rFonts w:ascii="Arial" w:cs="Arial" w:eastAsia="Arial" w:hAnsi="Arial"/>
                <w:sz w:val="12"/>
                <w:szCs w:val="12"/>
                <w:color w:val="auto"/>
              </w:rPr>
              <w:t>(8)</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1,752,896</w:t>
            </w:r>
          </w:p>
        </w:tc>
        <w:tc>
          <w:tcPr>
            <w:tcW w:w="12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1,752,896</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1,752,896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IDQ Holdings, Inc. </w:t>
            </w:r>
            <w:r>
              <w:rPr>
                <w:rFonts w:ascii="Arial" w:cs="Arial" w:eastAsia="Arial" w:hAnsi="Arial"/>
                <w:sz w:val="12"/>
                <w:szCs w:val="12"/>
                <w:color w:val="auto"/>
              </w:rPr>
              <w:t>(5)</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04/01/2017</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5"/>
              </w:rPr>
              <w:t>Auto Sector</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11,500,000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11,288,165</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12,218,750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Instant Web, Inc.</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08/07/2014</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3"/>
              </w:rPr>
              <w:t>Printing and</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14.50%</w:t>
            </w:r>
          </w:p>
        </w:tc>
        <w:tc>
          <w:tcPr>
            <w:tcW w:w="10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L+950</w:t>
            </w:r>
            <w:r>
              <w:rPr>
                <w:rFonts w:ascii="Arial" w:cs="Arial" w:eastAsia="Arial" w:hAnsi="Arial"/>
                <w:sz w:val="12"/>
                <w:szCs w:val="12"/>
                <w:color w:val="auto"/>
              </w:rPr>
              <w:t>(8)</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6"/>
              </w:rPr>
              <w:t>24,115,645</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23,829,738</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23,802,142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Publishing</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Interactive Health Solutions, Inc.</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6"/>
              </w:rPr>
              <w:t>10/04/2016</w:t>
            </w: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L+950</w:t>
            </w:r>
            <w:r>
              <w:rPr>
                <w:rFonts w:ascii="Arial" w:cs="Arial" w:eastAsia="Arial" w:hAnsi="Arial"/>
                <w:sz w:val="12"/>
                <w:szCs w:val="12"/>
                <w:color w:val="auto"/>
              </w:rPr>
              <w:t>(8)</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96"/>
              </w:rPr>
              <w:t>18,525,000</w:t>
            </w:r>
          </w:p>
        </w:tc>
        <w:tc>
          <w:tcPr>
            <w:tcW w:w="122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18,165,492</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18,571,313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Jacuzzi Brands Corp.</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02/07/2014</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3"/>
              </w:rPr>
              <w:t>Home and Office</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2.28%</w:t>
            </w:r>
          </w:p>
        </w:tc>
        <w:tc>
          <w:tcPr>
            <w:tcW w:w="104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L+225</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9,598,649</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9,598,649</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6,371,103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Furnishings,</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Housewares and</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Durable Consumer</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Products</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K2 Pure Solutions NoCal, L.P.</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6"/>
              </w:rPr>
              <w:t>09/10/2015</w:t>
            </w: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0"/>
              </w:rPr>
              <w:t>Chemicals, Plastics</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10.00%</w:t>
            </w:r>
          </w:p>
        </w:tc>
        <w:tc>
          <w:tcPr>
            <w:tcW w:w="10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L+775</w:t>
            </w:r>
            <w:r>
              <w:rPr>
                <w:rFonts w:ascii="Arial" w:cs="Arial" w:eastAsia="Arial" w:hAnsi="Arial"/>
                <w:sz w:val="12"/>
                <w:szCs w:val="12"/>
                <w:color w:val="auto"/>
              </w:rPr>
              <w:t>(8)</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96"/>
              </w:rPr>
              <w:t>18,952,500</w:t>
            </w:r>
          </w:p>
        </w:tc>
        <w:tc>
          <w:tcPr>
            <w:tcW w:w="122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18,216,865</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19,236,788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0"/>
              </w:rPr>
              <w:t>and Rubber</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Kadmon Pharmaceuticals, LLC</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10/31/2012</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15.00%</w:t>
            </w:r>
          </w:p>
        </w:tc>
        <w:tc>
          <w:tcPr>
            <w:tcW w:w="10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L+1,300</w:t>
            </w:r>
            <w:r>
              <w:rPr>
                <w:rFonts w:ascii="Arial" w:cs="Arial" w:eastAsia="Arial" w:hAnsi="Arial"/>
                <w:sz w:val="12"/>
                <w:szCs w:val="12"/>
                <w:color w:val="auto"/>
              </w:rPr>
              <w:t>(8)</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4,931,494</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4,992,740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5,110,409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04/27/2016</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Education</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26,052,632</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25,640,832</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25,857,237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Penton Media, Inc.</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08/01/2014</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6"/>
              </w:rPr>
              <w:t>Other Media</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5.00%</w:t>
            </w:r>
          </w:p>
        </w:tc>
        <w:tc>
          <w:tcPr>
            <w:tcW w:w="10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L+400</w:t>
            </w:r>
            <w:r>
              <w:rPr>
                <w:rFonts w:ascii="Arial" w:cs="Arial" w:eastAsia="Arial" w:hAnsi="Arial"/>
                <w:sz w:val="12"/>
                <w:szCs w:val="12"/>
                <w:color w:val="auto"/>
              </w:rPr>
              <w:t>(8)</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6"/>
              </w:rPr>
              <w:t>37,775,294</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33,971,917</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30,503,550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(PIK 1.00%)</w:t>
            </w: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 Tranche A</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6"/>
              </w:rPr>
              <w:t>12/30/2016</w:t>
            </w: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89"/>
              </w:rPr>
              <w:t>Personal, Food and</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7.50%</w:t>
            </w:r>
          </w:p>
        </w:tc>
        <w:tc>
          <w:tcPr>
            <w:tcW w:w="10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L+600</w:t>
            </w:r>
            <w:r>
              <w:rPr>
                <w:rFonts w:ascii="Arial" w:cs="Arial" w:eastAsia="Arial" w:hAnsi="Arial"/>
                <w:sz w:val="12"/>
                <w:szCs w:val="12"/>
                <w:color w:val="auto"/>
              </w:rPr>
              <w:t>(8)</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1,552,846</w:t>
            </w:r>
          </w:p>
        </w:tc>
        <w:tc>
          <w:tcPr>
            <w:tcW w:w="122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1,533,687</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1,556,728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Miscellaneous Services</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Pre-Paid Legal Services, Inc., Tranche B</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12/30/2016</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89"/>
              </w:rPr>
              <w:t>Personal, Food and</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11.00%</w:t>
            </w:r>
          </w:p>
        </w:tc>
        <w:tc>
          <w:tcPr>
            <w:tcW w:w="10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L+950</w:t>
            </w:r>
            <w:r>
              <w:rPr>
                <w:rFonts w:ascii="Arial" w:cs="Arial" w:eastAsia="Arial" w:hAnsi="Arial"/>
                <w:sz w:val="12"/>
                <w:szCs w:val="12"/>
                <w:color w:val="auto"/>
              </w:rPr>
              <w:t>(8)</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6"/>
              </w:rPr>
              <w:t>35,000,000</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34,118,800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35,350,000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Miscellaneous Services</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w:t>
            </w:r>
            <w:r>
              <w:rPr>
                <w:rFonts w:ascii="Arial" w:cs="Arial" w:eastAsia="Arial" w:hAnsi="Arial"/>
                <w:sz w:val="12"/>
                <w:szCs w:val="12"/>
                <w:color w:val="auto"/>
              </w:rPr>
              <w:t>(9)</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12/16/2012</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1.36%</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133,603</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133,603</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133,603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01/29/2018</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Telecommunications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9.00%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L+750</w:t>
            </w:r>
            <w:r>
              <w:rPr>
                <w:rFonts w:ascii="Arial" w:cs="Arial" w:eastAsia="Arial" w:hAnsi="Arial"/>
                <w:sz w:val="12"/>
                <w:szCs w:val="12"/>
                <w:color w:val="auto"/>
              </w:rPr>
              <w:t>(8)</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850,000</w:t>
            </w:r>
          </w:p>
        </w:tc>
        <w:tc>
          <w:tcPr>
            <w:tcW w:w="12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838,369</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01/29/2018</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Telecommunications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13.50%</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L+1,200</w:t>
            </w:r>
            <w:r>
              <w:rPr>
                <w:rFonts w:ascii="Arial" w:cs="Arial" w:eastAsia="Arial" w:hAnsi="Arial"/>
                <w:sz w:val="12"/>
                <w:szCs w:val="12"/>
                <w:color w:val="auto"/>
              </w:rPr>
              <w:t>(8)</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10,625,000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10,338,450</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10,848,126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Worley Claims Services, LLC</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07/06/2017</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7"/>
              </w:rPr>
              <w:t>Insurance</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L+1,100</w:t>
            </w:r>
            <w:r>
              <w:rPr>
                <w:rFonts w:ascii="Arial" w:cs="Arial" w:eastAsia="Arial" w:hAnsi="Arial"/>
                <w:sz w:val="12"/>
                <w:szCs w:val="12"/>
                <w:color w:val="auto"/>
              </w:rPr>
              <w:t>(8)</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14,934,000</w:t>
            </w:r>
          </w:p>
        </w:tc>
        <w:tc>
          <w:tcPr>
            <w:tcW w:w="12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14,934,000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14,859,330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Yonkers Racing Corp.</w:t>
            </w:r>
            <w:r>
              <w:rPr>
                <w:rFonts w:ascii="Arial" w:cs="Arial" w:eastAsia="Arial" w:hAnsi="Arial"/>
                <w:sz w:val="12"/>
                <w:szCs w:val="12"/>
                <w:color w:val="auto"/>
              </w:rPr>
              <w:t>(5)</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6"/>
              </w:rPr>
              <w:t>07/15/2016</w:t>
            </w: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5"/>
              </w:rPr>
              <w:t>Hotels, Motels, Inns</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11.38%</w:t>
            </w:r>
          </w:p>
        </w:tc>
        <w:tc>
          <w:tcPr>
            <w:tcW w:w="1040" w:type="dxa"/>
            <w:vAlign w:val="bottom"/>
            <w:gridSpan w:val="2"/>
            <w:shd w:val="clear" w:color="auto" w:fill="CCEEFF"/>
          </w:tcPr>
          <w:p>
            <w:pPr>
              <w:jc w:val="right"/>
              <w:ind w:right="42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4,500,000</w:t>
            </w:r>
          </w:p>
        </w:tc>
        <w:tc>
          <w:tcPr>
            <w:tcW w:w="122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4,401,515</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4,860,000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and Gaming</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277,427,564</w:t>
            </w:r>
          </w:p>
        </w:tc>
        <w:tc>
          <w:tcPr>
            <w:tcW w:w="240" w:type="dxa"/>
            <w:vAlign w:val="bottom"/>
          </w:tcPr>
          <w:p>
            <w:pPr>
              <w:spacing w:after="0"/>
              <w:rPr>
                <w:sz w:val="14"/>
                <w:szCs w:val="14"/>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278,960,887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Debt—25.3%</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American Gilsonite Company</w:t>
            </w:r>
            <w:r>
              <w:rPr>
                <w:rFonts w:ascii="Arial" w:cs="Arial" w:eastAsia="Arial" w:hAnsi="Arial"/>
                <w:sz w:val="12"/>
                <w:szCs w:val="12"/>
                <w:color w:val="auto"/>
              </w:rPr>
              <w:t>(5)</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09/01/2017</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6"/>
              </w:rPr>
              <w:t>Diversified Natural</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11.50%</w:t>
            </w:r>
          </w:p>
        </w:tc>
        <w:tc>
          <w:tcPr>
            <w:tcW w:w="1040" w:type="dxa"/>
            <w:vAlign w:val="bottom"/>
            <w:gridSpan w:val="2"/>
          </w:tcPr>
          <w:p>
            <w:pPr>
              <w:jc w:val="right"/>
              <w:ind w:right="42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6"/>
              </w:rPr>
              <w:t>25,400,000</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25,400,000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26,098,500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8"/>
              </w:rPr>
              <w:t>Resources, Precious</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Metals and Minerals</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02/07/2015</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Energy/Utilities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6.33%</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L+600</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13,600,000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13,378,432</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12,729,600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02/07/2015</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Energy/Utilities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7.36%</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L+700</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12,000,000</w:t>
            </w:r>
          </w:p>
        </w:tc>
        <w:tc>
          <w:tcPr>
            <w:tcW w:w="12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11,866,485</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11,232,000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DirectBuy Holdings, Inc.</w:t>
            </w:r>
            <w:r>
              <w:rPr>
                <w:rFonts w:ascii="Arial" w:cs="Arial" w:eastAsia="Arial" w:hAnsi="Arial"/>
                <w:sz w:val="12"/>
                <w:szCs w:val="12"/>
                <w:color w:val="auto"/>
              </w:rPr>
              <w:t>(5), (6)</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02/01/2017</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Consumer Products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34,000,000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31,964,822</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10,880,000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Eureka Hunter Pipeline, LLC</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08/16/2018</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Energy/Utilities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45,000,000</w:t>
            </w:r>
          </w:p>
        </w:tc>
        <w:tc>
          <w:tcPr>
            <w:tcW w:w="12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44,543,688</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45,000,000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Greatwide Logistics Services, L.L.C.</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6"/>
              </w:rPr>
              <w:t>03/01/2014</w:t>
            </w: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Cargo Transport</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11.00%</w:t>
            </w:r>
          </w:p>
        </w:tc>
        <w:tc>
          <w:tcPr>
            <w:tcW w:w="10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L+700</w:t>
            </w:r>
            <w:r>
              <w:rPr>
                <w:rFonts w:ascii="Arial" w:cs="Arial" w:eastAsia="Arial" w:hAnsi="Arial"/>
                <w:sz w:val="12"/>
                <w:szCs w:val="12"/>
                <w:color w:val="auto"/>
              </w:rPr>
              <w:t>(8)</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3,184,219</w:t>
            </w:r>
          </w:p>
        </w:tc>
        <w:tc>
          <w:tcPr>
            <w:tcW w:w="122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3,184,222</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2,292,640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(PIK 11.00%)</w:t>
            </w: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Paradigm Management Services, LLC</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07/31/2017</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12.50%</w:t>
            </w:r>
          </w:p>
        </w:tc>
        <w:tc>
          <w:tcPr>
            <w:tcW w:w="10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L+1,100</w:t>
            </w:r>
            <w:r>
              <w:rPr>
                <w:rFonts w:ascii="Arial" w:cs="Arial" w:eastAsia="Arial" w:hAnsi="Arial"/>
                <w:sz w:val="12"/>
                <w:szCs w:val="12"/>
                <w:color w:val="auto"/>
              </w:rPr>
              <w:t>(8)</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6"/>
              </w:rPr>
              <w:t>20,512,821</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20,059,979</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20,512,821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12/15/2014</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9.50%</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L+650</w:t>
            </w:r>
            <w:r>
              <w:rPr>
                <w:rFonts w:ascii="Arial" w:cs="Arial" w:eastAsia="Arial" w:hAnsi="Arial"/>
                <w:sz w:val="12"/>
                <w:szCs w:val="12"/>
                <w:color w:val="auto"/>
              </w:rPr>
              <w:t>(8)</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2,752,666</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2,752,666</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2,584,753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Questex Media Group LLC, Term Loan B</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12/15/2015</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6"/>
              </w:rPr>
              <w:t>Other Media</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11.50%</w:t>
            </w:r>
          </w:p>
        </w:tc>
        <w:tc>
          <w:tcPr>
            <w:tcW w:w="10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L+850</w:t>
            </w:r>
            <w:r>
              <w:rPr>
                <w:rFonts w:ascii="Arial" w:cs="Arial" w:eastAsia="Arial" w:hAnsi="Arial"/>
                <w:sz w:val="12"/>
                <w:szCs w:val="12"/>
                <w:color w:val="auto"/>
              </w:rPr>
              <w:t>(8)</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2,230,508</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2,230,508</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2,002,996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(PIK 11.50%)</w:t>
            </w: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Realogy Corp.</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6"/>
              </w:rPr>
              <w:t>10/15/2017</w:t>
            </w: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7"/>
              </w:rPr>
              <w:t>Buildings and</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13.50%</w:t>
            </w:r>
          </w:p>
        </w:tc>
        <w:tc>
          <w:tcPr>
            <w:tcW w:w="1040" w:type="dxa"/>
            <w:vAlign w:val="bottom"/>
            <w:gridSpan w:val="2"/>
            <w:shd w:val="clear" w:color="auto" w:fill="CCEEFF"/>
          </w:tcPr>
          <w:p>
            <w:pPr>
              <w:jc w:val="right"/>
              <w:ind w:right="42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96"/>
              </w:rPr>
              <w:t>10,000,000</w:t>
            </w:r>
          </w:p>
        </w:tc>
        <w:tc>
          <w:tcPr>
            <w:tcW w:w="122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10,000,000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10,062,500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Real Estate</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(CONTINUED) SEPTEMBER 30, 2012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Basis Point</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right"/>
              <w:ind w:right="488"/>
              <w:spacing w:after="0"/>
              <w:rPr>
                <w:sz w:val="20"/>
                <w:szCs w:val="20"/>
                <w:color w:val="auto"/>
              </w:rPr>
            </w:pPr>
            <w:r>
              <w:rPr>
                <w:rFonts w:ascii="Arial" w:cs="Arial" w:eastAsia="Arial" w:hAnsi="Arial"/>
                <w:sz w:val="14"/>
                <w:szCs w:val="14"/>
                <w:b w:val="1"/>
                <w:bCs w:val="1"/>
                <w:color w:val="auto"/>
              </w:rPr>
              <w:t>Current</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Spread</w:t>
            </w: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Par/</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0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Maturity</w:t>
            </w:r>
          </w:p>
        </w:tc>
        <w:tc>
          <w:tcPr>
            <w:tcW w:w="15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Industry</w:t>
            </w:r>
          </w:p>
        </w:tc>
        <w:tc>
          <w:tcPr>
            <w:tcW w:w="1160" w:type="dxa"/>
            <w:vAlign w:val="bottom"/>
            <w:gridSpan w:val="2"/>
            <w:vMerge w:val="continue"/>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Above</w:t>
            </w:r>
          </w:p>
        </w:tc>
        <w:tc>
          <w:tcPr>
            <w:tcW w:w="1000" w:type="dxa"/>
            <w:vAlign w:val="bottom"/>
            <w:gridSpan w:val="2"/>
            <w:vMerge w:val="continue"/>
          </w:tcPr>
          <w:p>
            <w:pPr>
              <w:spacing w:after="0"/>
              <w:rPr>
                <w:sz w:val="12"/>
                <w:szCs w:val="12"/>
                <w:color w:val="auto"/>
              </w:rPr>
            </w:pP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760" w:type="dxa"/>
            <w:vAlign w:val="bottom"/>
            <w:gridSpan w:val="3"/>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6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Coupon</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04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87"/>
              </w:rPr>
              <w:t>ROC Finance</w:t>
            </w:r>
          </w:p>
        </w:tc>
        <w:tc>
          <w:tcPr>
            <w:tcW w:w="2980" w:type="dxa"/>
            <w:vAlign w:val="bottom"/>
            <w:tcBorders>
              <w:top w:val="single" w:sz="8" w:color="CCEEFF"/>
            </w:tcBorders>
            <w:shd w:val="clear" w:color="auto" w:fill="CCEEFF"/>
          </w:tcPr>
          <w:p>
            <w:pPr>
              <w:ind w:left="60"/>
              <w:spacing w:after="0" w:line="123" w:lineRule="exact"/>
              <w:rPr>
                <w:sz w:val="20"/>
                <w:szCs w:val="20"/>
                <w:color w:val="auto"/>
              </w:rPr>
            </w:pPr>
            <w:r>
              <w:rPr>
                <w:rFonts w:ascii="Arial" w:cs="Arial" w:eastAsia="Arial" w:hAnsi="Arial"/>
                <w:sz w:val="14"/>
                <w:szCs w:val="14"/>
                <w:color w:val="auto"/>
              </w:rPr>
              <w:t>LLC and ROC Finance 1 Corp.</w:t>
            </w:r>
          </w:p>
        </w:tc>
        <w:tc>
          <w:tcPr>
            <w:tcW w:w="7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6"/>
              </w:rPr>
              <w:t>09/01/2018</w:t>
            </w:r>
          </w:p>
        </w:tc>
        <w:tc>
          <w:tcPr>
            <w:tcW w:w="32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4"/>
              </w:rPr>
              <w:t>Hotels, Motels,</w:t>
            </w:r>
          </w:p>
        </w:tc>
        <w:tc>
          <w:tcPr>
            <w:tcW w:w="1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12.13</w:t>
            </w:r>
          </w:p>
        </w:tc>
        <w:tc>
          <w:tcPr>
            <w:tcW w:w="460" w:type="dxa"/>
            <w:vAlign w:val="bottom"/>
            <w:tcBorders>
              <w:top w:val="single" w:sz="8" w:color="CCEEFF"/>
            </w:tcBorders>
            <w:shd w:val="clear" w:color="auto" w:fill="CCEEFF"/>
          </w:tcPr>
          <w:p>
            <w:pPr>
              <w:jc w:val="right"/>
              <w:ind w:right="268"/>
              <w:spacing w:after="0" w:line="123" w:lineRule="exact"/>
              <w:rPr>
                <w:sz w:val="20"/>
                <w:szCs w:val="20"/>
                <w:color w:val="auto"/>
              </w:rPr>
            </w:pPr>
            <w:r>
              <w:rPr>
                <w:rFonts w:ascii="Arial" w:cs="Arial" w:eastAsia="Arial" w:hAnsi="Arial"/>
                <w:sz w:val="14"/>
                <w:szCs w:val="14"/>
                <w:color w:val="auto"/>
                <w:w w:val="79"/>
              </w:rPr>
              <w:t>%</w:t>
            </w:r>
          </w:p>
        </w:tc>
        <w:tc>
          <w:tcPr>
            <w:tcW w:w="700" w:type="dxa"/>
            <w:vAlign w:val="bottom"/>
            <w:tcBorders>
              <w:top w:val="single" w:sz="8" w:color="auto"/>
            </w:tcBorders>
            <w:shd w:val="clear" w:color="auto" w:fill="CCEEFF"/>
          </w:tcPr>
          <w:p>
            <w:pPr>
              <w:ind w:left="480"/>
              <w:spacing w:after="0" w:line="123"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4"/>
              </w:rPr>
              <w:t>16,000,000</w:t>
            </w:r>
          </w:p>
        </w:tc>
        <w:tc>
          <w:tcPr>
            <w:tcW w:w="3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15,752,822</w:t>
            </w:r>
          </w:p>
        </w:tc>
        <w:tc>
          <w:tcPr>
            <w:tcW w:w="24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18,560,000</w:t>
            </w: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3"/>
              </w:rPr>
              <w:t>Inns and Gaming</w:t>
            </w: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TransFirst Holdings, Inc.</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06/15/2015</w:t>
            </w:r>
          </w:p>
        </w:tc>
        <w:tc>
          <w:tcPr>
            <w:tcW w:w="15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Financial Services</w:t>
            </w:r>
          </w:p>
        </w:tc>
        <w:tc>
          <w:tcPr>
            <w:tcW w:w="116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6.22%</w:t>
            </w:r>
          </w:p>
        </w:tc>
        <w:tc>
          <w:tcPr>
            <w:tcW w:w="9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L+600</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7,811,488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7,511,344</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7,411,149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188,644,968</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169,366,959</w:t>
            </w:r>
          </w:p>
        </w:tc>
        <w:tc>
          <w:tcPr>
            <w:tcW w:w="0" w:type="dxa"/>
            <w:vAlign w:val="bottom"/>
          </w:tcPr>
          <w:p>
            <w:pPr>
              <w:spacing w:after="0"/>
              <w:rPr>
                <w:sz w:val="1"/>
                <w:szCs w:val="1"/>
                <w:color w:val="auto"/>
              </w:rPr>
            </w:pPr>
          </w:p>
        </w:tc>
      </w:tr>
      <w:tr>
        <w:trPr>
          <w:trHeight w:val="156"/>
        </w:trPr>
        <w:tc>
          <w:tcPr>
            <w:tcW w:w="3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Notes—52.4%</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Acentia, LLC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10/02/2017</w:t>
            </w:r>
          </w:p>
        </w:tc>
        <w:tc>
          <w:tcPr>
            <w:tcW w:w="3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13.75%</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4"/>
              </w:rPr>
              <w:t>19,000,000</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  18,563,943</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5"/>
              </w:rPr>
              <w:t>$  19,000,000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11/15/2015</w:t>
            </w:r>
          </w:p>
        </w:tc>
        <w:tc>
          <w:tcPr>
            <w:tcW w:w="320" w:type="dxa"/>
            <w:vAlign w:val="bottom"/>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Consumer Products</w:t>
            </w:r>
          </w:p>
        </w:tc>
        <w:tc>
          <w:tcPr>
            <w:tcW w:w="116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11.63%</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4"/>
              </w:rPr>
              <w:t>35,552,000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34,172,451</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24,175,360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Alegeus Technologies, LLC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02/15/2019</w:t>
            </w:r>
          </w:p>
        </w:tc>
        <w:tc>
          <w:tcPr>
            <w:tcW w:w="3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3"/>
              </w:rPr>
              <w:t>Financial Services</w:t>
            </w:r>
          </w:p>
        </w:tc>
        <w:tc>
          <w:tcPr>
            <w:tcW w:w="116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12.00%</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8,930,000</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8,754,461</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8,930,000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Convergint Technologies LLC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03/26/2018</w:t>
            </w:r>
          </w:p>
        </w:tc>
        <w:tc>
          <w:tcPr>
            <w:tcW w:w="320" w:type="dxa"/>
            <w:vAlign w:val="bottom"/>
          </w:tcPr>
          <w:p>
            <w:pPr>
              <w:spacing w:after="0"/>
              <w:rPr>
                <w:sz w:val="11"/>
                <w:szCs w:val="11"/>
                <w:color w:val="auto"/>
              </w:rPr>
            </w:pPr>
          </w:p>
        </w:tc>
        <w:tc>
          <w:tcPr>
            <w:tcW w:w="152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12.00%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23,277,586</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22,812,086</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22,812,034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1.00%)</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Diversitech Corporation</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01/29/2017</w:t>
            </w:r>
          </w:p>
        </w:tc>
        <w:tc>
          <w:tcPr>
            <w:tcW w:w="3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7"/>
              </w:rPr>
              <w:t>Manufacturing/</w:t>
            </w:r>
          </w:p>
        </w:tc>
        <w:tc>
          <w:tcPr>
            <w:tcW w:w="1160" w:type="dxa"/>
            <w:vAlign w:val="bottom"/>
            <w:gridSpan w:val="2"/>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13.50%</w:t>
            </w:r>
            <w:r>
              <w:rPr>
                <w:rFonts w:ascii="Arial" w:cs="Arial" w:eastAsia="Arial" w:hAnsi="Arial"/>
                <w:sz w:val="12"/>
                <w:szCs w:val="12"/>
                <w:color w:val="auto"/>
              </w:rPr>
              <w:t>(7)</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11,000,000</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10,836,901</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11,275,000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5"/>
              </w:rPr>
              <w:t>Basic Industry</w:t>
            </w: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Escort, Inc.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06/01/2016</w:t>
            </w:r>
          </w:p>
        </w:tc>
        <w:tc>
          <w:tcPr>
            <w:tcW w:w="320" w:type="dxa"/>
            <w:vAlign w:val="bottom"/>
          </w:tcPr>
          <w:p>
            <w:pPr>
              <w:spacing w:after="0"/>
              <w:rPr>
                <w:sz w:val="11"/>
                <w:szCs w:val="11"/>
                <w:color w:val="auto"/>
              </w:rPr>
            </w:pPr>
          </w:p>
        </w:tc>
        <w:tc>
          <w:tcPr>
            <w:tcW w:w="152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14.75%</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25,254,035</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24,751,548</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25,254,035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2.75%)</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Galls, LLC; Quartermaster Inc.</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03/31/2017</w:t>
            </w:r>
          </w:p>
        </w:tc>
        <w:tc>
          <w:tcPr>
            <w:tcW w:w="3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9"/>
              </w:rPr>
              <w:t>Distribution</w:t>
            </w:r>
          </w:p>
        </w:tc>
        <w:tc>
          <w:tcPr>
            <w:tcW w:w="1160" w:type="dxa"/>
            <w:vAlign w:val="bottom"/>
            <w:gridSpan w:val="2"/>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13.00%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21,797,263</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21,399,764</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21,906,249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(PIK 2.00%)</w:t>
            </w: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JF Acquisition, LLC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06/30/2017</w:t>
            </w:r>
          </w:p>
        </w:tc>
        <w:tc>
          <w:tcPr>
            <w:tcW w:w="320" w:type="dxa"/>
            <w:vAlign w:val="bottom"/>
          </w:tcPr>
          <w:p>
            <w:pPr>
              <w:spacing w:after="0"/>
              <w:rPr>
                <w:sz w:val="11"/>
                <w:szCs w:val="11"/>
                <w:color w:val="auto"/>
              </w:rPr>
            </w:pPr>
          </w:p>
        </w:tc>
        <w:tc>
          <w:tcPr>
            <w:tcW w:w="152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9"/>
              </w:rPr>
              <w:t>Distribution</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14.00%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17,171,374</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16,748,220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17,377,430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2.00%)</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Last Mile Funding Corp.</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06/30/2016</w:t>
            </w:r>
          </w:p>
        </w:tc>
        <w:tc>
          <w:tcPr>
            <w:tcW w:w="3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Cargo Transport</w:t>
            </w:r>
          </w:p>
        </w:tc>
        <w:tc>
          <w:tcPr>
            <w:tcW w:w="1160" w:type="dxa"/>
            <w:vAlign w:val="bottom"/>
            <w:gridSpan w:val="2"/>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14.50%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45,597,139</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44,677,474</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45,095,570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(PIK 2.50%)</w:t>
            </w: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Learning Care Group (US) Inc.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06/30/2016</w:t>
            </w:r>
          </w:p>
        </w:tc>
        <w:tc>
          <w:tcPr>
            <w:tcW w:w="320" w:type="dxa"/>
            <w:vAlign w:val="bottom"/>
          </w:tcPr>
          <w:p>
            <w:pPr>
              <w:spacing w:after="0"/>
              <w:rPr>
                <w:sz w:val="11"/>
                <w:szCs w:val="11"/>
                <w:color w:val="auto"/>
              </w:rPr>
            </w:pPr>
          </w:p>
        </w:tc>
        <w:tc>
          <w:tcPr>
            <w:tcW w:w="152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3"/>
              </w:rPr>
              <w:t>Education</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15.00%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5,277,718</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4,696,436</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4,815,918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15.00%)</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LTI Flexible Products, Inc.</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01/19/2019</w:t>
            </w:r>
          </w:p>
        </w:tc>
        <w:tc>
          <w:tcPr>
            <w:tcW w:w="3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Chemical, Plastic and</w:t>
            </w:r>
          </w:p>
        </w:tc>
        <w:tc>
          <w:tcPr>
            <w:tcW w:w="1160" w:type="dxa"/>
            <w:vAlign w:val="bottom"/>
            <w:gridSpan w:val="2"/>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12.50%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30,000,000</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30,000,000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30,000,000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1"/>
              </w:rPr>
              <w:t>Rubber</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LTI Flexible Products, Inc.</w:t>
            </w:r>
            <w:r>
              <w:rPr>
                <w:rFonts w:ascii="Arial" w:cs="Arial" w:eastAsia="Arial" w:hAnsi="Arial"/>
                <w:sz w:val="12"/>
                <w:szCs w:val="12"/>
                <w:color w:val="auto"/>
              </w:rPr>
              <w:t>(9)</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01/11/2014</w:t>
            </w:r>
          </w:p>
        </w:tc>
        <w:tc>
          <w:tcPr>
            <w:tcW w:w="320" w:type="dxa"/>
            <w:vAlign w:val="bottom"/>
          </w:tcPr>
          <w:p>
            <w:pPr>
              <w:spacing w:after="0"/>
              <w:rPr>
                <w:sz w:val="11"/>
                <w:szCs w:val="11"/>
                <w:color w:val="auto"/>
              </w:rPr>
            </w:pPr>
          </w:p>
        </w:tc>
        <w:tc>
          <w:tcPr>
            <w:tcW w:w="152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2"/>
              </w:rPr>
              <w:t>Chemical, Plastic and</w:t>
            </w:r>
          </w:p>
        </w:tc>
        <w:tc>
          <w:tcPr>
            <w:tcW w:w="1160" w:type="dxa"/>
            <w:vAlign w:val="bottom"/>
            <w:gridSpan w:val="2"/>
          </w:tcPr>
          <w:p>
            <w:pPr>
              <w:jc w:val="right"/>
              <w:ind w:right="46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5,000,000</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4,825,000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Rubber</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Mailsouth, Inc.</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06/15/2017</w:t>
            </w:r>
          </w:p>
        </w:tc>
        <w:tc>
          <w:tcPr>
            <w:tcW w:w="3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4"/>
              </w:rPr>
              <w:t>Printing and Publishing</w:t>
            </w:r>
          </w:p>
        </w:tc>
        <w:tc>
          <w:tcPr>
            <w:tcW w:w="1160" w:type="dxa"/>
            <w:vAlign w:val="bottom"/>
            <w:gridSpan w:val="2"/>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14.50%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15,000,000</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14,632,413</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15,210,000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(PIK 2.00%)</w:t>
            </w: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PAS Technologies, Inc.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05/12/2017</w:t>
            </w:r>
          </w:p>
        </w:tc>
        <w:tc>
          <w:tcPr>
            <w:tcW w:w="320" w:type="dxa"/>
            <w:vAlign w:val="bottom"/>
          </w:tcPr>
          <w:p>
            <w:pPr>
              <w:spacing w:after="0"/>
              <w:rPr>
                <w:sz w:val="11"/>
                <w:szCs w:val="11"/>
                <w:color w:val="auto"/>
              </w:rPr>
            </w:pPr>
          </w:p>
        </w:tc>
        <w:tc>
          <w:tcPr>
            <w:tcW w:w="152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0"/>
              </w:rPr>
              <w:t>Aerospace and Defense</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15.02%</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17,123,218</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16,783,033</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17,123,218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3.02%)</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Prince Mineral Holdings Corp.</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12/03/2016</w:t>
            </w:r>
          </w:p>
        </w:tc>
        <w:tc>
          <w:tcPr>
            <w:tcW w:w="3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7"/>
              </w:rPr>
              <w:t>Mining, Steel, Iron</w:t>
            </w:r>
          </w:p>
        </w:tc>
        <w:tc>
          <w:tcPr>
            <w:tcW w:w="1160" w:type="dxa"/>
            <w:vAlign w:val="bottom"/>
            <w:gridSpan w:val="2"/>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13.50%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26,696,517</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26,263,685</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26,696,517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and Non-Precious</w:t>
            </w:r>
          </w:p>
        </w:tc>
        <w:tc>
          <w:tcPr>
            <w:tcW w:w="116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(PIK 2.00%)</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6"/>
              </w:rPr>
              <w:t>Metals</w:t>
            </w: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Realogy Corp.</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04/15/2018</w:t>
            </w:r>
          </w:p>
        </w:tc>
        <w:tc>
          <w:tcPr>
            <w:tcW w:w="320" w:type="dxa"/>
            <w:vAlign w:val="bottom"/>
          </w:tcPr>
          <w:p>
            <w:pPr>
              <w:spacing w:after="0"/>
              <w:rPr>
                <w:sz w:val="11"/>
                <w:szCs w:val="11"/>
                <w:color w:val="auto"/>
              </w:rPr>
            </w:pPr>
          </w:p>
        </w:tc>
        <w:tc>
          <w:tcPr>
            <w:tcW w:w="152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4"/>
              </w:rPr>
              <w:t>Buildings and Real</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11.00%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10,000,000</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9,247,298</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9,400,000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Estate</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12/29/2015</w:t>
            </w:r>
          </w:p>
        </w:tc>
        <w:tc>
          <w:tcPr>
            <w:tcW w:w="3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15.00%</w:t>
            </w:r>
            <w:r>
              <w:rPr>
                <w:rFonts w:ascii="Arial" w:cs="Arial" w:eastAsia="Arial" w:hAnsi="Arial"/>
                <w:sz w:val="12"/>
                <w:szCs w:val="12"/>
                <w:color w:val="auto"/>
              </w:rPr>
              <w:t>(7)</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4"/>
              </w:rPr>
              <w:t>12,020,950</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11,708,199</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12,020,950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TrustHouse Services Group, Inc.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06/03/2019</w:t>
            </w:r>
          </w:p>
        </w:tc>
        <w:tc>
          <w:tcPr>
            <w:tcW w:w="320" w:type="dxa"/>
            <w:vAlign w:val="bottom"/>
          </w:tcPr>
          <w:p>
            <w:pPr>
              <w:spacing w:after="0"/>
              <w:rPr>
                <w:sz w:val="11"/>
                <w:szCs w:val="11"/>
                <w:color w:val="auto"/>
              </w:rPr>
            </w:pPr>
          </w:p>
        </w:tc>
        <w:tc>
          <w:tcPr>
            <w:tcW w:w="152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Beverage, Food, and</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14.25%</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14,778,578</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14,527,411</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14,778,578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Tobacco</w:t>
            </w: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2.25%)</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TrustHouse Services Group, Inc.</w:t>
            </w:r>
            <w:r>
              <w:rPr>
                <w:rFonts w:ascii="Arial" w:cs="Arial" w:eastAsia="Arial" w:hAnsi="Arial"/>
                <w:sz w:val="12"/>
                <w:szCs w:val="12"/>
                <w:color w:val="auto"/>
              </w:rPr>
              <w:t>(9)</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06/02/2014</w:t>
            </w:r>
          </w:p>
        </w:tc>
        <w:tc>
          <w:tcPr>
            <w:tcW w:w="3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Beverage, Food, and</w:t>
            </w:r>
          </w:p>
        </w:tc>
        <w:tc>
          <w:tcPr>
            <w:tcW w:w="1160" w:type="dxa"/>
            <w:vAlign w:val="bottom"/>
            <w:gridSpan w:val="2"/>
            <w:shd w:val="clear" w:color="auto" w:fill="CCEEFF"/>
          </w:tcPr>
          <w:p>
            <w:pPr>
              <w:jc w:val="right"/>
              <w:ind w:right="46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4,000,000</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3,920,000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4,000,000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9"/>
              </w:rPr>
              <w:t>Tobacco</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Veritext Corp.</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12/31/2015</w:t>
            </w:r>
          </w:p>
        </w:tc>
        <w:tc>
          <w:tcPr>
            <w:tcW w:w="320" w:type="dxa"/>
            <w:vAlign w:val="bottom"/>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13.00%</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4"/>
              </w:rPr>
              <w:t>16,200,000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15,916,579</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16,200,000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355,236,902</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351,070,859</w:t>
            </w:r>
          </w:p>
        </w:tc>
        <w:tc>
          <w:tcPr>
            <w:tcW w:w="0" w:type="dxa"/>
            <w:vAlign w:val="bottom"/>
          </w:tcPr>
          <w:p>
            <w:pPr>
              <w:spacing w:after="0"/>
              <w:rPr>
                <w:sz w:val="1"/>
                <w:szCs w:val="1"/>
                <w:color w:val="auto"/>
              </w:rPr>
            </w:pPr>
          </w:p>
        </w:tc>
      </w:tr>
      <w:tr>
        <w:trPr>
          <w:trHeight w:val="156"/>
        </w:trPr>
        <w:tc>
          <w:tcPr>
            <w:tcW w:w="3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 xml:space="preserve">Preferred Equity/Partnership Interests—1.7% </w:t>
            </w:r>
            <w:r>
              <w:rPr>
                <w:rFonts w:ascii="Arial" w:cs="Arial" w:eastAsia="Arial" w:hAnsi="Arial"/>
                <w:sz w:val="12"/>
                <w:szCs w:val="12"/>
                <w:b w:val="1"/>
                <w:bCs w:val="1"/>
                <w:color w:val="auto"/>
              </w:rPr>
              <w:t>(6)</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AH Holdings, Inc.</w:t>
            </w:r>
          </w:p>
        </w:tc>
        <w:tc>
          <w:tcPr>
            <w:tcW w:w="1020" w:type="dxa"/>
            <w:vAlign w:val="bottom"/>
            <w:gridSpan w:val="2"/>
            <w:shd w:val="clear" w:color="auto" w:fill="CCEEFF"/>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6.00%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211</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500,000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624,081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(American Surgical Holdings, Inc.)</w:t>
            </w: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LLC</w:t>
            </w:r>
          </w:p>
        </w:tc>
        <w:tc>
          <w:tcPr>
            <w:tcW w:w="10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Other Media</w:t>
            </w:r>
          </w:p>
        </w:tc>
        <w:tc>
          <w:tcPr>
            <w:tcW w:w="1160" w:type="dxa"/>
            <w:vAlign w:val="bottom"/>
            <w:gridSpan w:val="2"/>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7,505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318,896</w:t>
            </w:r>
          </w:p>
        </w:tc>
        <w:tc>
          <w:tcPr>
            <w:tcW w:w="9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Alegeus Technologies Holding Corp., Series A</w:t>
            </w:r>
          </w:p>
        </w:tc>
        <w:tc>
          <w:tcPr>
            <w:tcW w:w="1020" w:type="dxa"/>
            <w:vAlign w:val="bottom"/>
            <w:gridSpan w:val="2"/>
            <w:shd w:val="clear" w:color="auto" w:fill="CCEEFF"/>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3"/>
              </w:rPr>
              <w:t>Financial Services</w:t>
            </w:r>
          </w:p>
        </w:tc>
        <w:tc>
          <w:tcPr>
            <w:tcW w:w="1160" w:type="dxa"/>
            <w:vAlign w:val="bottom"/>
            <w:gridSpan w:val="2"/>
            <w:shd w:val="clear" w:color="auto" w:fill="CCEEFF"/>
          </w:tcPr>
          <w:p>
            <w:pPr>
              <w:jc w:val="right"/>
              <w:ind w:right="46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949</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949,050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1,031,820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(Alegeus Technologies, LLC)</w:t>
            </w: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CI (IHS) Investment Holdings, LLC (Interactive Health</w:t>
            </w:r>
          </w:p>
        </w:tc>
        <w:tc>
          <w:tcPr>
            <w:tcW w:w="1020" w:type="dxa"/>
            <w:vAlign w:val="bottom"/>
            <w:gridSpan w:val="2"/>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2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8.00%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76,357</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765,307</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881,885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gridSpan w:val="2"/>
          </w:tcPr>
          <w:p>
            <w:pPr>
              <w:ind w:left="140"/>
              <w:spacing w:after="0"/>
              <w:rPr>
                <w:sz w:val="20"/>
                <w:szCs w:val="20"/>
                <w:color w:val="auto"/>
              </w:rPr>
            </w:pPr>
            <w:r>
              <w:rPr>
                <w:rFonts w:ascii="Arial" w:cs="Arial" w:eastAsia="Arial" w:hAnsi="Arial"/>
                <w:sz w:val="14"/>
                <w:szCs w:val="14"/>
                <w:color w:val="auto"/>
              </w:rPr>
              <w:t>Solutions, Inc.)</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CI (IHS) Investment Holdings, LLC </w:t>
            </w:r>
            <w:r>
              <w:rPr>
                <w:rFonts w:ascii="Arial" w:cs="Arial" w:eastAsia="Arial" w:hAnsi="Arial"/>
                <w:sz w:val="12"/>
                <w:szCs w:val="12"/>
                <w:color w:val="auto"/>
              </w:rPr>
              <w:t>(9)</w:t>
            </w:r>
            <w:r>
              <w:rPr>
                <w:rFonts w:ascii="Arial" w:cs="Arial" w:eastAsia="Arial" w:hAnsi="Arial"/>
                <w:sz w:val="14"/>
                <w:szCs w:val="14"/>
                <w:color w:val="auto"/>
              </w:rPr>
              <w:t xml:space="preserve"> (Interactive Health</w:t>
            </w:r>
          </w:p>
        </w:tc>
        <w:tc>
          <w:tcPr>
            <w:tcW w:w="1020" w:type="dxa"/>
            <w:vAlign w:val="bottom"/>
            <w:gridSpan w:val="2"/>
            <w:shd w:val="clear" w:color="auto" w:fill="CCEEFF"/>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shd w:val="clear" w:color="auto" w:fill="CCEEFF"/>
          </w:tcPr>
          <w:p>
            <w:pPr>
              <w:jc w:val="right"/>
              <w:ind w:right="46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38,179</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382,654</w:t>
            </w:r>
          </w:p>
        </w:tc>
        <w:tc>
          <w:tcPr>
            <w:tcW w:w="98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Solutions, Inc.)</w:t>
            </w: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Convergint Technologies Holdings, LLC</w:t>
            </w:r>
          </w:p>
        </w:tc>
        <w:tc>
          <w:tcPr>
            <w:tcW w:w="10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2,375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2,375,000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2,375,000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HW Topco, Inc. (Hanley-Wood, LLC)</w:t>
            </w:r>
          </w:p>
        </w:tc>
        <w:tc>
          <w:tcPr>
            <w:tcW w:w="10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Other Media</w:t>
            </w:r>
          </w:p>
        </w:tc>
        <w:tc>
          <w:tcPr>
            <w:tcW w:w="116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8.00%</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3,591</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24,177</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27,916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PAS Tech Holdings, Inc., Series A-1</w:t>
            </w:r>
          </w:p>
        </w:tc>
        <w:tc>
          <w:tcPr>
            <w:tcW w:w="1020" w:type="dxa"/>
            <w:vAlign w:val="bottom"/>
            <w:gridSpan w:val="2"/>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2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0"/>
              </w:rPr>
              <w:t>Aerospace and Defense</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8.00%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20,000</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1,980,000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823,710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gridSpan w:val="2"/>
          </w:tcPr>
          <w:p>
            <w:pPr>
              <w:ind w:left="140"/>
              <w:spacing w:after="0"/>
              <w:rPr>
                <w:sz w:val="20"/>
                <w:szCs w:val="20"/>
                <w:color w:val="auto"/>
              </w:rPr>
            </w:pPr>
            <w:r>
              <w:rPr>
                <w:rFonts w:ascii="Arial" w:cs="Arial" w:eastAsia="Arial" w:hAnsi="Arial"/>
                <w:sz w:val="14"/>
                <w:szCs w:val="14"/>
                <w:color w:val="auto"/>
              </w:rPr>
              <w:t>(PAS Technologies, Inc.)</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TrustHouse Services Holdings, LLC</w:t>
            </w:r>
          </w:p>
        </w:tc>
        <w:tc>
          <w:tcPr>
            <w:tcW w:w="1020" w:type="dxa"/>
            <w:vAlign w:val="bottom"/>
            <w:gridSpan w:val="2"/>
            <w:shd w:val="clear" w:color="auto" w:fill="CCEEFF"/>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Beverage, Food,</w:t>
            </w:r>
          </w:p>
        </w:tc>
        <w:tc>
          <w:tcPr>
            <w:tcW w:w="1160" w:type="dxa"/>
            <w:vAlign w:val="bottom"/>
            <w:gridSpan w:val="2"/>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12.00%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1,099</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984,344</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1,111,742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8"/>
              </w:rPr>
              <w:t>and Tobacco</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(CONTINUED) SEPTEMBER 30, 2012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Basis Point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Current</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Spread</w:t>
            </w: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Par/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0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Maturity</w:t>
            </w:r>
          </w:p>
        </w:tc>
        <w:tc>
          <w:tcPr>
            <w:tcW w:w="15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Industry</w:t>
            </w:r>
          </w:p>
        </w:tc>
        <w:tc>
          <w:tcPr>
            <w:tcW w:w="860" w:type="dxa"/>
            <w:vAlign w:val="bottom"/>
            <w:gridSpan w:val="2"/>
            <w:vMerge w:val="continue"/>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Above</w:t>
            </w: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4220" w:type="dxa"/>
            <w:vAlign w:val="bottom"/>
            <w:gridSpan w:val="3"/>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Coupon</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rPr>
              <w:t>TZ Holdings,</w:t>
            </w:r>
          </w:p>
        </w:tc>
        <w:tc>
          <w:tcPr>
            <w:tcW w:w="3440" w:type="dxa"/>
            <w:vAlign w:val="bottom"/>
            <w:tcBorders>
              <w:top w:val="single" w:sz="8" w:color="CCEEFF"/>
            </w:tcBorders>
            <w:shd w:val="clear" w:color="auto" w:fill="CCEEFF"/>
          </w:tcPr>
          <w:p>
            <w:pPr>
              <w:ind w:left="40"/>
              <w:spacing w:after="0" w:line="115" w:lineRule="exact"/>
              <w:rPr>
                <w:sz w:val="20"/>
                <w:szCs w:val="20"/>
                <w:color w:val="auto"/>
              </w:rPr>
            </w:pPr>
            <w:r>
              <w:rPr>
                <w:rFonts w:ascii="Arial" w:cs="Arial" w:eastAsia="Arial" w:hAnsi="Arial"/>
                <w:sz w:val="13"/>
                <w:szCs w:val="13"/>
                <w:color w:val="auto"/>
              </w:rPr>
              <w:t>L.P., Series A</w:t>
            </w:r>
          </w:p>
        </w:tc>
        <w:tc>
          <w:tcPr>
            <w:tcW w:w="700" w:type="dxa"/>
            <w:vAlign w:val="bottom"/>
            <w:tcBorders>
              <w:top w:val="single" w:sz="8" w:color="auto"/>
            </w:tcBorders>
            <w:shd w:val="clear" w:color="auto" w:fill="CCEEFF"/>
          </w:tcPr>
          <w:p>
            <w:pPr>
              <w:jc w:val="right"/>
              <w:ind w:right="228"/>
              <w:spacing w:after="0" w:line="115"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3"/>
                <w:szCs w:val="13"/>
                <w:color w:val="auto"/>
                <w:w w:val="94"/>
              </w:rPr>
              <w:t>Insurance</w:t>
            </w:r>
          </w:p>
        </w:tc>
        <w:tc>
          <w:tcPr>
            <w:tcW w:w="1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ind w:left="300"/>
              <w:spacing w:after="0" w:line="115" w:lineRule="exact"/>
              <w:rPr>
                <w:sz w:val="20"/>
                <w:szCs w:val="20"/>
                <w:color w:val="auto"/>
              </w:rPr>
            </w:pPr>
            <w:r>
              <w:rPr>
                <w:rFonts w:ascii="Arial" w:cs="Arial" w:eastAsia="Arial" w:hAnsi="Arial"/>
                <w:sz w:val="13"/>
                <w:szCs w:val="13"/>
                <w:color w:val="auto"/>
              </w:rPr>
              <w:t>—</w:t>
            </w:r>
          </w:p>
        </w:tc>
        <w:tc>
          <w:tcPr>
            <w:tcW w:w="3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ind w:left="480"/>
              <w:spacing w:after="0" w:line="115"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686</w:t>
            </w:r>
          </w:p>
        </w:tc>
        <w:tc>
          <w:tcPr>
            <w:tcW w:w="1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685,820</w:t>
            </w:r>
          </w:p>
        </w:tc>
        <w:tc>
          <w:tcPr>
            <w:tcW w:w="2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685,820</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(Trizetto Group, Inc.)</w:t>
            </w: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TZ Holdings, L.P., Series B</w:t>
            </w:r>
          </w:p>
        </w:tc>
        <w:tc>
          <w:tcPr>
            <w:tcW w:w="1020" w:type="dxa"/>
            <w:vAlign w:val="bottom"/>
            <w:gridSpan w:val="2"/>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87"/>
              </w:rPr>
              <w:t>Insurance</w:t>
            </w:r>
          </w:p>
        </w:tc>
        <w:tc>
          <w:tcPr>
            <w:tcW w:w="860" w:type="dxa"/>
            <w:vAlign w:val="bottom"/>
            <w:gridSpan w:val="2"/>
          </w:tcPr>
          <w:p>
            <w:pPr>
              <w:ind w:left="260"/>
              <w:spacing w:after="0" w:line="130" w:lineRule="exact"/>
              <w:rPr>
                <w:sz w:val="20"/>
                <w:szCs w:val="20"/>
                <w:color w:val="auto"/>
              </w:rPr>
            </w:pPr>
            <w:r>
              <w:rPr>
                <w:rFonts w:ascii="Arial" w:cs="Arial" w:eastAsia="Arial" w:hAnsi="Arial"/>
                <w:sz w:val="14"/>
                <w:szCs w:val="14"/>
                <w:color w:val="auto"/>
              </w:rPr>
              <w:t>6.50%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1,312</w:t>
            </w:r>
          </w:p>
        </w:tc>
        <w:tc>
          <w:tcPr>
            <w:tcW w:w="1160" w:type="dxa"/>
            <w:vAlign w:val="bottom"/>
            <w:gridSpan w:val="3"/>
          </w:tcPr>
          <w:p>
            <w:pPr>
              <w:jc w:val="right"/>
              <w:ind w:right="260"/>
              <w:spacing w:after="0" w:line="130" w:lineRule="exact"/>
              <w:rPr>
                <w:sz w:val="20"/>
                <w:szCs w:val="20"/>
                <w:color w:val="auto"/>
              </w:rPr>
            </w:pPr>
            <w:r>
              <w:rPr>
                <w:rFonts w:ascii="Arial" w:cs="Arial" w:eastAsia="Arial" w:hAnsi="Arial"/>
                <w:sz w:val="14"/>
                <w:szCs w:val="14"/>
                <w:color w:val="auto"/>
              </w:rPr>
              <w:t>1,312,006</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1,666,679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(Trizetto Group, Inc.)</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0"/>
              </w:rPr>
              <w:t>Personal</w:t>
            </w:r>
          </w:p>
        </w:tc>
        <w:tc>
          <w:tcPr>
            <w:tcW w:w="860" w:type="dxa"/>
            <w:vAlign w:val="bottom"/>
            <w:gridSpan w:val="2"/>
            <w:shd w:val="clear" w:color="auto" w:fill="CCEEFF"/>
          </w:tcPr>
          <w:p>
            <w:pPr>
              <w:ind w:left="260"/>
              <w:spacing w:after="0" w:line="130" w:lineRule="exact"/>
              <w:rPr>
                <w:sz w:val="20"/>
                <w:szCs w:val="20"/>
                <w:color w:val="auto"/>
              </w:rPr>
            </w:pPr>
            <w:r>
              <w:rPr>
                <w:rFonts w:ascii="Arial" w:cs="Arial" w:eastAsia="Arial" w:hAnsi="Arial"/>
                <w:sz w:val="14"/>
                <w:szCs w:val="14"/>
                <w:color w:val="auto"/>
              </w:rPr>
              <w:t>8.00%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96"/>
              </w:rPr>
              <w:t>1,824,167</w:t>
            </w:r>
          </w:p>
        </w:tc>
        <w:tc>
          <w:tcPr>
            <w:tcW w:w="1160" w:type="dxa"/>
            <w:vAlign w:val="bottom"/>
            <w:gridSpan w:val="3"/>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1,824,167</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1,949,629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Verde Parent Holdings, Inc.</w:t>
            </w: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5"/>
              </w:rPr>
              <w:t>Transportation</w:t>
            </w: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2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12,101,421</w:t>
            </w:r>
          </w:p>
        </w:tc>
        <w:tc>
          <w:tcPr>
            <w:tcW w:w="260" w:type="dxa"/>
            <w:vAlign w:val="bottom"/>
          </w:tcPr>
          <w:p>
            <w:pPr>
              <w:spacing w:after="0"/>
              <w:rPr>
                <w:sz w:val="14"/>
                <w:szCs w:val="14"/>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11,178,282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Common Equity/Warrants/Partnership Interests—9.2%</w:t>
            </w:r>
            <w:r>
              <w:rPr>
                <w:rFonts w:ascii="Arial" w:cs="Arial" w:eastAsia="Arial" w:hAnsi="Arial"/>
                <w:sz w:val="12"/>
                <w:szCs w:val="12"/>
                <w:b w:val="1"/>
                <w:bCs w:val="1"/>
                <w:color w:val="auto"/>
              </w:rPr>
              <w:t>(6)</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Acentia, LLC, Class A Units </w:t>
            </w:r>
            <w:r>
              <w:rPr>
                <w:rFonts w:ascii="Arial" w:cs="Arial" w:eastAsia="Arial" w:hAnsi="Arial"/>
                <w:sz w:val="12"/>
                <w:szCs w:val="12"/>
                <w:color w:val="auto"/>
              </w:rPr>
              <w:t>(12)</w:t>
            </w: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Electronics</w:t>
            </w:r>
          </w:p>
        </w:tc>
        <w:tc>
          <w:tcPr>
            <w:tcW w:w="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1,998</w:t>
            </w:r>
          </w:p>
        </w:tc>
        <w:tc>
          <w:tcPr>
            <w:tcW w:w="11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$ 2,000,000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   1,737,396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AH Holdings, Inc. (Warrants) (American Surgical Holdings, Inc.)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96"/>
              </w:rPr>
              <w:t>03/23/2021</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753</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2,063,780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Alegeus Technologies Holding Corp., Class A</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(Alegeus Technologies, LLC)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Financial Services</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950</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1,033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Autumn Games, LLC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3"/>
              </w:rPr>
              <w:t>Broadcasting and</w:t>
            </w: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Entertainment</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6"/>
              </w:rPr>
              <w:t>1,333,330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3,000,000</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 xml:space="preserve">CI (Galls) Prime Investment Holdings, LLC </w:t>
            </w:r>
            <w:r>
              <w:rPr>
                <w:rFonts w:ascii="Arial" w:cs="Arial" w:eastAsia="Arial" w:hAnsi="Arial"/>
                <w:sz w:val="12"/>
                <w:szCs w:val="12"/>
                <w:color w:val="auto"/>
              </w:rPr>
              <w:t>(11)</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(Galls, LLC; Quartermaster Inc.)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Distribution</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1,505,000</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1,505,000</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1,680,720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 (IHS) Investment Holdings, LLC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(Interactive Health Solutions, Inc.)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23,416</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234,693</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270,457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 xml:space="preserve">CI (IHS) Investment Holdings, LLC </w:t>
            </w:r>
            <w:r>
              <w:rPr>
                <w:rFonts w:ascii="Arial" w:cs="Arial" w:eastAsia="Arial" w:hAnsi="Arial"/>
                <w:sz w:val="12"/>
                <w:szCs w:val="12"/>
                <w:color w:val="auto"/>
              </w:rPr>
              <w:t>(9)</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(Interactive Health Solutions, Inc.)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11,708</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117,346</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Holdings, LLC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(Convergint Technologies) LLC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6"/>
              </w:rPr>
              <w:t>Electronics</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2,375</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Business Services</w:t>
            </w:r>
          </w:p>
        </w:tc>
        <w:tc>
          <w:tcPr>
            <w:tcW w:w="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5,556</w:t>
            </w:r>
          </w:p>
        </w:tc>
        <w:tc>
          <w:tcPr>
            <w:tcW w:w="11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1,904,033</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6,665,183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DirectBuy Investors, L.P.</w:t>
            </w: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Consumer Products</w:t>
            </w:r>
          </w:p>
        </w:tc>
        <w:tc>
          <w:tcPr>
            <w:tcW w:w="8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30,000</w:t>
            </w:r>
          </w:p>
        </w:tc>
        <w:tc>
          <w:tcPr>
            <w:tcW w:w="11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1,350,000</w:t>
            </w: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HW Topco, Inc.</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(Hanley-Wood, LLC)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Other Media</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348,912</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2,443,050</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2,642,438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Kadmon Holdings, LLC, Class A</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(Kadmon Pharmaceuticals, LLC)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6"/>
              </w:rPr>
              <w:t>1,079,920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1,236,832</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12,013,688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Kadmon Holdings, LLC, Class D</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(Kadmon Pharmaceuticals, LLC)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1,079,920</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1,028,807</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1,028,807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04/27/2020</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Education</w:t>
            </w:r>
          </w:p>
        </w:tc>
        <w:tc>
          <w:tcPr>
            <w:tcW w:w="8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1,267</w:t>
            </w:r>
          </w:p>
        </w:tc>
        <w:tc>
          <w:tcPr>
            <w:tcW w:w="11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779,920</w:t>
            </w: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Magnum Hunter Resources Corporation</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(Eureka Hunter Pipeline, LLC)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Oil and Gas</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1,221,932</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3,239,999</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5,425,378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Magnum Hunter Resources Corporation (Warrants)</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(Eureka Hunter Pipeline, LLC)</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96"/>
              </w:rPr>
              <w:t>10/14/2013</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Oil and Gas</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122,193</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105,697</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31,778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MidOcean JF Holdings Corp.</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(JF Acquisition, LLC)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Distribution</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1,700</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1,700,000</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1,641,575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MidOcean PPL Holdings, Inc.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89"/>
              </w:rPr>
              <w:t>Personal, Food and</w:t>
            </w: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(Pre-Paid Legal Services, Inc.)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Miscellaneous Services</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3,000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3,000,000</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4,377,360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Paradigm Acquisition Corp.</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(Paradigm Management Services, LLC)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20,000</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2,000,000</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2,124,491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PAS Tech Holdings, Inc.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(PAS Technologies, Inc.)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9"/>
              </w:rPr>
              <w:t>Aerospace and Defense</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20,000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20,000</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QMG HoldCo, LLC, Class A</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(Questex Media Group, Inc.)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Other Media</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4,325</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1,306,166</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1,404,661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QMG HoldCo, LLC, Class B</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(Questex Media Group, Inc.)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6"/>
              </w:rPr>
              <w:t>Other Media</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531</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172,457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SPG Boyd Holdings Corp.</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4"/>
              </w:rPr>
              <w:t>Chemical, Plastic</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(LTI Flexible Products, Inc.)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and Rubber</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300,000</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3,000,000</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Titan Private Holdings I, LLC – Class A</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(Tekelec Global, Inc.)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Telecommunications</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6"/>
              </w:rPr>
              <w:t>2,276,847</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2,274,883</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6,182,426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12/29/2019</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Business Services</w:t>
            </w:r>
          </w:p>
        </w:tc>
        <w:tc>
          <w:tcPr>
            <w:tcW w:w="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3,500</w:t>
            </w:r>
          </w:p>
        </w:tc>
        <w:tc>
          <w:tcPr>
            <w:tcW w:w="11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29,400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1,197,412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Transportation 100 Holdco, L.L.C. </w:t>
            </w:r>
            <w:r>
              <w:rPr>
                <w:rFonts w:ascii="Arial" w:cs="Arial" w:eastAsia="Arial" w:hAnsi="Arial"/>
                <w:sz w:val="12"/>
                <w:szCs w:val="12"/>
                <w:color w:val="auto"/>
              </w:rPr>
              <w:t>(13)</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(Greatwide Logistics Services, L.L.C.)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Cargo Transport</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137,923</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2,111,588</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TZ Holdings, L.P.</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(Trizetto Group, Inc.)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87"/>
              </w:rPr>
              <w:t>Insurance</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2</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9,567</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713,718</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(CONTINUED) SEPTEMBER 30, 2012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Basis Point</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Current</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Spread</w:t>
            </w:r>
          </w:p>
        </w:tc>
        <w:tc>
          <w:tcPr>
            <w:tcW w:w="9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Maturity</w:t>
            </w:r>
          </w:p>
        </w:tc>
        <w:tc>
          <w:tcPr>
            <w:tcW w:w="15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Industry</w:t>
            </w:r>
          </w:p>
        </w:tc>
        <w:tc>
          <w:tcPr>
            <w:tcW w:w="1160" w:type="dxa"/>
            <w:vAlign w:val="bottom"/>
            <w:gridSpan w:val="2"/>
            <w:vMerge w:val="continue"/>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Above</w:t>
            </w: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620" w:type="dxa"/>
            <w:vAlign w:val="bottom"/>
            <w:gridSpan w:val="3"/>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Coupon</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89"/>
              </w:rPr>
              <w:t>Verde Parent</w:t>
            </w:r>
          </w:p>
        </w:tc>
        <w:tc>
          <w:tcPr>
            <w:tcW w:w="28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Holdings, Inc.</w:t>
            </w:r>
          </w:p>
        </w:tc>
        <w:tc>
          <w:tcPr>
            <w:tcW w:w="70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Personal Transportation</w:t>
            </w: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ind w:left="480"/>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ind w:left="460"/>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9,166</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9,167</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VText Holdings, Inc. (Veritext Corp.)</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35,526</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4,050,000</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6,941,000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Equity/Warrants/ Partnership Interests</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38,457,098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61,315,758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4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w w:val="93"/>
              </w:rPr>
              <w:t>Total Investments in Non-Controlled, Non-Affiliated Portfolio Companies</w:t>
            </w: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871,867,953</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871,892,745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Investments in Non-Controlled, Affiliated Portfolio Companies—12.0% </w:t>
            </w:r>
            <w:r>
              <w:rPr>
                <w:rFonts w:ascii="Arial" w:cs="Arial" w:eastAsia="Arial" w:hAnsi="Arial"/>
                <w:sz w:val="12"/>
                <w:szCs w:val="12"/>
                <w:b w:val="1"/>
                <w:bCs w:val="1"/>
                <w:color w:val="auto"/>
              </w:rPr>
              <w:t>(1),(2)</w:t>
            </w: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Second Lien Secured Debt—1.1%</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Performance, Inc.</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01/16/2015</w:t>
            </w:r>
          </w:p>
        </w:tc>
        <w:tc>
          <w:tcPr>
            <w:tcW w:w="2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3"/>
              </w:rPr>
              <w:t>Leisure, Amusement</w:t>
            </w:r>
          </w:p>
        </w:tc>
        <w:tc>
          <w:tcPr>
            <w:tcW w:w="11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7.25%</w:t>
            </w:r>
          </w:p>
        </w:tc>
        <w:tc>
          <w:tcPr>
            <w:tcW w:w="98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L+625</w:t>
            </w:r>
            <w:r>
              <w:rPr>
                <w:rFonts w:ascii="Arial" w:cs="Arial" w:eastAsia="Arial" w:hAnsi="Arial"/>
                <w:sz w:val="12"/>
                <w:szCs w:val="12"/>
                <w:color w:val="auto"/>
              </w:rPr>
              <w:t>(8)</w:t>
            </w:r>
          </w:p>
        </w:tc>
        <w:tc>
          <w:tcPr>
            <w:tcW w:w="98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8,000,000</w:t>
            </w:r>
          </w:p>
        </w:tc>
        <w:tc>
          <w:tcPr>
            <w:tcW w:w="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8,000,000</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7,672,000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3"/>
              </w:rPr>
              <w:t>Motion Pictures and</w:t>
            </w: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1"/>
              </w:rPr>
              <w:t>Entertainment</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Notes—7.1%</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Performance Holdings, Inc.</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07/16/2015</w:t>
            </w:r>
          </w:p>
        </w:tc>
        <w:tc>
          <w:tcPr>
            <w:tcW w:w="2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3"/>
              </w:rPr>
              <w:t>Leisure, Amusement,</w:t>
            </w:r>
          </w:p>
        </w:tc>
        <w:tc>
          <w:tcPr>
            <w:tcW w:w="11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15.00%</w:t>
            </w:r>
            <w:r>
              <w:rPr>
                <w:rFonts w:ascii="Arial" w:cs="Arial" w:eastAsia="Arial" w:hAnsi="Arial"/>
                <w:sz w:val="12"/>
                <w:szCs w:val="12"/>
                <w:color w:val="auto"/>
              </w:rPr>
              <w:t>(7)</w:t>
            </w:r>
          </w:p>
        </w:tc>
        <w:tc>
          <w:tcPr>
            <w:tcW w:w="98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7,567,234</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7,435,314</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7,453,725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3"/>
              </w:rPr>
              <w:t>Motion Pictures and</w:t>
            </w: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1"/>
              </w:rPr>
              <w:t>Entertainment</w:t>
            </w: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Service Champ, Inc.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10/02/2017</w:t>
            </w:r>
          </w:p>
        </w:tc>
        <w:tc>
          <w:tcPr>
            <w:tcW w:w="220" w:type="dxa"/>
            <w:vAlign w:val="bottom"/>
          </w:tcPr>
          <w:p>
            <w:pPr>
              <w:spacing w:after="0"/>
              <w:rPr>
                <w:sz w:val="12"/>
                <w:szCs w:val="12"/>
                <w:color w:val="auto"/>
              </w:rPr>
            </w:pP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Auto Sector</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12.50%</w:t>
            </w: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4"/>
              </w:rPr>
              <w:t>24,000,000</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23,495,700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24,000,000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Service Champ, Inc. </w:t>
            </w:r>
            <w:r>
              <w:rPr>
                <w:rFonts w:ascii="Arial" w:cs="Arial" w:eastAsia="Arial" w:hAnsi="Arial"/>
                <w:sz w:val="12"/>
                <w:szCs w:val="12"/>
                <w:color w:val="auto"/>
              </w:rPr>
              <w:t>(9)</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10/02/2013</w:t>
            </w:r>
          </w:p>
        </w:tc>
        <w:tc>
          <w:tcPr>
            <w:tcW w:w="2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2"/>
              </w:rPr>
              <w:t>Auto Sector</w:t>
            </w:r>
          </w:p>
        </w:tc>
        <w:tc>
          <w:tcPr>
            <w:tcW w:w="11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4"/>
              </w:rPr>
              <w:t>16,000,000</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15,640,000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16,000,000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46,571,014</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47,453,725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Common Equity/Partnership Interest—3.8% </w:t>
            </w:r>
            <w:r>
              <w:rPr>
                <w:rFonts w:ascii="Arial" w:cs="Arial" w:eastAsia="Arial" w:hAnsi="Arial"/>
                <w:sz w:val="12"/>
                <w:szCs w:val="12"/>
                <w:b w:val="1"/>
                <w:bCs w:val="1"/>
                <w:color w:val="auto"/>
              </w:rPr>
              <w:t>(6)</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w:t>
            </w: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Environmental Services</w:t>
            </w:r>
          </w:p>
        </w:tc>
        <w:tc>
          <w:tcPr>
            <w:tcW w:w="11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125,106</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10,055,844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18,425,519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NCP-Performance</w:t>
            </w:r>
          </w:p>
        </w:tc>
        <w:tc>
          <w:tcPr>
            <w:tcW w:w="9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9"/>
              </w:rPr>
              <w:t>—</w:t>
            </w:r>
          </w:p>
        </w:tc>
        <w:tc>
          <w:tcPr>
            <w:tcW w:w="154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3"/>
              </w:rPr>
              <w:t>Leisure, Amusement,</w:t>
            </w:r>
          </w:p>
        </w:tc>
        <w:tc>
          <w:tcPr>
            <w:tcW w:w="11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375,000</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3,750,000</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2,902,355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(Performance Holdings, Inc.)</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3"/>
              </w:rPr>
              <w:t>Motion Pictures and</w:t>
            </w: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1"/>
              </w:rPr>
              <w:t>Entertainment</w:t>
            </w: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tcPr>
          <w:p>
            <w:pPr>
              <w:spacing w:after="0" w:line="130" w:lineRule="exact"/>
              <w:rPr>
                <w:sz w:val="20"/>
                <w:szCs w:val="20"/>
                <w:color w:val="auto"/>
              </w:rPr>
            </w:pPr>
            <w:r>
              <w:rPr>
                <w:rFonts w:ascii="Arial" w:cs="Arial" w:eastAsia="Arial" w:hAnsi="Arial"/>
                <w:sz w:val="14"/>
                <w:szCs w:val="14"/>
                <w:color w:val="auto"/>
              </w:rPr>
              <w:t>New Service Champ Holdings, Inc.</w:t>
            </w:r>
          </w:p>
        </w:tc>
        <w:tc>
          <w:tcPr>
            <w:tcW w:w="920" w:type="dxa"/>
            <w:vAlign w:val="bottom"/>
            <w:gridSpan w:val="2"/>
          </w:tcPr>
          <w:p>
            <w:pPr>
              <w:jc w:val="center"/>
              <w:ind w:right="260"/>
              <w:spacing w:after="0" w:line="130" w:lineRule="exact"/>
              <w:rPr>
                <w:sz w:val="20"/>
                <w:szCs w:val="20"/>
                <w:color w:val="auto"/>
              </w:rPr>
            </w:pPr>
            <w:r>
              <w:rPr>
                <w:rFonts w:ascii="Arial" w:cs="Arial" w:eastAsia="Arial" w:hAnsi="Arial"/>
                <w:sz w:val="14"/>
                <w:szCs w:val="14"/>
                <w:color w:val="auto"/>
                <w:w w:val="99"/>
              </w:rPr>
              <w:t>—</w:t>
            </w:r>
          </w:p>
        </w:tc>
        <w:tc>
          <w:tcPr>
            <w:tcW w:w="1540" w:type="dxa"/>
            <w:vAlign w:val="bottom"/>
            <w:gridSpan w:val="2"/>
          </w:tcPr>
          <w:p>
            <w:pPr>
              <w:jc w:val="center"/>
              <w:ind w:right="140"/>
              <w:spacing w:after="0" w:line="130" w:lineRule="exact"/>
              <w:rPr>
                <w:sz w:val="20"/>
                <w:szCs w:val="20"/>
                <w:color w:val="auto"/>
              </w:rPr>
            </w:pPr>
            <w:r>
              <w:rPr>
                <w:rFonts w:ascii="Arial" w:cs="Arial" w:eastAsia="Arial" w:hAnsi="Arial"/>
                <w:sz w:val="14"/>
                <w:szCs w:val="14"/>
                <w:color w:val="auto"/>
                <w:w w:val="92"/>
              </w:rPr>
              <w:t>Auto Sector</w:t>
            </w:r>
          </w:p>
        </w:tc>
        <w:tc>
          <w:tcPr>
            <w:tcW w:w="11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16,800</w:t>
            </w:r>
          </w:p>
        </w:tc>
        <w:tc>
          <w:tcPr>
            <w:tcW w:w="80" w:type="dxa"/>
            <w:vAlign w:val="bottom"/>
          </w:tcPr>
          <w:p>
            <w:pPr>
              <w:spacing w:after="0"/>
              <w:rPr>
                <w:sz w:val="11"/>
                <w:szCs w:val="11"/>
                <w:color w:val="auto"/>
              </w:rPr>
            </w:pP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4,200,000</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4,501,658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0" w:type="dxa"/>
            <w:vAlign w:val="bottom"/>
            <w:gridSpan w:val="2"/>
          </w:tcPr>
          <w:p>
            <w:pPr>
              <w:ind w:left="140"/>
              <w:spacing w:after="0"/>
              <w:rPr>
                <w:sz w:val="20"/>
                <w:szCs w:val="20"/>
                <w:color w:val="auto"/>
              </w:rPr>
            </w:pPr>
            <w:r>
              <w:rPr>
                <w:rFonts w:ascii="Arial" w:cs="Arial" w:eastAsia="Arial" w:hAnsi="Arial"/>
                <w:sz w:val="14"/>
                <w:szCs w:val="14"/>
                <w:color w:val="auto"/>
              </w:rPr>
              <w:t>(Service Champ, Inc.)</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18,005,844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25,829,532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4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Total Investments in Non-Controlled, Affiliated Portfolio Companies</w:t>
            </w: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72,576,858</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80,955,257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7"/>
              </w:rPr>
              <w:t xml:space="preserve">Investments in Controlled, Affiliated Portfolio Companies—5.6% </w:t>
            </w:r>
            <w:r>
              <w:rPr>
                <w:rFonts w:ascii="Arial" w:cs="Arial" w:eastAsia="Arial" w:hAnsi="Arial"/>
                <w:sz w:val="12"/>
                <w:szCs w:val="12"/>
                <w:b w:val="1"/>
                <w:bCs w:val="1"/>
                <w:color w:val="auto"/>
                <w:w w:val="97"/>
              </w:rPr>
              <w:t>(1),(2)</w:t>
            </w: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Debt—1.9%</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06/30/2020</w:t>
            </w:r>
          </w:p>
        </w:tc>
        <w:tc>
          <w:tcPr>
            <w:tcW w:w="2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9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4"/>
              </w:rPr>
              <w:t>10,800,000</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10,800,000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10,800,000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UP Support Services, Inc. </w:t>
            </w:r>
            <w:r>
              <w:rPr>
                <w:rFonts w:ascii="Arial" w:cs="Arial" w:eastAsia="Arial" w:hAnsi="Arial"/>
                <w:sz w:val="12"/>
                <w:szCs w:val="12"/>
                <w:color w:val="auto"/>
              </w:rPr>
              <w:t>(9)</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12/31/2015</w:t>
            </w:r>
          </w:p>
        </w:tc>
        <w:tc>
          <w:tcPr>
            <w:tcW w:w="220" w:type="dxa"/>
            <w:vAlign w:val="bottom"/>
          </w:tcPr>
          <w:p>
            <w:pPr>
              <w:spacing w:after="0"/>
              <w:rPr>
                <w:sz w:val="12"/>
                <w:szCs w:val="12"/>
                <w:color w:val="auto"/>
              </w:rPr>
            </w:pP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743,187</w:t>
            </w:r>
          </w:p>
        </w:tc>
        <w:tc>
          <w:tcPr>
            <w:tcW w:w="80" w:type="dxa"/>
            <w:vAlign w:val="bottom"/>
          </w:tcPr>
          <w:p>
            <w:pPr>
              <w:spacing w:after="0"/>
              <w:rPr>
                <w:sz w:val="12"/>
                <w:szCs w:val="12"/>
                <w:color w:val="auto"/>
              </w:rPr>
            </w:pP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668,632</w:t>
            </w:r>
          </w:p>
        </w:tc>
        <w:tc>
          <w:tcPr>
            <w:tcW w:w="80" w:type="dxa"/>
            <w:vAlign w:val="bottom"/>
          </w:tcPr>
          <w:p>
            <w:pPr>
              <w:spacing w:after="0"/>
              <w:rPr>
                <w:sz w:val="12"/>
                <w:szCs w:val="12"/>
                <w:color w:val="auto"/>
              </w:rPr>
            </w:pP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743,187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UP Support Services, Inc. </w:t>
            </w:r>
            <w:r>
              <w:rPr>
                <w:rFonts w:ascii="Arial" w:cs="Arial" w:eastAsia="Arial" w:hAnsi="Arial"/>
                <w:sz w:val="12"/>
                <w:szCs w:val="12"/>
                <w:color w:val="auto"/>
              </w:rPr>
              <w:t>(9)</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12/31/2015</w:t>
            </w:r>
          </w:p>
        </w:tc>
        <w:tc>
          <w:tcPr>
            <w:tcW w:w="2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1,173,479</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1,068,059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1,173,479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12,536,691</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12,716,666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Debt—2.1%</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tcPr>
          <w:p>
            <w:pPr>
              <w:spacing w:after="0" w:line="130" w:lineRule="exact"/>
              <w:rPr>
                <w:sz w:val="20"/>
                <w:szCs w:val="20"/>
                <w:color w:val="auto"/>
              </w:rPr>
            </w:pPr>
            <w:r>
              <w:rPr>
                <w:rFonts w:ascii="Arial" w:cs="Arial" w:eastAsia="Arial" w:hAnsi="Arial"/>
                <w:sz w:val="14"/>
                <w:szCs w:val="14"/>
                <w:color w:val="auto"/>
              </w:rPr>
              <w:t>UP Support Services, Inc.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12/31/2015</w:t>
            </w:r>
          </w:p>
        </w:tc>
        <w:tc>
          <w:tcPr>
            <w:tcW w:w="220" w:type="dxa"/>
            <w:vAlign w:val="bottom"/>
          </w:tcPr>
          <w:p>
            <w:pPr>
              <w:spacing w:after="0"/>
              <w:rPr>
                <w:sz w:val="11"/>
                <w:szCs w:val="11"/>
                <w:color w:val="auto"/>
              </w:rPr>
            </w:pPr>
          </w:p>
        </w:tc>
        <w:tc>
          <w:tcPr>
            <w:tcW w:w="1540" w:type="dxa"/>
            <w:vAlign w:val="bottom"/>
            <w:gridSpan w:val="2"/>
          </w:tcPr>
          <w:p>
            <w:pPr>
              <w:jc w:val="center"/>
              <w:ind w:right="140"/>
              <w:spacing w:after="0" w:line="130"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15.00%</w:t>
            </w:r>
          </w:p>
        </w:tc>
        <w:tc>
          <w:tcPr>
            <w:tcW w:w="98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w w:val="94"/>
              </w:rPr>
              <w:t>14,300,282</w:t>
            </w:r>
          </w:p>
        </w:tc>
        <w:tc>
          <w:tcPr>
            <w:tcW w:w="80" w:type="dxa"/>
            <w:vAlign w:val="bottom"/>
          </w:tcPr>
          <w:p>
            <w:pPr>
              <w:spacing w:after="0"/>
              <w:rPr>
                <w:sz w:val="11"/>
                <w:szCs w:val="11"/>
                <w:color w:val="auto"/>
              </w:rPr>
            </w:pPr>
          </w:p>
        </w:tc>
        <w:tc>
          <w:tcPr>
            <w:tcW w:w="114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11,809,647</w:t>
            </w:r>
          </w:p>
        </w:tc>
        <w:tc>
          <w:tcPr>
            <w:tcW w:w="80" w:type="dxa"/>
            <w:vAlign w:val="bottom"/>
          </w:tcPr>
          <w:p>
            <w:pPr>
              <w:spacing w:after="0"/>
              <w:rPr>
                <w:sz w:val="11"/>
                <w:szCs w:val="11"/>
                <w:color w:val="auto"/>
              </w:rPr>
            </w:pPr>
          </w:p>
        </w:tc>
        <w:tc>
          <w:tcPr>
            <w:tcW w:w="80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14,300,282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(PIK 15.00)%</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Notes—0.3%</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06/30/2020</w:t>
            </w:r>
          </w:p>
        </w:tc>
        <w:tc>
          <w:tcPr>
            <w:tcW w:w="220" w:type="dxa"/>
            <w:vAlign w:val="bottom"/>
          </w:tcPr>
          <w:p>
            <w:pPr>
              <w:spacing w:after="0"/>
              <w:rPr>
                <w:sz w:val="13"/>
                <w:szCs w:val="13"/>
                <w:color w:val="auto"/>
              </w:rPr>
            </w:pP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2,700,000</w:t>
            </w:r>
          </w:p>
        </w:tc>
        <w:tc>
          <w:tcPr>
            <w:tcW w:w="80" w:type="dxa"/>
            <w:vAlign w:val="bottom"/>
          </w:tcPr>
          <w:p>
            <w:pPr>
              <w:spacing w:after="0"/>
              <w:rPr>
                <w:sz w:val="13"/>
                <w:szCs w:val="13"/>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2,700,000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2,158,053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Preferred Equity—1.3%</w:t>
            </w:r>
            <w:r>
              <w:rPr>
                <w:rFonts w:ascii="Arial" w:cs="Arial" w:eastAsia="Arial" w:hAnsi="Arial"/>
                <w:sz w:val="12"/>
                <w:szCs w:val="12"/>
                <w:b w:val="1"/>
                <w:bCs w:val="1"/>
                <w:color w:val="auto"/>
              </w:rPr>
              <w:t>(6)</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w:t>
            </w: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14.00%</w:t>
            </w: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2,000</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216,947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Universal Pegasus International Holdings, Inc.</w:t>
            </w:r>
          </w:p>
        </w:tc>
        <w:tc>
          <w:tcPr>
            <w:tcW w:w="9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9"/>
              </w:rPr>
              <w:t>—</w:t>
            </w:r>
          </w:p>
        </w:tc>
        <w:tc>
          <w:tcPr>
            <w:tcW w:w="15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8.00%</w:t>
            </w:r>
          </w:p>
        </w:tc>
        <w:tc>
          <w:tcPr>
            <w:tcW w:w="9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411,988</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35,120,613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8,239,760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37,120,613</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8,456,707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Common Equity—0.0% </w:t>
            </w:r>
            <w:r>
              <w:rPr>
                <w:rFonts w:ascii="Arial" w:cs="Arial" w:eastAsia="Arial" w:hAnsi="Arial"/>
                <w:sz w:val="12"/>
                <w:szCs w:val="12"/>
                <w:b w:val="1"/>
                <w:bCs w:val="1"/>
                <w:color w:val="auto"/>
              </w:rPr>
              <w:t>(6)</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w:t>
            </w: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100</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in Controlled, Affiliated Portfolio Companies</w:t>
            </w: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64,167,051</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37,631,708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Investments—147.9%</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1,008,611,862</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990,479,710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Equivalents—1.1%</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7,559,453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7,559,453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Equivalents—149.0%</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1,016,171,315</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998,039,163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Assets—(49.0%)</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w w:val="91"/>
              </w:rPr>
              <w:t>(328,322,116)</w:t>
            </w:r>
          </w:p>
        </w:tc>
        <w:tc>
          <w:tcPr>
            <w:tcW w:w="0" w:type="dxa"/>
            <w:vAlign w:val="bottom"/>
          </w:tcPr>
          <w:p>
            <w:pPr>
              <w:spacing w:after="0"/>
              <w:rPr>
                <w:sz w:val="1"/>
                <w:szCs w:val="1"/>
                <w:color w:val="auto"/>
              </w:rPr>
            </w:pPr>
          </w:p>
        </w:tc>
      </w:tr>
      <w:tr>
        <w:trPr>
          <w:trHeight w:val="156"/>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Net Assets—100.0%</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669,717,047</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(CONTINUED) SEPTEMBER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289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2" w:lineRule="exact"/>
        <w:rPr>
          <w:sz w:val="20"/>
          <w:szCs w:val="20"/>
          <w:color w:val="auto"/>
        </w:rPr>
      </w:pPr>
    </w:p>
    <w:p>
      <w:pPr>
        <w:ind w:left="340" w:hanging="332"/>
        <w:spacing w:after="0" w:line="248" w:lineRule="auto"/>
        <w:tabs>
          <w:tab w:leader="none" w:pos="34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80" w:hanging="332"/>
        <w:spacing w:after="0" w:line="238" w:lineRule="auto"/>
        <w:tabs>
          <w:tab w:leader="none" w:pos="34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or “P”, rate.</w:t>
      </w:r>
    </w:p>
    <w:p>
      <w:pPr>
        <w:ind w:left="340" w:right="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Coupon is payable in cash and/or PIK.</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investments). This security does not have a basis point spread above an index.</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U.S.</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Investment is held through PNNT CI (Galls) Prime Investment Holdings, LLC, a consolidated subsidiary.</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Investment is held through PNNT Acentia LLC, a consolidated subsidiary.</w:t>
      </w: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Investment is held through PNNT Transportation 100 Holdco, LLC, a consolidated subsidiary.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72"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b w:val="1"/>
          <w:bCs w:val="1"/>
          <w:i w:val="1"/>
          <w:iCs w:val="1"/>
          <w:color w:val="auto"/>
        </w:rPr>
        <w:t>Except where the context suggests otherwise, “we,” “our” or “us”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“SBA” refers to the Small Business Administration; “Credit Facility” refers to our multi-currency, senior secured revolving credit facility; “2025 Notes” refers to our 6.25% senior notes due 2025; “BDC” refers to a business development company under the Investment Company Act of 1940, as amended, or the 1940 Act; “Code” refers to the Internal Revenue Code of 1986, as amended; “RIC” refers to a regulated investment company under the Code.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PennantPark Investment Corporation was organized as a Maryland corporation in January 2007. PennantPark Investment is a closed-end, externally managed, non-diversified investment company that has elected to be treated as a BDC. PennantPark Investment’s objective is to generate both current income and capital appreciation through debt and equity investments. We invest primarily in U.S. middle-market companies in the form of senior secured loans, mezzanine debt and, to a lesser extent, equity investments. On April 24, 2007, we closed our initial public offering and our common stock trades on the NASDAQ Global Select Market under the symbol “PNNT.” Our 2025 Notes trade on the NYSE under the symbol “PNTA.”</w:t>
      </w:r>
    </w:p>
    <w:p>
      <w:pPr>
        <w:spacing w:after="0" w:line="173" w:lineRule="exact"/>
        <w:rPr>
          <w:sz w:val="20"/>
          <w:szCs w:val="20"/>
          <w:color w:val="auto"/>
        </w:rPr>
      </w:pPr>
    </w:p>
    <w:p>
      <w:pPr>
        <w:ind w:right="340" w:firstLine="456"/>
        <w:spacing w:after="0" w:line="273" w:lineRule="auto"/>
        <w:rPr>
          <w:sz w:val="20"/>
          <w:szCs w:val="20"/>
          <w:color w:val="auto"/>
        </w:rPr>
      </w:pPr>
      <w:r>
        <w:rPr>
          <w:rFonts w:ascii="Arial" w:cs="Arial" w:eastAsia="Arial" w:hAnsi="Arial"/>
          <w:sz w:val="17"/>
          <w:szCs w:val="17"/>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and our controlled affiliate SuttonPark Holdings, Inc. and its subsidiaries, or SPH, under separate administration agreements. See Note 3.</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small business investment companies, or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or the Taxable Subsidiaries, which are taxed as corporations for federal income tax purposes. These Taxable Subsidiaries allow us to hold equity securities of portfolio companies organized as pass-through entities while continuing to satisfy the requirements of a RIC under the Code.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We may reclassify certain prior period amounts to conform to the current period presentation. We have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eliminated all intercompany 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65"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8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900" w:right="20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right="640" w:hanging="446"/>
        <w:spacing w:after="0" w:line="264"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management’s preliminary valuations in light of their own independent assessment and also in light of any market quotations obtained from an independent pricing service, broker, dealer or market maker;</w:t>
      </w:r>
    </w:p>
    <w:p>
      <w:pPr>
        <w:spacing w:after="0" w:line="76" w:lineRule="exact"/>
        <w:rPr>
          <w:sz w:val="20"/>
          <w:szCs w:val="20"/>
          <w:color w:val="auto"/>
        </w:rPr>
      </w:pPr>
    </w:p>
    <w:p>
      <w:pPr>
        <w:ind w:left="900" w:right="260" w:hanging="446"/>
        <w:spacing w:after="0" w:line="286" w:lineRule="auto"/>
        <w:tabs>
          <w:tab w:leader="none" w:pos="90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900" w:right="400" w:hanging="446"/>
        <w:spacing w:after="0" w:line="277" w:lineRule="auto"/>
        <w:tabs>
          <w:tab w:leader="none" w:pos="9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78" w:lineRule="exact"/>
        <w:rPr>
          <w:rFonts w:ascii="Arial" w:cs="Arial" w:eastAsia="Arial" w:hAnsi="Arial"/>
          <w:sz w:val="18"/>
          <w:szCs w:val="18"/>
          <w:color w:val="auto"/>
        </w:rPr>
      </w:pPr>
    </w:p>
    <w:p>
      <w:pPr>
        <w:ind w:left="500" w:hanging="264"/>
        <w:spacing w:after="0"/>
        <w:tabs>
          <w:tab w:leader="none" w:pos="500" w:val="left"/>
        </w:tabs>
        <w:numPr>
          <w:ilvl w:val="0"/>
          <w:numId w:val="1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 / Unrealized Gains or Losses</w:t>
      </w:r>
    </w:p>
    <w:p>
      <w:pPr>
        <w:spacing w:after="0" w:line="117"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and our Credit Facility during the reporting period, including any reversal of previously recorded unrealized appreciation or depreciation, when gains or losses are realized.</w:t>
      </w:r>
    </w:p>
    <w:p>
      <w:pPr>
        <w:spacing w:after="0" w:line="17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are capitalized and we then accrete or amortize such amounts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16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are paid and, in management’s judgment, are likely to remain current.</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Income Taxes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have complied with the requirements of Subchapter M of the Code and expect to be subject to tax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Investment’s qualification and election to be subject to tax as a RIC, we do not anticipate paying any material level of federal income taxes in the future. Although we are not subject to tax as a RIC, we have elected to retain a portion of our calendar year income and accrued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estimated excise taxes of $(0.1) million, $0.3 million and $0.2 million for the fiscal years ended September 30, 2013, 2012 and 2011, respectively.</w:t>
      </w:r>
    </w:p>
    <w:p>
      <w:pPr>
        <w:spacing w:after="0" w:line="23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2009 remain subject to examination by the Internal Revenue Service and the state department of revenue.</w:t>
      </w:r>
    </w:p>
    <w:p>
      <w:pPr>
        <w:spacing w:after="0" w:line="18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return of capital.</w:t>
      </w:r>
    </w:p>
    <w:p>
      <w:pPr>
        <w:spacing w:after="0" w:line="18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Consolidation</w:t>
      </w:r>
    </w:p>
    <w:p>
      <w:pPr>
        <w:spacing w:after="0" w:line="11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SBIC LP, SBIC GP and our Taxable Subsidiaries in our Consolidated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Investment Management Agreement with the Investment Adviser was re-approved by our board of directors, including a majority of our directors who are not interested persons of us or the Investment Adviser, in February 2013. Under the Investment Management Agreement the Investment Adviser, subject to the overall supervision of our board of directors, manages the day-to-day operations of and provides investment advisory services to, PennantPark Investment.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The base management fee is calculated at an annual rate of 2.00% of our “average adjusted gross assets” (net of U.S. Treasury Bills and/or temporary draws under any credit facility, repurchase agreements or other balance sheet transactions undertaken at the end of a fiscal quarter for purposes of preserving investment flexibility for the next quarter,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2013, 2012 and 2011, the Investment Adviser earned base management fees of $21.3 million, $17.5 million and $14.9 million, respectively, from us.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225"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OID,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calendar quarter, is compared to the hurdle rate of</w:t>
      </w:r>
    </w:p>
    <w:p>
      <w:pPr>
        <w:spacing w:after="0" w:line="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adjusted for any share issuances or repurchases during the relevant quarter. For the fiscal years ended September 30, 2013, 2012 and 2011, the Investment Adviser received an incentive fee of $16.8 million, $14.2 million and $13.2 million, respectively, from us.</w:t>
      </w:r>
    </w:p>
    <w:p>
      <w:pPr>
        <w:spacing w:after="0" w:line="193"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2013, 2012 and 2011 the Investment Adviser did not earn an incentive fee on capital gains as calculated under the Investment Management Agreement (as described above).</w:t>
      </w:r>
    </w:p>
    <w:p>
      <w:pPr>
        <w:spacing w:after="0" w:line="173"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60" w:right="2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years ended September 30, 2013, 2012 and 2011, our unrealized and realized capital gains did not exceed our cumulative realized and unrealized losses and resulted in no accrual under GAAP.</w:t>
      </w:r>
    </w:p>
    <w:p>
      <w:pPr>
        <w:spacing w:after="0" w:line="16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Administration Agreement with the Administrator was reapproved by our board of directors, including a majority of our directors who are not interested persons of us, in February 2013.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technology systems, insurance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fiscal years ended September 30, 2013, 2012 and 2011, the Investment Adviser and Administrator, collectively, were reimbursed $2.9 million, $3.6 million and $2.6 million, respectively, from us, including expenses incurred on behalf of the Administrator, for the services described above.</w:t>
      </w:r>
    </w:p>
    <w:p>
      <w:pPr>
        <w:spacing w:after="0" w:line="183"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PennantPark Investment has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staff. For the fiscal years ended September 30, 2013, 2012 and 2011, PennantPark Investment was reimbursed $0.4 million, $0.7 million and $0.5 million, respectively, for the services described above.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jc w:val="both"/>
        <w:ind w:right="500" w:firstLine="456"/>
        <w:spacing w:after="0" w:line="264" w:lineRule="auto"/>
        <w:rPr>
          <w:sz w:val="20"/>
          <w:szCs w:val="20"/>
          <w:color w:val="auto"/>
        </w:rPr>
      </w:pPr>
      <w:r>
        <w:rPr>
          <w:rFonts w:ascii="Arial" w:cs="Arial" w:eastAsia="Arial" w:hAnsi="Arial"/>
          <w:sz w:val="18"/>
          <w:szCs w:val="18"/>
          <w:color w:val="auto"/>
        </w:rPr>
        <w:t>Purchases of long-term investments, including PIK, for the fiscal years ended September 30, 2013, 2012 and 2011 totaled $516.2 million, $337.3 million and $490.6 million, respectively. Sales and repayments of long-term investments for the fiscal years ended September 30, 2013, 2012 and 2011 totaled $437.1 million, $201.7 million and $304.0 million, respectively.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60" w:type="dxa"/>
            <w:vAlign w:val="bottom"/>
          </w:tcPr>
          <w:p>
            <w:pPr>
              <w:spacing w:after="0"/>
              <w:rPr>
                <w:sz w:val="14"/>
                <w:szCs w:val="14"/>
                <w:color w:val="auto"/>
              </w:rPr>
            </w:pPr>
          </w:p>
        </w:tc>
        <w:tc>
          <w:tcPr>
            <w:tcW w:w="298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September 30, 2013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5"/>
          </w:tcPr>
          <w:p>
            <w:pPr>
              <w:ind w:left="640"/>
              <w:spacing w:after="0"/>
              <w:rPr>
                <w:sz w:val="20"/>
                <w:szCs w:val="20"/>
                <w:color w:val="auto"/>
              </w:rPr>
            </w:pPr>
            <w:r>
              <w:rPr>
                <w:rFonts w:ascii="Arial" w:cs="Arial" w:eastAsia="Arial" w:hAnsi="Arial"/>
                <w:sz w:val="14"/>
                <w:szCs w:val="14"/>
                <w:b w:val="1"/>
                <w:bCs w:val="1"/>
                <w:color w:val="auto"/>
              </w:rPr>
              <w:t>September 30, 2012</w:t>
            </w:r>
          </w:p>
        </w:tc>
        <w:tc>
          <w:tcPr>
            <w:tcW w:w="0" w:type="dxa"/>
            <w:vAlign w:val="bottom"/>
          </w:tcPr>
          <w:p>
            <w:pPr>
              <w:spacing w:after="0"/>
              <w:rPr>
                <w:sz w:val="1"/>
                <w:szCs w:val="1"/>
                <w:color w:val="auto"/>
              </w:rPr>
            </w:pPr>
          </w:p>
        </w:tc>
      </w:tr>
      <w:tr>
        <w:trPr>
          <w:trHeight w:val="142"/>
        </w:trPr>
        <w:tc>
          <w:tcPr>
            <w:tcW w:w="512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ind w:left="320"/>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lien</w:t>
            </w:r>
          </w:p>
        </w:tc>
        <w:tc>
          <w:tcPr>
            <w:tcW w:w="3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290,000,430</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299,516,291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289,964,255</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291,677,553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346,717,448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357,543,217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208,454,615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191,339,241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311,240,637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302,447,308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404,507,916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400,682,637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Preferred equity and partnership interests</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65,943,244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12,830,669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49,222,034</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19,634,989</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 and partnership interests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77,616,126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105,838,068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56,463,042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87,145,290</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1,091,517,885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1,078,175,553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1,008,611,862</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990,479,710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58,440,829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58,440,829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Total investments, cash and cash equivalents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1,149,958,714</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1,136,616,382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1,016,171,315</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998,039,163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w w:val="93"/>
              </w:rPr>
              <w:t>Industry Classification</w:t>
            </w:r>
          </w:p>
        </w:tc>
        <w:tc>
          <w:tcPr>
            <w:tcW w:w="3100" w:type="dxa"/>
            <w:vAlign w:val="bottom"/>
            <w:vMerge w:val="restart"/>
          </w:tcPr>
          <w:p>
            <w:pPr>
              <w:spacing w:after="0"/>
              <w:rPr>
                <w:sz w:val="14"/>
                <w:szCs w:val="14"/>
                <w:color w:val="auto"/>
              </w:rPr>
            </w:pPr>
          </w:p>
        </w:tc>
        <w:tc>
          <w:tcPr>
            <w:tcW w:w="3100" w:type="dxa"/>
            <w:vAlign w:val="bottom"/>
          </w:tcPr>
          <w:p>
            <w:pPr>
              <w:spacing w:after="0"/>
              <w:rPr>
                <w:sz w:val="14"/>
                <w:szCs w:val="14"/>
                <w:color w:val="auto"/>
              </w:rPr>
            </w:pPr>
          </w:p>
        </w:tc>
        <w:tc>
          <w:tcPr>
            <w:tcW w:w="19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tcBorders>
            <w:vMerge w:val="continue"/>
          </w:tcPr>
          <w:p>
            <w:pPr>
              <w:spacing w:after="0"/>
              <w:rPr>
                <w:sz w:val="12"/>
                <w:szCs w:val="12"/>
                <w:color w:val="auto"/>
              </w:rPr>
            </w:pPr>
          </w:p>
        </w:tc>
        <w:tc>
          <w:tcPr>
            <w:tcW w:w="3100" w:type="dxa"/>
            <w:vAlign w:val="bottom"/>
            <w:tcBorders>
              <w:bottom w:val="single" w:sz="8" w:color="CCEEFF"/>
            </w:tcBorders>
            <w:vMerge w:val="continue"/>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8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w w:val="89"/>
              </w:rPr>
              <w:t>Personal, Food and</w:t>
            </w: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Miscellaneous Services</w:t>
            </w:r>
          </w:p>
        </w:tc>
        <w:tc>
          <w:tcPr>
            <w:tcW w:w="3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Printing and Publishing</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Diversified Natural Resources, Precious Metals and Minerals</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 Steel, Iron and Non-Precious Metals</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3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3100" w:type="dxa"/>
            <w:vAlign w:val="bottom"/>
          </w:tcPr>
          <w:p>
            <w:pPr>
              <w:spacing w:after="0"/>
              <w:rPr>
                <w:sz w:val="18"/>
                <w:szCs w:val="18"/>
                <w:color w:val="auto"/>
              </w:rPr>
            </w:pPr>
          </w:p>
        </w:tc>
        <w:tc>
          <w:tcPr>
            <w:tcW w:w="13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Pictures, Entertainment</w:t>
            </w:r>
          </w:p>
        </w:tc>
        <w:tc>
          <w:tcPr>
            <w:tcW w:w="3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3100" w:type="dxa"/>
            <w:vAlign w:val="bottom"/>
          </w:tcPr>
          <w:p>
            <w:pPr>
              <w:spacing w:after="0"/>
              <w:rPr>
                <w:sz w:val="18"/>
                <w:szCs w:val="18"/>
                <w:color w:val="auto"/>
              </w:rPr>
            </w:pPr>
          </w:p>
        </w:tc>
        <w:tc>
          <w:tcPr>
            <w:tcW w:w="13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100" w:type="dxa"/>
            <w:vAlign w:val="bottom"/>
          </w:tcPr>
          <w:p>
            <w:pPr>
              <w:spacing w:after="0"/>
              <w:rPr>
                <w:sz w:val="19"/>
                <w:szCs w:val="19"/>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72"/>
        </w:trPr>
        <w:tc>
          <w:tcPr>
            <w:tcW w:w="1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F-24</w:t>
            </w:r>
          </w:p>
        </w:tc>
        <w:tc>
          <w:tcPr>
            <w:tcW w:w="44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8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520" w:right="620" w:hanging="1052"/>
        <w:spacing w:after="0" w:line="277" w:lineRule="auto"/>
        <w:tabs>
          <w:tab w:leader="none" w:pos="15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130" w:lineRule="exact"/>
        <w:rPr>
          <w:sz w:val="20"/>
          <w:szCs w:val="20"/>
          <w:color w:val="auto"/>
        </w:rPr>
      </w:pPr>
    </w:p>
    <w:p>
      <w:pPr>
        <w:ind w:left="1520" w:right="440" w:hanging="1052"/>
        <w:spacing w:after="0" w:line="264" w:lineRule="auto"/>
        <w:tabs>
          <w:tab w:leader="none" w:pos="15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1" w:lineRule="exact"/>
        <w:rPr>
          <w:sz w:val="20"/>
          <w:szCs w:val="20"/>
          <w:color w:val="auto"/>
        </w:rPr>
      </w:pPr>
    </w:p>
    <w:p>
      <w:pPr>
        <w:ind w:left="1520" w:right="440" w:hanging="1052"/>
        <w:spacing w:after="0" w:line="277" w:lineRule="auto"/>
        <w:tabs>
          <w:tab w:leader="none" w:pos="15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Within our fair value hierarchy table, our investments are generally categorized as first lien, second lien, subordinated debt and preferred and common equity investments. The companies in which we invest are typically highly leveraged, and, in most cases, are not rated by national rating agencies. If</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80"/>
          </w:cols>
          <w:pgMar w:left="240" w:top="460" w:right="2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such companies were rated, we believe that they would typically receive a rating below investment grade (between BB and CCC under the Standard &amp; Poor’s system) from the national rating agencies.</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fiscal year ended September 30, 2013, our ability to observe valuation inputs has resulted in a reclassification of an investment from Level 3 to 2 with no other reclassifications of assets between levels. During the fiscal year ended September 30, 2012, our ability to observe valuation inputs resulted in no reclassification of assets between levels.</w:t>
      </w:r>
    </w:p>
    <w:p>
      <w:pPr>
        <w:spacing w:after="0" w:line="173"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addition to using the above inputs in cash equivalents, investments, the 2025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8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As outlined in the table below, some of our Level 3 investments using a market approach valuation technique are valued using the average of the bids from brokers or dealers. The bids include a disclaimer, may not have corroborating evidence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188"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The remainder of our portfolio, including our long-term Credit Facility, classified as Level 3 was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2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Fair Value at</w:t>
            </w:r>
          </w:p>
        </w:tc>
        <w:tc>
          <w:tcPr>
            <w:tcW w:w="2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Valuation Technique</w:t>
            </w:r>
          </w:p>
        </w:tc>
        <w:tc>
          <w:tcPr>
            <w:tcW w:w="2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Unobservable Input</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31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September 30, 2013</w:t>
            </w:r>
          </w:p>
        </w:tc>
        <w:tc>
          <w:tcPr>
            <w:tcW w:w="2240" w:type="dxa"/>
            <w:vAlign w:val="bottom"/>
            <w:gridSpan w:val="2"/>
            <w:vMerge w:val="continue"/>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color w:val="auto"/>
              </w:rPr>
              <w:t>First lien, second lien, subordinated</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debt/corporate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448,842,465</w:t>
            </w:r>
          </w:p>
        </w:tc>
        <w:tc>
          <w:tcPr>
            <w:tcW w:w="22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3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Broker/Dealer bid quotes</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Arial" w:cs="Arial" w:eastAsia="Arial" w:hAnsi="Arial"/>
                <w:sz w:val="16"/>
                <w:szCs w:val="16"/>
                <w:color w:val="auto"/>
              </w:rPr>
              <w:t>First lien, second lien, subordinated</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60" w:type="dxa"/>
            <w:vAlign w:val="bottom"/>
            <w:gridSpan w:val="2"/>
          </w:tcPr>
          <w:p>
            <w:pPr>
              <w:ind w:left="160"/>
              <w:spacing w:after="0"/>
              <w:rPr>
                <w:sz w:val="20"/>
                <w:szCs w:val="20"/>
                <w:color w:val="auto"/>
              </w:rPr>
            </w:pPr>
            <w:r>
              <w:rPr>
                <w:rFonts w:ascii="Arial" w:cs="Arial" w:eastAsia="Arial" w:hAnsi="Arial"/>
                <w:sz w:val="16"/>
                <w:szCs w:val="16"/>
                <w:color w:val="auto"/>
              </w:rPr>
              <w:t>debt/corporate notes</w:t>
            </w:r>
          </w:p>
        </w:tc>
        <w:tc>
          <w:tcPr>
            <w:tcW w:w="120" w:type="dxa"/>
            <w:vAlign w:val="bottom"/>
          </w:tcPr>
          <w:p>
            <w:pPr>
              <w:spacing w:after="0"/>
              <w:rPr>
                <w:sz w:val="17"/>
                <w:szCs w:val="17"/>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6"/>
                <w:szCs w:val="16"/>
                <w:color w:val="auto"/>
              </w:rPr>
              <w:t>466,571,947</w:t>
            </w:r>
          </w:p>
        </w:tc>
        <w:tc>
          <w:tcPr>
            <w:tcW w:w="22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32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9.5% - 21.5% (13.5%)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Preferred and common equity</w:t>
            </w: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110,923,754</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Enterprise Market Value</w:t>
            </w:r>
          </w:p>
        </w:tc>
        <w:tc>
          <w:tcPr>
            <w:tcW w:w="23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8"/>
              </w:rPr>
              <w:t>EBITDA multiple</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6.0 - 15.0 (9.0)</w:t>
            </w:r>
          </w:p>
        </w:tc>
        <w:tc>
          <w:tcPr>
            <w:tcW w:w="0" w:type="dxa"/>
            <w:vAlign w:val="bottom"/>
          </w:tcPr>
          <w:p>
            <w:pPr>
              <w:spacing w:after="0"/>
              <w:rPr>
                <w:sz w:val="1"/>
                <w:szCs w:val="1"/>
                <w:color w:val="auto"/>
              </w:rPr>
            </w:pPr>
          </w:p>
        </w:tc>
      </w:tr>
      <w:tr>
        <w:trPr>
          <w:trHeight w:val="217"/>
        </w:trPr>
        <w:tc>
          <w:tcPr>
            <w:tcW w:w="3180" w:type="dxa"/>
            <w:vAlign w:val="bottom"/>
            <w:gridSpan w:val="3"/>
          </w:tcPr>
          <w:p>
            <w:pPr>
              <w:spacing w:after="0"/>
              <w:rPr>
                <w:sz w:val="20"/>
                <w:szCs w:val="20"/>
                <w:color w:val="auto"/>
              </w:rPr>
            </w:pPr>
            <w:r>
              <w:rPr>
                <w:rFonts w:ascii="Arial" w:cs="Arial" w:eastAsia="Arial" w:hAnsi="Arial"/>
                <w:sz w:val="16"/>
                <w:szCs w:val="16"/>
                <w:color w:val="auto"/>
              </w:rPr>
              <w:t>Total Level 3 investments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1,026,338,166</w:t>
            </w: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Credit Facility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117,500,000</w:t>
            </w:r>
          </w:p>
        </w:tc>
        <w:tc>
          <w:tcPr>
            <w:tcW w:w="30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3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1"/>
              </w:rPr>
              <w:t>Discount rate</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3.6%</w:t>
            </w:r>
          </w:p>
        </w:tc>
        <w:tc>
          <w:tcPr>
            <w:tcW w:w="0" w:type="dxa"/>
            <w:vAlign w:val="bottom"/>
          </w:tcPr>
          <w:p>
            <w:pPr>
              <w:spacing w:after="0"/>
              <w:rPr>
                <w:sz w:val="1"/>
                <w:szCs w:val="1"/>
                <w:color w:val="auto"/>
              </w:rPr>
            </w:pPr>
          </w:p>
        </w:tc>
      </w:tr>
      <w:tr>
        <w:trPr>
          <w:trHeight w:val="349"/>
        </w:trPr>
        <w:tc>
          <w:tcPr>
            <w:tcW w:w="3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20" w:type="dxa"/>
            <w:vAlign w:val="bottom"/>
          </w:tcPr>
          <w:p>
            <w:pPr>
              <w:spacing w:after="0"/>
              <w:rPr>
                <w:sz w:val="24"/>
                <w:szCs w:val="2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Fair Value at</w:t>
            </w:r>
          </w:p>
        </w:tc>
        <w:tc>
          <w:tcPr>
            <w:tcW w:w="2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Valuation Technique</w:t>
            </w:r>
          </w:p>
        </w:tc>
        <w:tc>
          <w:tcPr>
            <w:tcW w:w="2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Unobservable Input</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31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September 30, 2012</w:t>
            </w:r>
          </w:p>
        </w:tc>
        <w:tc>
          <w:tcPr>
            <w:tcW w:w="2240" w:type="dxa"/>
            <w:vAlign w:val="bottom"/>
            <w:gridSpan w:val="2"/>
            <w:vMerge w:val="continue"/>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color w:val="auto"/>
              </w:rPr>
              <w:t>First lien, second lien, subordinated</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debt/corporate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258,617,082</w:t>
            </w:r>
          </w:p>
        </w:tc>
        <w:tc>
          <w:tcPr>
            <w:tcW w:w="22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3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Broker/Dealer bid quotes</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Arial" w:cs="Arial" w:eastAsia="Arial" w:hAnsi="Arial"/>
                <w:sz w:val="16"/>
                <w:szCs w:val="16"/>
                <w:color w:val="auto"/>
              </w:rPr>
              <w:t>First lien, second lien, subordinated</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60" w:type="dxa"/>
            <w:vAlign w:val="bottom"/>
            <w:gridSpan w:val="2"/>
          </w:tcPr>
          <w:p>
            <w:pPr>
              <w:ind w:left="160"/>
              <w:spacing w:after="0"/>
              <w:rPr>
                <w:sz w:val="20"/>
                <w:szCs w:val="20"/>
                <w:color w:val="auto"/>
              </w:rPr>
            </w:pPr>
            <w:r>
              <w:rPr>
                <w:rFonts w:ascii="Arial" w:cs="Arial" w:eastAsia="Arial" w:hAnsi="Arial"/>
                <w:sz w:val="16"/>
                <w:szCs w:val="16"/>
                <w:color w:val="auto"/>
              </w:rPr>
              <w:t>debt/corporate notes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300"/>
              <w:spacing w:after="0"/>
              <w:rPr>
                <w:sz w:val="20"/>
                <w:szCs w:val="20"/>
                <w:color w:val="auto"/>
              </w:rPr>
            </w:pPr>
            <w:r>
              <w:rPr>
                <w:rFonts w:ascii="Arial" w:cs="Arial" w:eastAsia="Arial" w:hAnsi="Arial"/>
                <w:sz w:val="16"/>
                <w:szCs w:val="16"/>
                <w:color w:val="auto"/>
              </w:rPr>
              <w:t>589,806,989</w:t>
            </w:r>
          </w:p>
        </w:tc>
        <w:tc>
          <w:tcPr>
            <w:tcW w:w="22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32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8.4% - 19.0% (14.1%)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Preferred and common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101,323,123</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Enterprise Market Value</w:t>
            </w:r>
          </w:p>
        </w:tc>
        <w:tc>
          <w:tcPr>
            <w:tcW w:w="23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8"/>
              </w:rPr>
              <w:t>EBITDA multiple</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4.3x - 15.5x (8.5x)</w:t>
            </w:r>
          </w:p>
        </w:tc>
        <w:tc>
          <w:tcPr>
            <w:tcW w:w="0" w:type="dxa"/>
            <w:vAlign w:val="bottom"/>
          </w:tcPr>
          <w:p>
            <w:pPr>
              <w:spacing w:after="0"/>
              <w:rPr>
                <w:sz w:val="1"/>
                <w:szCs w:val="1"/>
                <w:color w:val="auto"/>
              </w:rPr>
            </w:pPr>
          </w:p>
        </w:tc>
      </w:tr>
      <w:tr>
        <w:trPr>
          <w:trHeight w:val="217"/>
        </w:trPr>
        <w:tc>
          <w:tcPr>
            <w:tcW w:w="3180" w:type="dxa"/>
            <w:vAlign w:val="bottom"/>
            <w:gridSpan w:val="3"/>
          </w:tcPr>
          <w:p>
            <w:pPr>
              <w:spacing w:after="0"/>
              <w:rPr>
                <w:sz w:val="20"/>
                <w:szCs w:val="20"/>
                <w:color w:val="auto"/>
              </w:rPr>
            </w:pPr>
            <w:r>
              <w:rPr>
                <w:rFonts w:ascii="Arial" w:cs="Arial" w:eastAsia="Arial" w:hAnsi="Arial"/>
                <w:sz w:val="16"/>
                <w:szCs w:val="16"/>
                <w:color w:val="auto"/>
              </w:rPr>
              <w:t>Total Level 3 investments</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949,747,194</w:t>
            </w: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Credit Facility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144,452,500</w:t>
            </w:r>
          </w:p>
        </w:tc>
        <w:tc>
          <w:tcPr>
            <w:tcW w:w="30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3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1"/>
              </w:rPr>
              <w:t>Discount rate</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3.5%</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Our cash equivalents, 2025 Notes and investments and our Credit Facility were categorized as follows in the fair value hierarchy for ASC 820 purposes: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0" w:type="dxa"/>
            <w:vAlign w:val="bottom"/>
            <w:gridSpan w:val="7"/>
          </w:tcPr>
          <w:p>
            <w:pPr>
              <w:ind w:left="40"/>
              <w:spacing w:after="0"/>
              <w:rPr>
                <w:sz w:val="20"/>
                <w:szCs w:val="20"/>
                <w:color w:val="auto"/>
              </w:rPr>
            </w:pPr>
            <w:r>
              <w:rPr>
                <w:rFonts w:ascii="Arial" w:cs="Arial" w:eastAsia="Arial" w:hAnsi="Arial"/>
                <w:sz w:val="14"/>
                <w:szCs w:val="14"/>
                <w:b w:val="1"/>
                <w:bCs w:val="1"/>
                <w:color w:val="auto"/>
              </w:rPr>
              <w:t>Fair Value at September 30, 2013</w:t>
            </w:r>
          </w:p>
        </w:tc>
        <w:tc>
          <w:tcPr>
            <w:tcW w:w="0" w:type="dxa"/>
            <w:vAlign w:val="bottom"/>
          </w:tcPr>
          <w:p>
            <w:pPr>
              <w:spacing w:after="0"/>
              <w:rPr>
                <w:sz w:val="1"/>
                <w:szCs w:val="1"/>
                <w:color w:val="auto"/>
              </w:rPr>
            </w:pPr>
          </w:p>
        </w:tc>
      </w:tr>
      <w:tr>
        <w:trPr>
          <w:trHeight w:val="142"/>
        </w:trPr>
        <w:tc>
          <w:tcPr>
            <w:tcW w:w="55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Level 1</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Loan and</w:t>
            </w: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959,506,815</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$ 44,092,400</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915,414,415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118,668,738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7,539,320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205,667</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110,923,751</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2"/>
              </w:rPr>
              <w:t>1,078,175,553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7,539,320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44,298,067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1,026,338,166</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58,440,829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58,440,829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 cash and cash equivalents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2"/>
              </w:rPr>
              <w:t>1,136,616,382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65,980,149</w:t>
            </w:r>
          </w:p>
        </w:tc>
        <w:tc>
          <w:tcPr>
            <w:tcW w:w="18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$ 44,298,067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1,026,338,166</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Long-Term Credit Facility (excluding temporary draw of $28.0 million)</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117,500,000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68,400,000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68,400,000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185,900,000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68,400,000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gridSpan w:val="7"/>
          </w:tcPr>
          <w:p>
            <w:pPr>
              <w:ind w:left="40"/>
              <w:spacing w:after="0"/>
              <w:rPr>
                <w:sz w:val="20"/>
                <w:szCs w:val="20"/>
                <w:color w:val="auto"/>
              </w:rPr>
            </w:pPr>
            <w:r>
              <w:rPr>
                <w:rFonts w:ascii="Arial" w:cs="Arial" w:eastAsia="Arial" w:hAnsi="Arial"/>
                <w:sz w:val="14"/>
                <w:szCs w:val="14"/>
                <w:b w:val="1"/>
                <w:bCs w:val="1"/>
                <w:color w:val="auto"/>
              </w:rPr>
              <w:t>Fair Value at September 30, 2012</w:t>
            </w:r>
          </w:p>
        </w:tc>
        <w:tc>
          <w:tcPr>
            <w:tcW w:w="0" w:type="dxa"/>
            <w:vAlign w:val="bottom"/>
          </w:tcPr>
          <w:p>
            <w:pPr>
              <w:spacing w:after="0"/>
              <w:rPr>
                <w:sz w:val="1"/>
                <w:szCs w:val="1"/>
                <w:color w:val="auto"/>
              </w:rPr>
            </w:pPr>
          </w:p>
        </w:tc>
      </w:tr>
      <w:tr>
        <w:trPr>
          <w:trHeight w:val="142"/>
        </w:trPr>
        <w:tc>
          <w:tcPr>
            <w:tcW w:w="55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Level 1</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Loan and</w:t>
            </w: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883,699,431</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$ 35,275,360</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848,424,071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106,780,279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5,425,378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31,778</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101,323,123</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990,479,710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5,425,378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35,307,138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949,747,194</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7,559,453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7,559,453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 cash and cash equivalents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998,039,163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12,984,831</w:t>
            </w:r>
          </w:p>
        </w:tc>
        <w:tc>
          <w:tcPr>
            <w:tcW w:w="18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$ 35,307,138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949,747,194</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Long-Term Credit Facility (excluding temporary draw of $35.5 million)</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108,952,500</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108,952,500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Year Ended September 30, 2013</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tcPr>
          <w:p>
            <w:pPr>
              <w:jc w:val="right"/>
              <w:ind w:right="468"/>
              <w:spacing w:after="0" w:line="119" w:lineRule="exact"/>
              <w:rPr>
                <w:sz w:val="20"/>
                <w:szCs w:val="20"/>
                <w:color w:val="auto"/>
              </w:rPr>
            </w:pPr>
            <w:r>
              <w:rPr>
                <w:rFonts w:ascii="Arial" w:cs="Arial" w:eastAsia="Arial" w:hAnsi="Arial"/>
                <w:sz w:val="13"/>
                <w:szCs w:val="13"/>
                <w:b w:val="1"/>
                <w:bCs w:val="1"/>
                <w:color w:val="auto"/>
              </w:rPr>
              <w:t>Loan and debt</w:t>
            </w:r>
          </w:p>
        </w:tc>
        <w:tc>
          <w:tcPr>
            <w:tcW w:w="1480" w:type="dxa"/>
            <w:vAlign w:val="bottom"/>
            <w:gridSpan w:val="2"/>
          </w:tcPr>
          <w:p>
            <w:pPr>
              <w:jc w:val="right"/>
              <w:ind w:right="740"/>
              <w:spacing w:after="0" w:line="119" w:lineRule="exact"/>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0"/>
                <w:szCs w:val="10"/>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8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auto"/>
                <w:w w:val="97"/>
              </w:rPr>
              <w:t>investments</w:t>
            </w: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Beginning</w:t>
            </w:r>
          </w:p>
        </w:tc>
        <w:tc>
          <w:tcPr>
            <w:tcW w:w="60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 September 30, 2012</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848,424,071</w:t>
            </w:r>
          </w:p>
        </w:tc>
        <w:tc>
          <w:tcPr>
            <w:tcW w:w="4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$ 101,323,123</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949,747,194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Realized gains (losses)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368"/>
              <w:spacing w:after="0"/>
              <w:rPr>
                <w:sz w:val="20"/>
                <w:szCs w:val="20"/>
                <w:color w:val="auto"/>
              </w:rPr>
            </w:pPr>
            <w:r>
              <w:rPr>
                <w:rFonts w:ascii="Arial" w:cs="Arial" w:eastAsia="Arial" w:hAnsi="Arial"/>
                <w:sz w:val="18"/>
                <w:szCs w:val="18"/>
                <w:color w:val="auto"/>
              </w:rPr>
              <w:t>6,721,638</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3,311,652</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10,033,290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appreciation</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35,227,586</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(28,273,765)</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6,953,821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Purchases, PIK, net discount accretion and non-cash exchanges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368"/>
              <w:spacing w:after="0"/>
              <w:rPr>
                <w:sz w:val="20"/>
                <w:szCs w:val="20"/>
                <w:color w:val="auto"/>
              </w:rPr>
            </w:pPr>
            <w:r>
              <w:rPr>
                <w:rFonts w:ascii="Arial" w:cs="Arial" w:eastAsia="Arial" w:hAnsi="Arial"/>
                <w:sz w:val="18"/>
                <w:szCs w:val="18"/>
                <w:color w:val="auto"/>
                <w:w w:val="99"/>
              </w:rPr>
              <w:t>512,045,145</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46,647,608</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558,692,753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 repayments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94"/>
              </w:rPr>
              <w:t>(474,164,025)</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(12,084,867)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(486,248,892)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Transfers in or out of Level 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308"/>
              <w:spacing w:after="0"/>
              <w:rPr>
                <w:sz w:val="20"/>
                <w:szCs w:val="20"/>
                <w:color w:val="auto"/>
              </w:rPr>
            </w:pPr>
            <w:r>
              <w:rPr>
                <w:rFonts w:ascii="Arial" w:cs="Arial" w:eastAsia="Arial" w:hAnsi="Arial"/>
                <w:sz w:val="18"/>
                <w:szCs w:val="18"/>
                <w:color w:val="auto"/>
              </w:rPr>
              <w:t>(12,840,000)</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(12,840,000)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2013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w w:val="99"/>
              </w:rPr>
              <w:t>915,414,415</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$ 110,923,751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1,026,338,166</w:t>
            </w:r>
          </w:p>
        </w:tc>
        <w:tc>
          <w:tcPr>
            <w:tcW w:w="0" w:type="dxa"/>
            <w:vAlign w:val="bottom"/>
          </w:tcPr>
          <w:p>
            <w:pPr>
              <w:spacing w:after="0"/>
              <w:rPr>
                <w:sz w:val="1"/>
                <w:szCs w:val="1"/>
                <w:color w:val="auto"/>
              </w:rPr>
            </w:pPr>
          </w:p>
        </w:tc>
      </w:tr>
      <w:tr>
        <w:trPr>
          <w:trHeight w:val="209"/>
        </w:trPr>
        <w:tc>
          <w:tcPr>
            <w:tcW w:w="6800" w:type="dxa"/>
            <w:vAlign w:val="bottom"/>
            <w:gridSpan w:val="3"/>
          </w:tcPr>
          <w:p>
            <w:pPr>
              <w:spacing w:after="0"/>
              <w:rPr>
                <w:sz w:val="20"/>
                <w:szCs w:val="20"/>
                <w:color w:val="auto"/>
              </w:rPr>
            </w:pPr>
            <w:r>
              <w:rPr>
                <w:rFonts w:ascii="Arial" w:cs="Arial" w:eastAsia="Arial" w:hAnsi="Arial"/>
                <w:sz w:val="18"/>
                <w:szCs w:val="18"/>
                <w:color w:val="auto"/>
                <w:w w:val="95"/>
              </w:rPr>
              <w:t>Net change in unrealized appreciation (depreciation) for the fiscal year reported within the</w:t>
            </w: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160"/>
              <w:spacing w:after="0"/>
              <w:rPr>
                <w:sz w:val="20"/>
                <w:szCs w:val="20"/>
                <w:color w:val="auto"/>
              </w:rPr>
            </w:pPr>
            <w:r>
              <w:rPr>
                <w:rFonts w:ascii="Arial" w:cs="Arial" w:eastAsia="Arial" w:hAnsi="Arial"/>
                <w:sz w:val="18"/>
                <w:szCs w:val="18"/>
                <w:color w:val="auto"/>
                <w:w w:val="94"/>
              </w:rPr>
              <w:t>net change in unrealized appreciation (depreciation) on investments in our Consolidated</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gridSpan w:val="2"/>
          </w:tcPr>
          <w:p>
            <w:pPr>
              <w:ind w:left="160"/>
              <w:spacing w:after="0"/>
              <w:rPr>
                <w:sz w:val="20"/>
                <w:szCs w:val="20"/>
                <w:color w:val="auto"/>
              </w:rPr>
            </w:pPr>
            <w:r>
              <w:rPr>
                <w:rFonts w:ascii="Arial" w:cs="Arial" w:eastAsia="Arial" w:hAnsi="Arial"/>
                <w:sz w:val="18"/>
                <w:szCs w:val="18"/>
                <w:color w:val="auto"/>
                <w:w w:val="94"/>
              </w:rPr>
              <w:t>Statement of Operations attributable to our Level 3 assets still held at the reporting date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68"/>
              <w:spacing w:after="0"/>
              <w:rPr>
                <w:sz w:val="20"/>
                <w:szCs w:val="20"/>
                <w:color w:val="auto"/>
              </w:rPr>
            </w:pPr>
            <w:r>
              <w:rPr>
                <w:rFonts w:ascii="Arial" w:cs="Arial" w:eastAsia="Arial" w:hAnsi="Arial"/>
                <w:sz w:val="18"/>
                <w:szCs w:val="18"/>
                <w:color w:val="auto"/>
              </w:rPr>
              <w:t>33,158,082</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 (30,958,706)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2,199,376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80" w:type="dxa"/>
            <w:vAlign w:val="bottom"/>
          </w:tcPr>
          <w:p>
            <w:pPr>
              <w:ind w:left="4820"/>
              <w:spacing w:after="0"/>
              <w:rPr>
                <w:sz w:val="20"/>
                <w:szCs w:val="20"/>
                <w:color w:val="auto"/>
              </w:rPr>
            </w:pPr>
            <w:r>
              <w:rPr>
                <w:rFonts w:ascii="Arial" w:cs="Arial" w:eastAsia="Arial" w:hAnsi="Arial"/>
                <w:sz w:val="18"/>
                <w:szCs w:val="18"/>
                <w:color w:val="auto"/>
              </w:rPr>
              <w:t>F-28</w:t>
            </w: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 2012</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10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Loan and debt</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rPr>
              <w:t>Equity</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1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investments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investments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Beginning</w:t>
            </w:r>
          </w:p>
        </w:tc>
        <w:tc>
          <w:tcPr>
            <w:tcW w:w="6380" w:type="dxa"/>
            <w:vAlign w:val="bottom"/>
            <w:tcBorders>
              <w:top w:val="single" w:sz="8" w:color="CCEEFF"/>
              <w:right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 September 30, 2011</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732,694,451</w:t>
            </w: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52,353,328</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785,047,779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Realized gains (losses)</w:t>
            </w:r>
          </w:p>
        </w:tc>
        <w:tc>
          <w:tcPr>
            <w:tcW w:w="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(1,893,297)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(865,772)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(2,759,069)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Unrealized appreciation</w:t>
            </w:r>
          </w:p>
        </w:tc>
        <w:tc>
          <w:tcPr>
            <w:tcW w:w="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23,034,558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(11,283,219)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11,751,339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Purchases, PIK, net discount accretion and non-cash exchanges</w:t>
            </w:r>
          </w:p>
        </w:tc>
        <w:tc>
          <w:tcPr>
            <w:tcW w:w="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288,868,017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66,892,499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355,760,516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Sales / repayments</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(194,279,658)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(5,773,713)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(200,053,371)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Transfers in or out of Level 3</w:t>
            </w:r>
          </w:p>
        </w:tc>
        <w:tc>
          <w:tcPr>
            <w:tcW w:w="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2012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848,424,071</w:t>
            </w: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101,323,123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949,747,194</w:t>
            </w:r>
          </w:p>
        </w:tc>
        <w:tc>
          <w:tcPr>
            <w:tcW w:w="0" w:type="dxa"/>
            <w:vAlign w:val="bottom"/>
          </w:tcPr>
          <w:p>
            <w:pPr>
              <w:spacing w:after="0"/>
              <w:rPr>
                <w:sz w:val="1"/>
                <w:szCs w:val="1"/>
                <w:color w:val="auto"/>
              </w:rPr>
            </w:pPr>
          </w:p>
        </w:tc>
      </w:tr>
      <w:tr>
        <w:trPr>
          <w:trHeight w:val="209"/>
        </w:trPr>
        <w:tc>
          <w:tcPr>
            <w:tcW w:w="7100" w:type="dxa"/>
            <w:vAlign w:val="bottom"/>
            <w:gridSpan w:val="3"/>
          </w:tcPr>
          <w:p>
            <w:pPr>
              <w:spacing w:after="0"/>
              <w:rPr>
                <w:sz w:val="20"/>
                <w:szCs w:val="20"/>
                <w:color w:val="auto"/>
              </w:rPr>
            </w:pPr>
            <w:r>
              <w:rPr>
                <w:rFonts w:ascii="Arial" w:cs="Arial" w:eastAsia="Arial" w:hAnsi="Arial"/>
                <w:sz w:val="18"/>
                <w:szCs w:val="18"/>
                <w:color w:val="auto"/>
                <w:w w:val="99"/>
              </w:rPr>
              <w:t>Net change in unrealized appreciation (depreciation) for the fiscal year reported within the</w:t>
            </w:r>
          </w:p>
        </w:tc>
        <w:tc>
          <w:tcPr>
            <w:tcW w:w="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160"/>
              <w:spacing w:after="0"/>
              <w:rPr>
                <w:sz w:val="20"/>
                <w:szCs w:val="20"/>
                <w:color w:val="auto"/>
              </w:rPr>
            </w:pPr>
            <w:r>
              <w:rPr>
                <w:rFonts w:ascii="Arial" w:cs="Arial" w:eastAsia="Arial" w:hAnsi="Arial"/>
                <w:sz w:val="18"/>
                <w:szCs w:val="18"/>
                <w:color w:val="auto"/>
                <w:w w:val="98"/>
              </w:rPr>
              <w:t>net change in unrealized appreciation (depreciation) on investments in our Consolidated</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gridSpan w:val="2"/>
          </w:tcPr>
          <w:p>
            <w:pPr>
              <w:ind w:left="160"/>
              <w:spacing w:after="0"/>
              <w:rPr>
                <w:sz w:val="20"/>
                <w:szCs w:val="20"/>
                <w:color w:val="auto"/>
              </w:rPr>
            </w:pPr>
            <w:r>
              <w:rPr>
                <w:rFonts w:ascii="Arial" w:cs="Arial" w:eastAsia="Arial" w:hAnsi="Arial"/>
                <w:sz w:val="18"/>
                <w:szCs w:val="18"/>
                <w:color w:val="auto"/>
                <w:w w:val="98"/>
              </w:rPr>
              <w:t>Statement of Operations attributable to our Level 3 assets still held at the reporting date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25,864,375</w:t>
            </w:r>
          </w:p>
        </w:tc>
        <w:tc>
          <w:tcPr>
            <w:tcW w:w="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(9,858,219)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16,006,156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2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Carrying / Fair Value</w:t>
            </w:r>
          </w:p>
        </w:tc>
        <w:tc>
          <w:tcPr>
            <w:tcW w:w="0" w:type="dxa"/>
            <w:vAlign w:val="bottom"/>
          </w:tcPr>
          <w:p>
            <w:pPr>
              <w:spacing w:after="0"/>
              <w:rPr>
                <w:sz w:val="1"/>
                <w:szCs w:val="1"/>
                <w:color w:val="auto"/>
              </w:rPr>
            </w:pPr>
          </w:p>
        </w:tc>
      </w:tr>
      <w:tr>
        <w:trPr>
          <w:trHeight w:val="119"/>
        </w:trPr>
        <w:tc>
          <w:tcPr>
            <w:tcW w:w="8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Credit Facility</w:t>
            </w:r>
          </w:p>
        </w:tc>
        <w:tc>
          <w:tcPr>
            <w:tcW w:w="160" w:type="dxa"/>
            <w:vAlign w:val="bottom"/>
            <w:tcBorders>
              <w:top w:val="single" w:sz="8" w:color="auto"/>
            </w:tcBorders>
          </w:tcPr>
          <w:p>
            <w:pPr>
              <w:spacing w:after="0"/>
              <w:rPr>
                <w:sz w:val="10"/>
                <w:szCs w:val="10"/>
                <w:color w:val="auto"/>
              </w:rPr>
            </w:pPr>
          </w:p>
        </w:tc>
        <w:tc>
          <w:tcPr>
            <w:tcW w:w="1800" w:type="dxa"/>
            <w:vAlign w:val="bottom"/>
            <w:tcBorders>
              <w:top w:val="single" w:sz="8" w:color="auto"/>
            </w:tcBorders>
            <w:gridSpan w:val="3"/>
          </w:tcPr>
          <w:p>
            <w:pPr>
              <w:jc w:val="right"/>
              <w:ind w:right="1000"/>
              <w:spacing w:after="0" w:line="119" w:lineRule="exact"/>
              <w:rPr>
                <w:sz w:val="20"/>
                <w:szCs w:val="20"/>
                <w:color w:val="auto"/>
              </w:rPr>
            </w:pPr>
            <w:r>
              <w:rPr>
                <w:rFonts w:ascii="Arial" w:cs="Arial" w:eastAsia="Arial" w:hAnsi="Arial"/>
                <w:sz w:val="13"/>
                <w:szCs w:val="13"/>
                <w:b w:val="1"/>
                <w:bCs w:val="1"/>
                <w:color w:val="auto"/>
              </w:rPr>
              <w:t>Year Ended</w:t>
            </w: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153"/>
              <w:spacing w:after="0" w:line="119"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140" w:type="dxa"/>
            <w:vAlign w:val="bottom"/>
            <w:gridSpan w:val="2"/>
            <w:vMerge w:val="continue"/>
          </w:tcPr>
          <w:p>
            <w:pPr>
              <w:spacing w:after="0"/>
              <w:rPr>
                <w:sz w:val="14"/>
                <w:szCs w:val="14"/>
                <w:color w:val="auto"/>
              </w:rPr>
            </w:pPr>
          </w:p>
        </w:tc>
        <w:tc>
          <w:tcPr>
            <w:tcW w:w="1960" w:type="dxa"/>
            <w:vAlign w:val="bottom"/>
            <w:gridSpan w:val="4"/>
          </w:tcPr>
          <w:p>
            <w:pPr>
              <w:spacing w:after="0"/>
              <w:rPr>
                <w:sz w:val="20"/>
                <w:szCs w:val="20"/>
                <w:color w:val="auto"/>
              </w:rPr>
            </w:pPr>
            <w:r>
              <w:rPr>
                <w:rFonts w:ascii="Arial" w:cs="Arial" w:eastAsia="Arial" w:hAnsi="Arial"/>
                <w:sz w:val="14"/>
                <w:szCs w:val="14"/>
                <w:b w:val="1"/>
                <w:bCs w:val="1"/>
                <w:color w:val="auto"/>
              </w:rPr>
              <w:t>September 30, 2013</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September 30, 2012</w:t>
            </w:r>
          </w:p>
        </w:tc>
        <w:tc>
          <w:tcPr>
            <w:tcW w:w="0" w:type="dxa"/>
            <w:vAlign w:val="bottom"/>
          </w:tcPr>
          <w:p>
            <w:pPr>
              <w:spacing w:after="0"/>
              <w:rPr>
                <w:sz w:val="1"/>
                <w:szCs w:val="1"/>
                <w:color w:val="auto"/>
              </w:rPr>
            </w:pPr>
          </w:p>
        </w:tc>
      </w:tr>
      <w:tr>
        <w:trPr>
          <w:trHeight w:val="210"/>
        </w:trPr>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w:t>
            </w:r>
          </w:p>
        </w:tc>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(Cost – $109,500,000 and $240,900,000, respectively)</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108,952,500</w:t>
            </w: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238,792,125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Total unrealized depreciation (appreciation) included in earnings</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547,500</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1,560,375</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Borrowings</w:t>
            </w:r>
            <w:r>
              <w:rPr>
                <w:rFonts w:ascii="Arial" w:cs="Arial" w:eastAsia="Arial" w:hAnsi="Arial"/>
                <w:sz w:val="15"/>
                <w:szCs w:val="15"/>
                <w:color w:val="auto"/>
              </w:rPr>
              <w:t>(1)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660,800,000</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556,800,000</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Repayments</w:t>
            </w:r>
            <w:r>
              <w:rPr>
                <w:rFonts w:ascii="Arial" w:cs="Arial" w:eastAsia="Arial" w:hAnsi="Arial"/>
                <w:sz w:val="15"/>
                <w:szCs w:val="15"/>
                <w:color w:val="auto"/>
              </w:rPr>
              <w:t>(1)</w:t>
            </w:r>
          </w:p>
        </w:tc>
        <w:tc>
          <w:tcPr>
            <w:tcW w:w="160" w:type="dxa"/>
            <w:vAlign w:val="bottom"/>
          </w:tcPr>
          <w:p>
            <w:pPr>
              <w:spacing w:after="0"/>
              <w:rPr>
                <w:sz w:val="18"/>
                <w:szCs w:val="18"/>
                <w:color w:val="auto"/>
              </w:rPr>
            </w:pPr>
          </w:p>
        </w:tc>
        <w:tc>
          <w:tcPr>
            <w:tcW w:w="1800" w:type="dxa"/>
            <w:vAlign w:val="bottom"/>
            <w:gridSpan w:val="3"/>
          </w:tcPr>
          <w:p>
            <w:pPr>
              <w:jc w:val="right"/>
              <w:ind w:right="700"/>
              <w:spacing w:after="0"/>
              <w:rPr>
                <w:sz w:val="20"/>
                <w:szCs w:val="20"/>
                <w:color w:val="auto"/>
              </w:rPr>
            </w:pPr>
            <w:r>
              <w:rPr>
                <w:rFonts w:ascii="Arial" w:cs="Arial" w:eastAsia="Arial" w:hAnsi="Arial"/>
                <w:sz w:val="18"/>
                <w:szCs w:val="18"/>
                <w:color w:val="auto"/>
                <w:w w:val="96"/>
              </w:rPr>
              <w:t>(652,800,000)</w:t>
            </w: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(688,200,000)</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Transfers in and/or out of Level 3</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140" w:type="dxa"/>
            <w:vAlign w:val="bottom"/>
            <w:gridSpan w:val="2"/>
          </w:tcPr>
          <w:p>
            <w:pPr>
              <w:spacing w:after="0"/>
              <w:rPr>
                <w:sz w:val="20"/>
                <w:szCs w:val="20"/>
                <w:color w:val="auto"/>
              </w:rPr>
            </w:pPr>
            <w:r>
              <w:rPr>
                <w:rFonts w:ascii="Arial" w:cs="Arial" w:eastAsia="Arial" w:hAnsi="Arial"/>
                <w:sz w:val="18"/>
                <w:szCs w:val="18"/>
                <w:color w:val="auto"/>
              </w:rPr>
              <w:t>Ending Balance (Cost – $117,500,000 and $109,500,000, respectively)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117,500,000</w:t>
            </w:r>
          </w:p>
        </w:tc>
        <w:tc>
          <w:tcPr>
            <w:tcW w:w="74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108,952,500</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Temporary draw outstanding, at cost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28,000,000</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140" w:type="dxa"/>
            <w:vAlign w:val="bottom"/>
            <w:gridSpan w:val="2"/>
          </w:tcPr>
          <w:p>
            <w:pPr>
              <w:spacing w:after="0"/>
              <w:rPr>
                <w:sz w:val="20"/>
                <w:szCs w:val="20"/>
                <w:color w:val="auto"/>
              </w:rPr>
            </w:pPr>
            <w:r>
              <w:rPr>
                <w:rFonts w:ascii="Arial" w:cs="Arial" w:eastAsia="Arial" w:hAnsi="Arial"/>
                <w:sz w:val="18"/>
                <w:szCs w:val="18"/>
                <w:color w:val="auto"/>
              </w:rPr>
              <w:t>Ending Balance (Cost – $145,500,000 and 145,000,000, respectively)</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145,500,000</w:t>
            </w:r>
          </w:p>
        </w:tc>
        <w:tc>
          <w:tcPr>
            <w:tcW w:w="740" w:type="dxa"/>
            <w:vAlign w:val="bottom"/>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144,452,500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122"/>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20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adopted ASC 825-10, which provides companies with an option to report selected financial assets and liabilities at fair value, and made an irrevocable election to apply ASC 825-10 to our Credit Facility and our 2025 Notes. We elected to use the fair value option for the Credit Facility and the 2025 Notes to align the measurement attributes of both our assets and liabilities while mitigating volatility in earnings from using different measurement attributes. Due to that election and in accordance with GAAP, we incurred $2.8 million, $5.4 million and zero debt issuance costs during the year ended September 30, 2013, 2012 and 2011,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2025 Notes are reported in our Consolidated Statement of Operations. We elected not to apply ASC 825-10 to any other financial assets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liabilities, including the SBA debentures. For the fiscal years ended September 30, 2013 and 2012, our Credit Facility and 2025 Notes had a net change in unrealized depreciation (appreciation) of $2.3 million and $(1.6) million, respectively. As of September 30, 2013 and 2012, net unrealized depreciation on our Credit Facility and 2025 Notes totaled $2.8 million and $0.5 million, respectively. We use a nationally recognized independent valuation service to fair value our Credit Facility in a manner consistent with the valuation process that the board of directors approves to value investments. Our 2025 Notes trade on the NYSE and we use the closing price on the exchange to determine their fair value.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AND INCOME ACCRUED FROM AFFILIATED COMPANIES</w:t>
      </w:r>
    </w:p>
    <w:p>
      <w:pPr>
        <w:spacing w:after="0" w:line="12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An affiliated company is a company in which we have ownership of 5% or more of its voting securities. A controlled affiliate is a company in which we own 25% or more of its voting securities. Transactions and accrued income related to our investments with both controlled and non-controlled affiliates for the year ended September 30, 2013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3"/>
              </w:rPr>
              <w:t>Purchases of /</w:t>
            </w:r>
          </w:p>
        </w:tc>
        <w:tc>
          <w:tcPr>
            <w:tcW w:w="100" w:type="dxa"/>
            <w:vAlign w:val="bottom"/>
          </w:tcPr>
          <w:p>
            <w:pPr>
              <w:spacing w:after="0"/>
              <w:rPr>
                <w:sz w:val="13"/>
                <w:szCs w:val="13"/>
                <w:color w:val="auto"/>
              </w:rPr>
            </w:pPr>
          </w:p>
        </w:tc>
        <w:tc>
          <w:tcPr>
            <w:tcW w:w="920" w:type="dxa"/>
            <w:vAlign w:val="bottom"/>
            <w:gridSpan w:val="2"/>
          </w:tcPr>
          <w:p>
            <w:pPr>
              <w:jc w:val="center"/>
              <w:ind w:right="239"/>
              <w:spacing w:after="0"/>
              <w:rPr>
                <w:sz w:val="20"/>
                <w:szCs w:val="20"/>
                <w:color w:val="auto"/>
              </w:rPr>
            </w:pPr>
            <w:r>
              <w:rPr>
                <w:rFonts w:ascii="Arial" w:cs="Arial" w:eastAsia="Arial" w:hAnsi="Arial"/>
                <w:sz w:val="13"/>
                <w:szCs w:val="13"/>
                <w:b w:val="1"/>
                <w:bCs w:val="1"/>
                <w:color w:val="auto"/>
                <w:w w:val="88"/>
              </w:rPr>
              <w:t>Sale of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Investment</w:t>
            </w:r>
          </w:p>
        </w:tc>
        <w:tc>
          <w:tcPr>
            <w:tcW w:w="140" w:type="dxa"/>
            <w:vAlign w:val="bottom"/>
          </w:tcPr>
          <w:p>
            <w:pPr>
              <w:spacing w:after="0"/>
              <w:rPr>
                <w:sz w:val="11"/>
                <w:szCs w:val="11"/>
                <w:color w:val="auto"/>
              </w:rPr>
            </w:pPr>
          </w:p>
        </w:tc>
        <w:tc>
          <w:tcPr>
            <w:tcW w:w="1000" w:type="dxa"/>
            <w:vAlign w:val="bottom"/>
          </w:tcPr>
          <w:p>
            <w:pPr>
              <w:jc w:val="right"/>
              <w:ind w:right="149"/>
              <w:spacing w:after="0" w:line="135" w:lineRule="exact"/>
              <w:rPr>
                <w:sz w:val="20"/>
                <w:szCs w:val="20"/>
                <w:color w:val="auto"/>
              </w:rPr>
            </w:pPr>
            <w:r>
              <w:rPr>
                <w:rFonts w:ascii="Arial" w:cs="Arial" w:eastAsia="Arial" w:hAnsi="Arial"/>
                <w:sz w:val="13"/>
                <w:szCs w:val="13"/>
                <w:b w:val="1"/>
                <w:bCs w:val="1"/>
                <w:color w:val="auto"/>
                <w:w w:val="98"/>
              </w:rPr>
              <w:t>Fair Value at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5"/>
              </w:rPr>
              <w:t>Advances to</w:t>
            </w:r>
          </w:p>
        </w:tc>
        <w:tc>
          <w:tcPr>
            <w:tcW w:w="1020" w:type="dxa"/>
            <w:vAlign w:val="bottom"/>
            <w:gridSpan w:val="3"/>
          </w:tcPr>
          <w:p>
            <w:pPr>
              <w:jc w:val="center"/>
              <w:ind w:right="139"/>
              <w:spacing w:after="0" w:line="135" w:lineRule="exact"/>
              <w:rPr>
                <w:sz w:val="20"/>
                <w:szCs w:val="20"/>
                <w:color w:val="auto"/>
              </w:rPr>
            </w:pPr>
            <w:r>
              <w:rPr>
                <w:rFonts w:ascii="Arial" w:cs="Arial" w:eastAsia="Arial" w:hAnsi="Arial"/>
                <w:sz w:val="13"/>
                <w:szCs w:val="13"/>
                <w:b w:val="1"/>
                <w:bCs w:val="1"/>
                <w:color w:val="auto"/>
                <w:w w:val="89"/>
              </w:rPr>
              <w:t>Distributions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7"/>
              </w:rPr>
              <w:t>Income</w:t>
            </w:r>
          </w:p>
        </w:tc>
        <w:tc>
          <w:tcPr>
            <w:tcW w:w="160" w:type="dxa"/>
            <w:vAlign w:val="bottom"/>
          </w:tcPr>
          <w:p>
            <w:pPr>
              <w:spacing w:after="0"/>
              <w:rPr>
                <w:sz w:val="11"/>
                <w:szCs w:val="11"/>
                <w:color w:val="auto"/>
              </w:rPr>
            </w:pPr>
          </w:p>
        </w:tc>
        <w:tc>
          <w:tcPr>
            <w:tcW w:w="130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1020" w:type="dxa"/>
            <w:vAlign w:val="bottom"/>
            <w:gridSpan w:val="3"/>
          </w:tcPr>
          <w:p>
            <w:pPr>
              <w:jc w:val="right"/>
              <w:ind w:right="119"/>
              <w:spacing w:after="0" w:line="135" w:lineRule="exact"/>
              <w:rPr>
                <w:sz w:val="20"/>
                <w:szCs w:val="20"/>
                <w:color w:val="auto"/>
              </w:rPr>
            </w:pPr>
            <w:r>
              <w:rPr>
                <w:rFonts w:ascii="Arial" w:cs="Arial" w:eastAsia="Arial" w:hAnsi="Arial"/>
                <w:sz w:val="13"/>
                <w:szCs w:val="13"/>
                <w:b w:val="1"/>
                <w:bCs w:val="1"/>
                <w:color w:val="auto"/>
                <w:w w:val="92"/>
              </w:rPr>
              <w:t>Capital Gains /</w:t>
            </w:r>
          </w:p>
        </w:tc>
        <w:tc>
          <w:tcPr>
            <w:tcW w:w="0" w:type="dxa"/>
            <w:vAlign w:val="bottom"/>
          </w:tcPr>
          <w:p>
            <w:pPr>
              <w:spacing w:after="0"/>
              <w:rPr>
                <w:sz w:val="1"/>
                <w:szCs w:val="1"/>
                <w:color w:val="auto"/>
              </w:rPr>
            </w:pPr>
          </w:p>
        </w:tc>
      </w:tr>
      <w:tr>
        <w:trPr>
          <w:trHeight w:val="153"/>
        </w:trPr>
        <w:tc>
          <w:tcPr>
            <w:tcW w:w="4200" w:type="dxa"/>
            <w:vAlign w:val="bottom"/>
            <w:gridSpan w:val="2"/>
            <w:vMerge w:val="continue"/>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b w:val="1"/>
                <w:bCs w:val="1"/>
                <w:color w:val="auto"/>
                <w:w w:val="88"/>
              </w:rPr>
              <w:t>September 30, 2012</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7"/>
              </w:rPr>
              <w:t>Affiliates</w:t>
            </w:r>
          </w:p>
        </w:tc>
        <w:tc>
          <w:tcPr>
            <w:tcW w:w="1020" w:type="dxa"/>
            <w:vAlign w:val="bottom"/>
            <w:gridSpan w:val="3"/>
          </w:tcPr>
          <w:p>
            <w:pPr>
              <w:jc w:val="center"/>
              <w:ind w:right="159"/>
              <w:spacing w:after="0"/>
              <w:rPr>
                <w:sz w:val="20"/>
                <w:szCs w:val="20"/>
                <w:color w:val="auto"/>
              </w:rPr>
            </w:pPr>
            <w:r>
              <w:rPr>
                <w:rFonts w:ascii="Arial" w:cs="Arial" w:eastAsia="Arial" w:hAnsi="Arial"/>
                <w:sz w:val="13"/>
                <w:szCs w:val="13"/>
                <w:b w:val="1"/>
                <w:bCs w:val="1"/>
                <w:color w:val="auto"/>
                <w:w w:val="89"/>
              </w:rPr>
              <w:t>from Affiliates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4"/>
              </w:rPr>
              <w:t>Accrued</w:t>
            </w:r>
          </w:p>
        </w:tc>
        <w:tc>
          <w:tcPr>
            <w:tcW w:w="14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5"/>
              </w:rPr>
              <w:t>September 30, 2013</w:t>
            </w:r>
          </w:p>
        </w:tc>
        <w:tc>
          <w:tcPr>
            <w:tcW w:w="160" w:type="dxa"/>
            <w:vAlign w:val="bottom"/>
          </w:tcPr>
          <w:p>
            <w:pPr>
              <w:spacing w:after="0"/>
              <w:rPr>
                <w:sz w:val="13"/>
                <w:szCs w:val="13"/>
                <w:color w:val="auto"/>
              </w:rPr>
            </w:pPr>
          </w:p>
        </w:tc>
        <w:tc>
          <w:tcPr>
            <w:tcW w:w="860" w:type="dxa"/>
            <w:vAlign w:val="bottom"/>
            <w:gridSpan w:val="2"/>
          </w:tcPr>
          <w:p>
            <w:pPr>
              <w:jc w:val="right"/>
              <w:ind w:right="319"/>
              <w:spacing w:after="0"/>
              <w:rPr>
                <w:sz w:val="20"/>
                <w:szCs w:val="20"/>
                <w:color w:val="auto"/>
              </w:rPr>
            </w:pPr>
            <w:r>
              <w:rPr>
                <w:rFonts w:ascii="Arial" w:cs="Arial" w:eastAsia="Arial" w:hAnsi="Arial"/>
                <w:sz w:val="13"/>
                <w:szCs w:val="13"/>
                <w:b w:val="1"/>
                <w:bCs w:val="1"/>
                <w:color w:val="auto"/>
                <w:w w:val="89"/>
              </w:rPr>
              <w:t>(Losses)</w:t>
            </w: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0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Controlled Affiliates</w:t>
            </w:r>
          </w:p>
        </w:tc>
        <w:tc>
          <w:tcPr>
            <w:tcW w:w="140" w:type="dxa"/>
            <w:vAlign w:val="bottom"/>
            <w:shd w:val="clear" w:color="auto" w:fill="CCEEFF"/>
          </w:tcPr>
          <w:p>
            <w:pPr>
              <w:spacing w:after="0"/>
              <w:rPr>
                <w:sz w:val="11"/>
                <w:szCs w:val="11"/>
                <w:color w:val="auto"/>
              </w:rPr>
            </w:pPr>
          </w:p>
        </w:tc>
        <w:tc>
          <w:tcPr>
            <w:tcW w:w="100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13,175,000</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5,500,000</w:t>
            </w:r>
          </w:p>
        </w:tc>
        <w:tc>
          <w:tcPr>
            <w:tcW w:w="30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(7,500,000)</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1,798,319</w:t>
            </w:r>
          </w:p>
        </w:tc>
        <w:tc>
          <w:tcPr>
            <w:tcW w:w="160" w:type="dxa"/>
            <w:vAlign w:val="bottom"/>
          </w:tcPr>
          <w:p>
            <w:pPr>
              <w:jc w:val="right"/>
              <w:ind w:right="11"/>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13,500,000</w:t>
            </w:r>
          </w:p>
        </w:tc>
        <w:tc>
          <w:tcPr>
            <w:tcW w:w="300" w:type="dxa"/>
            <w:vAlign w:val="bottom"/>
          </w:tcPr>
          <w:p>
            <w:pPr>
              <w:spacing w:after="0"/>
              <w:rPr>
                <w:sz w:val="12"/>
                <w:szCs w:val="12"/>
                <w:color w:val="auto"/>
              </w:rPr>
            </w:pPr>
          </w:p>
        </w:tc>
        <w:tc>
          <w:tcPr>
            <w:tcW w:w="160" w:type="dxa"/>
            <w:vAlign w:val="bottom"/>
          </w:tcPr>
          <w:p>
            <w:pPr>
              <w:jc w:val="right"/>
              <w:ind w:right="45"/>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Universal Pegasus International, LLC</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24,456,708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1,341,667</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(2,041,667)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3,008,010</w:t>
            </w:r>
          </w:p>
        </w:tc>
        <w:tc>
          <w:tcPr>
            <w:tcW w:w="1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19,468,711</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Non-Controlled Affiliates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 Buy Holdings, Inc.**</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10,880,000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956,224</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1,412,589</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17,805,936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(1,350,000)</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18,425,519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1,835,978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21,265,345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17,946,928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77,584</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1,694,296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(1,999,960)</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Performance Holdings, Inc.</w:t>
            </w: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18,028,080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w w:val="95"/>
              </w:rPr>
              <w:t>(15,851,005)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1,408,352</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2,500,165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107,804</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Service Champ, Inc.</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44,501,658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3,910,000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(1,478,400)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3,540,001</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33,470,058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2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Controlled and Non-Controlled Affiliates</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147,413,893</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16,543,869</w:t>
            </w:r>
          </w:p>
        </w:tc>
        <w:tc>
          <w:tcPr>
            <w:tcW w:w="3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(26,871,072</w:t>
            </w:r>
          </w:p>
        </w:tc>
        <w:tc>
          <w:tcPr>
            <w:tcW w:w="180" w:type="dxa"/>
            <w:vAlign w:val="bottom"/>
          </w:tcPr>
          <w:p>
            <w:pPr>
              <w:jc w:val="right"/>
              <w:ind w:right="99"/>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11,244,855</w:t>
            </w:r>
          </w:p>
        </w:tc>
        <w:tc>
          <w:tcPr>
            <w:tcW w:w="2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109,704,511</w:t>
            </w:r>
          </w:p>
        </w:tc>
        <w:tc>
          <w:tcPr>
            <w:tcW w:w="3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(3,242,156</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right="6160" w:firstLine="8"/>
        <w:spacing w:after="0" w:line="291" w:lineRule="auto"/>
        <w:tabs>
          <w:tab w:leader="none" w:pos="338" w:val="left"/>
        </w:tabs>
        <w:numPr>
          <w:ilvl w:val="0"/>
          <w:numId w:val="123"/>
        </w:numPr>
        <w:rPr>
          <w:rFonts w:ascii="Arial" w:cs="Arial" w:eastAsia="Arial" w:hAnsi="Arial"/>
          <w:sz w:val="13"/>
          <w:szCs w:val="13"/>
          <w:color w:val="auto"/>
        </w:rPr>
      </w:pPr>
      <w:r>
        <w:rPr>
          <w:rFonts w:ascii="Arial" w:cs="Arial" w:eastAsia="Arial" w:hAnsi="Arial"/>
          <w:sz w:val="13"/>
          <w:szCs w:val="13"/>
          <w:color w:val="auto"/>
        </w:rPr>
        <w:t>Became a non-controlled affiliate during the three months ended March 31, 2013. ** Became a non-controlled affiliate during the three months ended December 31, 2012.</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426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7"/>
              </w:rPr>
              <w:t>Years ended September 30,</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Borders>
              <w:bottom w:val="single" w:sz="8" w:color="auto"/>
            </w:tcBorders>
            <w:gridSpan w:val="2"/>
            <w:vMerge w:val="continue"/>
          </w:tcPr>
          <w:p>
            <w:pPr>
              <w:spacing w:after="0"/>
              <w:rPr>
                <w:sz w:val="12"/>
                <w:szCs w:val="12"/>
                <w:color w:val="auto"/>
              </w:rPr>
            </w:pPr>
          </w:p>
        </w:tc>
        <w:tc>
          <w:tcPr>
            <w:tcW w:w="42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34"/>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w w:val="98"/>
              </w:rPr>
              <w:t>Numerator for net increase in net assets resulting from operations</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91,777,652</w:t>
            </w: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86"/>
              </w:rPr>
              <w:t>63,353,100</w:t>
            </w: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10,263,474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Denominator for basic/diluted and weighted average shares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66,380,829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52,969,278*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42,196,076</w:t>
            </w: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Basic/diluted net increase in net assets per share resulting from</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35"/>
        </w:trPr>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spacing w:after="0"/>
              <w:rPr>
                <w:sz w:val="11"/>
                <w:szCs w:val="11"/>
                <w:color w:val="auto"/>
              </w:rPr>
            </w:pPr>
          </w:p>
        </w:tc>
        <w:tc>
          <w:tcPr>
            <w:tcW w:w="496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900" w:type="dxa"/>
            <w:vAlign w:val="bottom"/>
            <w:gridSpan w:val="4"/>
          </w:tcPr>
          <w:p>
            <w:pPr>
              <w:ind w:left="120"/>
              <w:spacing w:after="0"/>
              <w:rPr>
                <w:sz w:val="20"/>
                <w:szCs w:val="20"/>
                <w:color w:val="auto"/>
              </w:rPr>
            </w:pPr>
            <w:r>
              <w:rPr>
                <w:rFonts w:ascii="Arial" w:cs="Arial" w:eastAsia="Arial" w:hAnsi="Arial"/>
                <w:sz w:val="14"/>
                <w:szCs w:val="14"/>
                <w:color w:val="auto"/>
              </w:rPr>
              <w:t>The denominator for diluted weighted average shares was 52,975,015 shares.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0"/>
        </w:trPr>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60" w:type="dxa"/>
            <w:vAlign w:val="bottom"/>
          </w:tcPr>
          <w:p>
            <w:pPr>
              <w:ind w:left="3680"/>
              <w:spacing w:after="0"/>
              <w:rPr>
                <w:sz w:val="20"/>
                <w:szCs w:val="20"/>
                <w:color w:val="auto"/>
              </w:rPr>
            </w:pPr>
            <w:r>
              <w:rPr>
                <w:rFonts w:ascii="Arial" w:cs="Arial" w:eastAsia="Arial" w:hAnsi="Arial"/>
                <w:sz w:val="18"/>
                <w:szCs w:val="18"/>
                <w:color w:val="auto"/>
              </w:rPr>
              <w:t>F-30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Dividends from net investment income and net realized capital gains are determined in accordance with U.S. federal tax regulations, which may differ materially from amounts determined in accordance with GAAP.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 The following differences were reclassified for tax purposes for the years ended September 30, 2013, 2012 and 2011:</w:t>
      </w:r>
    </w:p>
    <w:p>
      <w:pPr>
        <w:spacing w:after="0" w:line="17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0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paid-in capital</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903,627</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276,902</w:t>
            </w: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$(228,824)</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Increase (Decrease) in accumulated net realized loss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(824,021)</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2,176,918</w:t>
            </w:r>
          </w:p>
        </w:tc>
        <w:tc>
          <w:tcPr>
            <w:tcW w:w="68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undistributed net investment income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(79,606)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(2,453,820)</w:t>
            </w:r>
          </w:p>
        </w:tc>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$ 228,824</w:t>
            </w:r>
          </w:p>
        </w:tc>
      </w:tr>
    </w:tbl>
    <w:p>
      <w:pPr>
        <w:spacing w:after="0" w:line="202"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As of September 30, 2013 and 2012, the cost of investments for federal income tax purposes was $1,089.8 million and $1,006.8 million, respectively, resulting in a gross unrealized appreciation of $76.8 million and $59.9 million, respectively, and gross unrealized depreciation of $88.4 million and $76.3 million, respectively.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8"/>
              </w:rPr>
              <w:t>Years Ended September 30,</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right"/>
              <w:ind w:right="256"/>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1460" w:type="dxa"/>
            <w:vAlign w:val="bottom"/>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Pr>
          <w:p>
            <w:pPr>
              <w:spacing w:after="0"/>
              <w:rPr>
                <w:sz w:val="12"/>
                <w:szCs w:val="12"/>
                <w:color w:val="auto"/>
              </w:rPr>
            </w:pPr>
          </w:p>
        </w:tc>
        <w:tc>
          <w:tcPr>
            <w:tcW w:w="98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8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$ 91,777,652</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$ 63,353,100</w:t>
            </w:r>
          </w:p>
        </w:tc>
        <w:tc>
          <w:tcPr>
            <w:tcW w:w="6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$ 10,263,474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realized (gain) loss on investments not taxable</w:t>
            </w:r>
          </w:p>
        </w:tc>
        <w:tc>
          <w:tcPr>
            <w:tcW w:w="1940" w:type="dxa"/>
            <w:vAlign w:val="bottom"/>
            <w:gridSpan w:val="3"/>
          </w:tcPr>
          <w:p>
            <w:pPr>
              <w:jc w:val="right"/>
              <w:ind w:right="120"/>
              <w:spacing w:after="0"/>
              <w:rPr>
                <w:sz w:val="20"/>
                <w:szCs w:val="20"/>
                <w:color w:val="auto"/>
              </w:rPr>
            </w:pPr>
            <w:r>
              <w:rPr>
                <w:rFonts w:ascii="Arial" w:cs="Arial" w:eastAsia="Arial" w:hAnsi="Arial"/>
                <w:sz w:val="18"/>
                <w:szCs w:val="18"/>
                <w:color w:val="auto"/>
              </w:rPr>
              <w:t>(17,687,211)</w:t>
            </w:r>
          </w:p>
        </w:tc>
        <w:tc>
          <w:tcPr>
            <w:tcW w:w="2140" w:type="dxa"/>
            <w:vAlign w:val="bottom"/>
            <w:gridSpan w:val="3"/>
          </w:tcPr>
          <w:p>
            <w:pPr>
              <w:jc w:val="right"/>
              <w:ind w:right="680"/>
              <w:spacing w:after="0"/>
              <w:rPr>
                <w:sz w:val="20"/>
                <w:szCs w:val="20"/>
                <w:color w:val="auto"/>
              </w:rPr>
            </w:pPr>
            <w:r>
              <w:rPr>
                <w:rFonts w:ascii="Arial" w:cs="Arial" w:eastAsia="Arial" w:hAnsi="Arial"/>
                <w:sz w:val="18"/>
                <w:szCs w:val="18"/>
                <w:color w:val="auto"/>
              </w:rPr>
              <w:t>12,798,035</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(16,259,622)</w:t>
            </w:r>
          </w:p>
        </w:tc>
      </w:tr>
      <w:tr>
        <w:trPr>
          <w:trHeight w:val="202"/>
        </w:trPr>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Net unrealized (appreciation) depreciation on investments,</w:t>
            </w:r>
          </w:p>
        </w:tc>
        <w:tc>
          <w:tcPr>
            <w:tcW w:w="8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 Facility and 2025 Notes</w:t>
            </w:r>
          </w:p>
        </w:tc>
        <w:tc>
          <w:tcPr>
            <w:tcW w:w="1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(7,092,320)</w:t>
            </w:r>
          </w:p>
        </w:tc>
        <w:tc>
          <w:tcPr>
            <w:tcW w:w="21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(19,081,794)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58,641,223</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Other temporary book-to-tax differences</w:t>
            </w:r>
          </w:p>
        </w:tc>
        <w:tc>
          <w:tcPr>
            <w:tcW w:w="1940" w:type="dxa"/>
            <w:vAlign w:val="bottom"/>
            <w:gridSpan w:val="3"/>
          </w:tcPr>
          <w:p>
            <w:pPr>
              <w:jc w:val="right"/>
              <w:ind w:right="120"/>
              <w:spacing w:after="0"/>
              <w:rPr>
                <w:sz w:val="20"/>
                <w:szCs w:val="20"/>
                <w:color w:val="auto"/>
              </w:rPr>
            </w:pPr>
            <w:r>
              <w:rPr>
                <w:rFonts w:ascii="Arial" w:cs="Arial" w:eastAsia="Arial" w:hAnsi="Arial"/>
                <w:sz w:val="18"/>
                <w:szCs w:val="18"/>
                <w:color w:val="auto"/>
              </w:rPr>
              <w:t>(3,035,861)</w:t>
            </w:r>
          </w:p>
        </w:tc>
        <w:tc>
          <w:tcPr>
            <w:tcW w:w="2140" w:type="dxa"/>
            <w:vAlign w:val="bottom"/>
            <w:gridSpan w:val="3"/>
          </w:tcPr>
          <w:p>
            <w:pPr>
              <w:jc w:val="right"/>
              <w:ind w:right="680"/>
              <w:spacing w:after="0"/>
              <w:rPr>
                <w:sz w:val="20"/>
                <w:szCs w:val="20"/>
                <w:color w:val="auto"/>
              </w:rPr>
            </w:pPr>
            <w:r>
              <w:rPr>
                <w:rFonts w:ascii="Arial" w:cs="Arial" w:eastAsia="Arial" w:hAnsi="Arial"/>
                <w:sz w:val="18"/>
                <w:szCs w:val="18"/>
                <w:color w:val="auto"/>
              </w:rPr>
              <w:t>2,444,817</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(3,178,194)</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2,715,980</w:t>
            </w:r>
          </w:p>
        </w:tc>
        <w:tc>
          <w:tcPr>
            <w:tcW w:w="18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307,990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228,824</w:t>
            </w: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Taxable income before deductions for distributions</w:t>
            </w:r>
          </w:p>
        </w:tc>
        <w:tc>
          <w:tcPr>
            <w:tcW w:w="8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$ 66,678,240</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$ 59,822,148</w:t>
            </w:r>
          </w:p>
        </w:tc>
        <w:tc>
          <w:tcPr>
            <w:tcW w:w="6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$ 49,695,705</w:t>
            </w:r>
          </w:p>
        </w:tc>
        <w:tc>
          <w:tcPr>
            <w:tcW w:w="100" w:type="dxa"/>
            <w:vAlign w:val="bottom"/>
          </w:tcPr>
          <w:p>
            <w:pPr>
              <w:spacing w:after="0"/>
              <w:rPr>
                <w:sz w:val="19"/>
                <w:szCs w:val="19"/>
                <w:color w:val="auto"/>
              </w:rPr>
            </w:pPr>
          </w:p>
        </w:tc>
      </w:tr>
      <w:tr>
        <w:trPr>
          <w:trHeight w:val="372"/>
        </w:trPr>
        <w:tc>
          <w:tcPr>
            <w:tcW w:w="4420" w:type="dxa"/>
            <w:vAlign w:val="bottom"/>
          </w:tcPr>
          <w:p>
            <w:pPr>
              <w:spacing w:after="0"/>
              <w:rPr>
                <w:sz w:val="24"/>
                <w:szCs w:val="24"/>
                <w:color w:val="auto"/>
              </w:rPr>
            </w:pPr>
          </w:p>
        </w:tc>
        <w:tc>
          <w:tcPr>
            <w:tcW w:w="1940" w:type="dxa"/>
            <w:vAlign w:val="bottom"/>
            <w:gridSpan w:val="3"/>
          </w:tcPr>
          <w:p>
            <w:pPr>
              <w:jc w:val="right"/>
              <w:ind w:right="1400"/>
              <w:spacing w:after="0"/>
              <w:rPr>
                <w:sz w:val="20"/>
                <w:szCs w:val="20"/>
                <w:color w:val="auto"/>
              </w:rPr>
            </w:pPr>
            <w:r>
              <w:rPr>
                <w:rFonts w:ascii="Arial" w:cs="Arial" w:eastAsia="Arial" w:hAnsi="Arial"/>
                <w:sz w:val="18"/>
                <w:szCs w:val="18"/>
                <w:color w:val="auto"/>
              </w:rPr>
              <w:t>F-31</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8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surplus on tax basis and reconciliation to accumulated deficit on a book basis are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As of September 30,</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00" w:type="dxa"/>
            <w:vAlign w:val="bottom"/>
          </w:tcPr>
          <w:p>
            <w:pPr>
              <w:spacing w:after="0"/>
              <w:rPr>
                <w:sz w:val="12"/>
                <w:szCs w:val="12"/>
                <w:color w:val="auto"/>
              </w:rPr>
            </w:pPr>
          </w:p>
        </w:tc>
        <w:tc>
          <w:tcPr>
            <w:tcW w:w="98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340" w:type="dxa"/>
            <w:vAlign w:val="bottom"/>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Pr>
          <w:p>
            <w:pPr>
              <w:spacing w:after="0"/>
              <w:rPr>
                <w:sz w:val="12"/>
                <w:szCs w:val="12"/>
                <w:color w:val="auto"/>
              </w:rPr>
            </w:pPr>
          </w:p>
        </w:tc>
        <w:tc>
          <w:tcPr>
            <w:tcW w:w="98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Undistributed ordinary income – tax basis</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$ 15,325,379</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$ 18,634,553</w:t>
            </w:r>
          </w:p>
        </w:tc>
        <w:tc>
          <w:tcPr>
            <w:tcW w:w="6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$ 17,639,482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Undistributed long-term net capital gains</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undistributed taxable income</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15,325,379</w:t>
            </w:r>
          </w:p>
        </w:tc>
        <w:tc>
          <w:tcPr>
            <w:tcW w:w="20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18,634,553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17,639,482</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Capital loss carry forwards</w:t>
            </w:r>
            <w:r>
              <w:rPr>
                <w:rFonts w:ascii="Arial" w:cs="Arial" w:eastAsia="Arial" w:hAnsi="Arial"/>
                <w:sz w:val="15"/>
                <w:szCs w:val="15"/>
                <w:color w:val="auto"/>
              </w:rPr>
              <w:t>(1) (2)</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(39,216,288)</w:t>
            </w:r>
          </w:p>
        </w:tc>
        <w:tc>
          <w:tcPr>
            <w:tcW w:w="2020" w:type="dxa"/>
            <w:vAlign w:val="bottom"/>
            <w:gridSpan w:val="3"/>
          </w:tcPr>
          <w:p>
            <w:pPr>
              <w:jc w:val="right"/>
              <w:ind w:right="620"/>
              <w:spacing w:after="0"/>
              <w:rPr>
                <w:sz w:val="20"/>
                <w:szCs w:val="20"/>
                <w:color w:val="auto"/>
              </w:rPr>
            </w:pPr>
            <w:r>
              <w:rPr>
                <w:rFonts w:ascii="Arial" w:cs="Arial" w:eastAsia="Arial" w:hAnsi="Arial"/>
                <w:sz w:val="18"/>
                <w:szCs w:val="18"/>
                <w:color w:val="auto"/>
              </w:rPr>
              <w:t>(56,786,282)</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(47,030,821)</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 and other temporary differences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(26,021,069)</w:t>
            </w:r>
          </w:p>
        </w:tc>
        <w:tc>
          <w:tcPr>
            <w:tcW w:w="2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(21,086,425)</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(12,477,778)</w:t>
            </w:r>
          </w:p>
        </w:tc>
      </w:tr>
      <w:tr>
        <w:trPr>
          <w:trHeight w:val="202"/>
        </w:trPr>
        <w:tc>
          <w:tcPr>
            <w:tcW w:w="5200" w:type="dxa"/>
            <w:vAlign w:val="bottom"/>
          </w:tcPr>
          <w:p>
            <w:pPr>
              <w:spacing w:after="0" w:line="201" w:lineRule="exact"/>
              <w:rPr>
                <w:sz w:val="20"/>
                <w:szCs w:val="20"/>
                <w:color w:val="auto"/>
              </w:rPr>
            </w:pPr>
            <w:r>
              <w:rPr>
                <w:rFonts w:ascii="Arial" w:cs="Arial" w:eastAsia="Arial" w:hAnsi="Arial"/>
                <w:sz w:val="18"/>
                <w:szCs w:val="18"/>
                <w:color w:val="auto"/>
              </w:rPr>
              <w:t>Net unrealized appreciation (depreciation) of investments,</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Credit Facility and 2025 Notes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(8,727,689)</w:t>
            </w:r>
          </w:p>
        </w:tc>
        <w:tc>
          <w:tcPr>
            <w:tcW w:w="2020" w:type="dxa"/>
            <w:vAlign w:val="bottom"/>
            <w:gridSpan w:val="3"/>
          </w:tcPr>
          <w:p>
            <w:pPr>
              <w:jc w:val="right"/>
              <w:ind w:right="620"/>
              <w:spacing w:after="0"/>
              <w:rPr>
                <w:sz w:val="20"/>
                <w:szCs w:val="20"/>
                <w:color w:val="auto"/>
              </w:rPr>
            </w:pPr>
            <w:r>
              <w:rPr>
                <w:rFonts w:ascii="Arial" w:cs="Arial" w:eastAsia="Arial" w:hAnsi="Arial"/>
                <w:sz w:val="18"/>
                <w:szCs w:val="18"/>
                <w:color w:val="auto"/>
              </w:rPr>
              <w:t>(15,815,138)</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(36,122,397)</w:t>
            </w:r>
          </w:p>
        </w:tc>
      </w:tr>
      <w:tr>
        <w:trPr>
          <w:trHeight w:val="27"/>
        </w:trPr>
        <w:tc>
          <w:tcPr>
            <w:tcW w:w="5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deficit – book basis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(58,639,667)</w:t>
            </w:r>
          </w:p>
        </w:tc>
        <w:tc>
          <w:tcPr>
            <w:tcW w:w="2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(75,053,292)</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(77,991,514)</w:t>
            </w:r>
          </w:p>
        </w:tc>
      </w:tr>
      <w:tr>
        <w:trPr>
          <w:trHeight w:val="20"/>
        </w:trPr>
        <w:tc>
          <w:tcPr>
            <w:tcW w:w="5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As of September 30, 2013, the capital loss carry forward of $39.2 million expires, if not utilized against future capital gains, as follows: $39.2 million in 2018.</w:t>
      </w:r>
    </w:p>
    <w:p>
      <w:pPr>
        <w:ind w:left="340" w:right="220" w:hanging="332"/>
        <w:spacing w:after="0" w:line="237" w:lineRule="auto"/>
        <w:tabs>
          <w:tab w:leader="none" w:pos="34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Under the recently enacted Regulated Investment Company Modernization Act of 2010, capital losses incurred by us after September 30, 2011 will not be subject to expiration. In addition, those losses must be utilized prior to the losses incurred in pre-enactment taxable years.</w:t>
      </w:r>
    </w:p>
    <w:p>
      <w:pPr>
        <w:spacing w:after="0" w:line="188"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tax characteristics of dividends declared during the fiscal years ended September 30, 2013, 2012 and 2011 were solely from ordinary income and totaled $74.4 million, or $1.12 per share, $60.1 million, or $1.13 per share and $46.3 million, or $1.10 per share,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2013 and 2012, cash and cash equivalents consisted of $58.4 million and $7.6 million, respectively.</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80"/>
          </w:cols>
          <w:pgMar w:left="240" w:top="460" w:right="27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the financial highlights for the years ended September 30: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year</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10.22</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10.13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10.69</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11.85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Cumulative effect of adoption of fair value option</w:t>
            </w: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56"/>
        </w:trPr>
        <w:tc>
          <w:tcPr>
            <w:tcW w:w="6120" w:type="dxa"/>
            <w:vAlign w:val="bottom"/>
            <w:gridSpan w:val="2"/>
          </w:tcPr>
          <w:p>
            <w:pPr>
              <w:spacing w:after="0" w:line="155" w:lineRule="exact"/>
              <w:rPr>
                <w:sz w:val="20"/>
                <w:szCs w:val="20"/>
                <w:color w:val="auto"/>
              </w:rPr>
            </w:pPr>
            <w:r>
              <w:rPr>
                <w:rFonts w:ascii="Arial" w:cs="Arial" w:eastAsia="Arial" w:hAnsi="Arial"/>
                <w:sz w:val="14"/>
                <w:szCs w:val="14"/>
                <w:color w:val="auto"/>
              </w:rPr>
              <w:t>Adjusted NAV, beginning of year</w:t>
            </w: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10.22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10.13</w:t>
            </w: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10.69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11.85</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11.99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w:t>
            </w:r>
            <w:r>
              <w:rPr>
                <w:rFonts w:ascii="Arial" w:cs="Arial" w:eastAsia="Arial" w:hAnsi="Arial"/>
                <w:sz w:val="12"/>
                <w:szCs w:val="12"/>
                <w:color w:val="auto"/>
              </w:rPr>
              <w:t>(2)</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Net realized and unrealized gain (loss)</w:t>
            </w:r>
            <w:r>
              <w:rPr>
                <w:rFonts w:ascii="Arial" w:cs="Arial" w:eastAsia="Arial" w:hAnsi="Arial"/>
                <w:sz w:val="12"/>
                <w:szCs w:val="12"/>
                <w:color w:val="auto"/>
              </w:rPr>
              <w:t>(2)</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0.38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0.12</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(0.53)</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w:t>
            </w:r>
            <w:r>
              <w:rPr>
                <w:rFonts w:ascii="Arial" w:cs="Arial" w:eastAsia="Arial" w:hAnsi="Arial"/>
                <w:sz w:val="12"/>
                <w:szCs w:val="12"/>
                <w:color w:val="auto"/>
              </w:rPr>
              <w:t>(2)</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0.56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Distributions to stockholders</w:t>
            </w:r>
            <w:r>
              <w:rPr>
                <w:rFonts w:ascii="Arial" w:cs="Arial" w:eastAsia="Arial" w:hAnsi="Arial"/>
                <w:sz w:val="12"/>
                <w:szCs w:val="12"/>
                <w:color w:val="auto"/>
              </w:rPr>
              <w:t>(2),(3)</w:t>
            </w:r>
          </w:p>
        </w:tc>
        <w:tc>
          <w:tcPr>
            <w:tcW w:w="8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(1.13)</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(1.09)</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Offering costs</w:t>
            </w:r>
            <w:r>
              <w:rPr>
                <w:rFonts w:ascii="Arial" w:cs="Arial" w:eastAsia="Arial" w:hAnsi="Arial"/>
                <w:sz w:val="12"/>
                <w:szCs w:val="12"/>
                <w:color w:val="auto"/>
              </w:rPr>
              <w:t>(2)</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(0.15)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(0.20)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Accretive (Dilutive) effect of common stock issuance</w:t>
            </w:r>
            <w:r>
              <w:rPr>
                <w:rFonts w:ascii="Arial" w:cs="Arial" w:eastAsia="Arial" w:hAnsi="Arial"/>
                <w:sz w:val="12"/>
                <w:szCs w:val="12"/>
                <w:color w:val="auto"/>
              </w:rPr>
              <w:t>(2)</w:t>
            </w:r>
          </w:p>
        </w:tc>
        <w:tc>
          <w:tcPr>
            <w:tcW w:w="80" w:type="dxa"/>
            <w:vAlign w:val="bottom"/>
          </w:tcPr>
          <w:p>
            <w:pPr>
              <w:spacing w:after="0"/>
              <w:rPr>
                <w:sz w:val="12"/>
                <w:szCs w:val="12"/>
                <w:color w:val="auto"/>
              </w:rPr>
            </w:pP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0.17</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(0.43)</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end of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10.49</w:t>
            </w:r>
          </w:p>
        </w:tc>
        <w:tc>
          <w:tcPr>
            <w:tcW w:w="1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10.22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10.13</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10.69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11.85</w:t>
            </w:r>
          </w:p>
        </w:tc>
        <w:tc>
          <w:tcPr>
            <w:tcW w:w="0" w:type="dxa"/>
            <w:vAlign w:val="bottom"/>
          </w:tcPr>
          <w:p>
            <w:pPr>
              <w:spacing w:after="0"/>
              <w:rPr>
                <w:sz w:val="1"/>
                <w:szCs w:val="1"/>
                <w:color w:val="auto"/>
              </w:rPr>
            </w:pPr>
          </w:p>
        </w:tc>
      </w:tr>
      <w:tr>
        <w:trPr>
          <w:trHeight w:val="156"/>
        </w:trPr>
        <w:tc>
          <w:tcPr>
            <w:tcW w:w="6120" w:type="dxa"/>
            <w:vAlign w:val="bottom"/>
            <w:gridSpan w:val="2"/>
          </w:tcPr>
          <w:p>
            <w:pPr>
              <w:spacing w:after="0" w:line="155" w:lineRule="exact"/>
              <w:rPr>
                <w:sz w:val="20"/>
                <w:szCs w:val="20"/>
                <w:color w:val="auto"/>
              </w:rPr>
            </w:pPr>
            <w:r>
              <w:rPr>
                <w:rFonts w:ascii="Arial" w:cs="Arial" w:eastAsia="Arial" w:hAnsi="Arial"/>
                <w:sz w:val="14"/>
                <w:szCs w:val="14"/>
                <w:color w:val="auto"/>
              </w:rPr>
              <w:t>Per share market value, end of year</w:t>
            </w: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11.28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10.61</w:t>
            </w:r>
          </w:p>
        </w:tc>
        <w:tc>
          <w:tcPr>
            <w:tcW w:w="26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8.92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10.61</w:t>
            </w:r>
          </w:p>
        </w:tc>
        <w:tc>
          <w:tcPr>
            <w:tcW w:w="24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8.11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return</w:t>
            </w:r>
            <w:r>
              <w:rPr>
                <w:rFonts w:ascii="Arial" w:cs="Arial" w:eastAsia="Arial" w:hAnsi="Arial"/>
                <w:sz w:val="12"/>
                <w:szCs w:val="12"/>
                <w:color w:val="auto"/>
              </w:rPr>
              <w:t>(4)</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17.37%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28.71%</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44.79%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Shares outstanding at end of year</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66,499,327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9"/>
              </w:rPr>
              <w:t>65,514,503</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45,689,781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36,158,772</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25,368,772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Ratio / Supplemental Data:</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Ratio of operating expenses to average net assets</w:t>
            </w:r>
            <w:r>
              <w:rPr>
                <w:rFonts w:ascii="Arial" w:cs="Arial" w:eastAsia="Arial" w:hAnsi="Arial"/>
                <w:sz w:val="12"/>
                <w:szCs w:val="12"/>
                <w:color w:val="auto"/>
              </w:rPr>
              <w:t>(5),(6)</w:t>
            </w:r>
          </w:p>
        </w:tc>
        <w:tc>
          <w:tcPr>
            <w:tcW w:w="8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7.11%</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7.16%</w:t>
            </w:r>
          </w:p>
        </w:tc>
        <w:tc>
          <w:tcPr>
            <w:tcW w:w="8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Credit Facility related expenses to average net assets</w:t>
            </w:r>
            <w:r>
              <w:rPr>
                <w:rFonts w:ascii="Arial" w:cs="Arial" w:eastAsia="Arial" w:hAnsi="Arial"/>
                <w:sz w:val="12"/>
                <w:szCs w:val="12"/>
                <w:color w:val="auto"/>
              </w:rPr>
              <w:t>(8)</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3.08%</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4"/>
                <w:szCs w:val="14"/>
                <w:color w:val="auto"/>
              </w:rPr>
              <w:t>Ratio of total expenses to average net assets</w:t>
            </w:r>
            <w:r>
              <w:rPr>
                <w:rFonts w:ascii="Arial" w:cs="Arial" w:eastAsia="Arial" w:hAnsi="Arial"/>
                <w:sz w:val="12"/>
                <w:szCs w:val="12"/>
                <w:color w:val="auto"/>
              </w:rPr>
              <w:t>(7),(8)</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8.91%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10.19%</w:t>
            </w:r>
          </w:p>
        </w:tc>
        <w:tc>
          <w:tcPr>
            <w:tcW w:w="80" w:type="dxa"/>
            <w:vAlign w:val="bottom"/>
          </w:tcPr>
          <w:p>
            <w:pPr>
              <w:spacing w:after="0"/>
              <w:rPr>
                <w:sz w:val="13"/>
                <w:szCs w:val="13"/>
                <w:color w:val="auto"/>
              </w:rPr>
            </w:pPr>
          </w:p>
        </w:tc>
        <w:tc>
          <w:tcPr>
            <w:tcW w:w="9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8.43%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8.24%</w:t>
            </w:r>
          </w:p>
        </w:tc>
        <w:tc>
          <w:tcPr>
            <w:tcW w:w="80" w:type="dxa"/>
            <w:vAlign w:val="bottom"/>
          </w:tcPr>
          <w:p>
            <w:pPr>
              <w:spacing w:after="0"/>
              <w:rPr>
                <w:sz w:val="13"/>
                <w:szCs w:val="13"/>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9.60%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10.32%</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11.35%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Net assets at end of year</w:t>
            </w:r>
            <w:r>
              <w:rPr>
                <w:rFonts w:ascii="Arial" w:cs="Arial" w:eastAsia="Arial" w:hAnsi="Arial"/>
                <w:sz w:val="12"/>
                <w:szCs w:val="12"/>
                <w:color w:val="auto"/>
              </w:rPr>
              <w:t>(8)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2"/>
              </w:rPr>
              <w:t>697,506,199</w:t>
            </w:r>
          </w:p>
        </w:tc>
        <w:tc>
          <w:tcPr>
            <w:tcW w:w="1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9"/>
              </w:rPr>
              <w:t>669,717,047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2"/>
              </w:rPr>
              <w:t>462,657,196</w:t>
            </w:r>
          </w:p>
        </w:tc>
        <w:tc>
          <w:tcPr>
            <w:tcW w:w="22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2"/>
              </w:rPr>
              <w:t>386,575,223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2"/>
              </w:rPr>
              <w:t>300,580,268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debt outstanding</w:t>
            </w:r>
            <w:r>
              <w:rPr>
                <w:rFonts w:ascii="Arial" w:cs="Arial" w:eastAsia="Arial" w:hAnsi="Arial"/>
                <w:sz w:val="12"/>
                <w:szCs w:val="12"/>
                <w:color w:val="auto"/>
              </w:rPr>
              <w:t>(8)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363,246,849</w:t>
            </w:r>
          </w:p>
        </w:tc>
        <w:tc>
          <w:tcPr>
            <w:tcW w:w="1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9"/>
              </w:rPr>
              <w:t>340,868,033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278,294,433</w:t>
            </w:r>
          </w:p>
        </w:tc>
        <w:tc>
          <w:tcPr>
            <w:tcW w:w="2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2"/>
              </w:rPr>
              <w:t>246,216,548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2"/>
              </w:rPr>
              <w:t>182,490,685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Weighted average debt per share</w:t>
            </w:r>
            <w:r>
              <w:rPr>
                <w:rFonts w:ascii="Arial" w:cs="Arial" w:eastAsia="Arial" w:hAnsi="Arial"/>
                <w:sz w:val="12"/>
                <w:szCs w:val="12"/>
                <w:color w:val="auto"/>
              </w:rPr>
              <w:t>(8)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5.47</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6.44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6.60</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8.33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 coverage per unit</w:t>
            </w:r>
            <w:r>
              <w:rPr>
                <w:rFonts w:ascii="Arial" w:cs="Arial" w:eastAsia="Arial" w:hAnsi="Arial"/>
                <w:sz w:val="12"/>
                <w:szCs w:val="12"/>
                <w:color w:val="auto"/>
              </w:rPr>
              <w:t>(9)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4,261</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5,636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2,937</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2,655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Average market value per unit</w:t>
            </w:r>
            <w:r>
              <w:rPr>
                <w:rFonts w:ascii="Arial" w:cs="Arial" w:eastAsia="Arial" w:hAnsi="Arial"/>
                <w:sz w:val="12"/>
                <w:szCs w:val="12"/>
                <w:color w:val="auto"/>
              </w:rPr>
              <w:t>(10)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24.79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Portfolio turnover ratio</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40.91%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22.81%</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25.97%</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right="40" w:hanging="332"/>
        <w:spacing w:after="0" w:line="230" w:lineRule="auto"/>
        <w:tabs>
          <w:tab w:leader="none" w:pos="3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On October 1, 2008, PennantPark Investment adopted ASC 825 and made an irrevocable election to apply the fair value option to our long-term Credit Facility. Upon adoption, NAV increased $41.8 million, or $1.99 per share, due to the fair value adjustment related to our Credit Facility.</w:t>
      </w:r>
    </w:p>
    <w:p>
      <w:pPr>
        <w:ind w:left="340" w:hanging="332"/>
        <w:spacing w:after="0" w:line="221" w:lineRule="auto"/>
        <w:tabs>
          <w:tab w:leader="none" w:pos="3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Calculated based on the weighted average shares outstanding for the respective periods.</w:t>
      </w:r>
    </w:p>
    <w:p>
      <w:pPr>
        <w:ind w:left="340" w:hanging="332"/>
        <w:spacing w:after="0" w:line="221" w:lineRule="auto"/>
        <w:tabs>
          <w:tab w:leader="none" w:pos="3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Based on taxable income calculated in accordance with income tax regulations and may differ from amounts determined under GAAP.</w:t>
      </w:r>
    </w:p>
    <w:p>
      <w:pPr>
        <w:ind w:left="340" w:hanging="332"/>
        <w:spacing w:after="0" w:line="221" w:lineRule="auto"/>
        <w:tabs>
          <w:tab w:leader="none" w:pos="3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ind w:left="340" w:hanging="332"/>
        <w:spacing w:after="0" w:line="221" w:lineRule="auto"/>
        <w:tabs>
          <w:tab w:leader="none" w:pos="3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Excludes Credit Facility interest and amendment costs.</w:t>
      </w:r>
    </w:p>
    <w:p>
      <w:pPr>
        <w:ind w:left="340" w:hanging="332"/>
        <w:spacing w:after="0" w:line="221" w:lineRule="auto"/>
        <w:tabs>
          <w:tab w:leader="none" w:pos="3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Before adoption of ASC 825 for the fiscal years ended September 30, 2013, 2012, 2011, 2010 and 2009, the ratios were 6.32%, 7.11%, 7.38%, 7.95% and 9.32%, respectively.</w:t>
      </w:r>
    </w:p>
    <w:p>
      <w:pPr>
        <w:ind w:left="340" w:hanging="332"/>
        <w:spacing w:after="0" w:line="221" w:lineRule="auto"/>
        <w:tabs>
          <w:tab w:leader="none" w:pos="3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Before adoption of ASC 825 for the fiscal years ended September 30, 2013, 2012, 2011, 2010 and 2009, the ratios were 8.92%, 10.20%, 8.55%, 9.15% and (1.75%), respectively.</w:t>
      </w:r>
    </w:p>
    <w:p>
      <w:pPr>
        <w:ind w:left="340" w:hanging="332"/>
        <w:spacing w:after="0" w:line="221" w:lineRule="auto"/>
        <w:tabs>
          <w:tab w:leader="none" w:pos="3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Includes SBA debentures outstanding.</w:t>
      </w:r>
    </w:p>
    <w:p>
      <w:pPr>
        <w:ind w:left="340" w:right="180" w:hanging="332"/>
        <w:spacing w:after="0" w:line="238" w:lineRule="auto"/>
        <w:tabs>
          <w:tab w:leader="none" w:pos="34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This asset coverage ratio is multiplied by $1,000 to determine the asset coverage per unit. These amounts exclude SBIC LP’s SBA debentures from our asset coverage per unit computation pursuant to an Exemptive relief letter provided by the SEC in June 2011.</w:t>
      </w:r>
    </w:p>
    <w:p>
      <w:pPr>
        <w:ind w:left="340" w:right="180" w:hanging="332"/>
        <w:spacing w:after="0" w:line="237" w:lineRule="auto"/>
        <w:tabs>
          <w:tab w:leader="none" w:pos="3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average market value per unit is derived based on the monthly average closing price of the 2025 Notes trading on NYSE under the symbol “PNTA” since issuance, which were issued in increments of $25 per unit.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We have a $430 million multi-currency Credit Facility with certain lenders and SunTrust Bank, acting as administrative agent, and JPMorgan Chase Bank, N.A., acting as syndication agent for the lenders. As of September 30, 2013 and 2012, there was $145.5 million (including a temporary draw of $28.0 million) and $145.0 million (including a temporary draw of $35.5 million), respectively, in outstanding borrowings under the Credit Facility, with a weighted average interest rate at the time of 3.33% and 3.49%, exclusive of the fee on undrawn commitments of 0.50%. The Credit Facility is a four-year revolving facility, with a stated maturity date of February 21, 2016, with a one-year term-out period following its third year and pricing is set at 275 basis points over LIBOR. The Credit Facility is secured by substantially all of the assets of the Company excluding assets held by our SBIC Funds.</w:t>
      </w:r>
    </w:p>
    <w:p>
      <w:pPr>
        <w:spacing w:after="0" w:line="16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accordance with the 1940 Act, with certain limited exceptions, we are only allowed to borrow amounts such that we are in compliance with our asset coverage requirement, excluding SBA debentures, pursuant to exemptive relief from the SEC received in June 2011.</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SBA Debentures</w:t>
      </w:r>
    </w:p>
    <w:p>
      <w:pPr>
        <w:spacing w:after="0" w:line="11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SBIC LP is able to borrow funds from the SBA against regulatory capital (which approximates equity capital) that is paid-in and is subject to customary regulatory requirements including an examination by the SBA. We have funded SBIC LP with $75.0 million of equity capital and had SBA debentures outstanding of $150.0 million as of September 30, 2013. In January 2013, our wholly-owned subsidiary, SBIC II, received a license from the SBA to operate as an SBIC under the 1958 Act. We have funded SBIC II with $2.5 million of seed capital. Our SBIC Funds are subject to a variety of regulations and oversight by the SBA concerning, among other things, the size and nature of the companies in which they may invest as well as the structure of those investments. SBA debentures are non-recourse to us, have a 10-year maturity, and may be prepaid at any time without penalty. The interest rate of SBA debentures is fixed at the time of issuance, often referred to as pooling, at a market-driven spread over 10-year U.S. Treasury Notes. Under current SBA regulations SBIC LP may borrow to a maximum of $150.0 million, which is up to twice its potential regulatory capital, and as part of a group of SBICs under common control may borrow a maximum of $225 million. SBIC LP has accessed the maximum borrowing with its $75.0 million in regulatory capital.</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September 30, 2013, $150.0 million in debt commitments were fully drawn with a weighted average interest rate of 3.70%, exclusive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3.43% in upfront fees which are amortized over the life of the loan (4.04% after upfront fees). Our fixed rate SBA debentures as of September 30, 2013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Fixed All-in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44"/>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8"/>
              </w:rPr>
              <w:t>Issuance Dates</w:t>
            </w:r>
          </w:p>
        </w:tc>
        <w:tc>
          <w:tcPr>
            <w:tcW w:w="2500" w:type="dxa"/>
            <w:vAlign w:val="bottom"/>
            <w:vMerge w:val="restart"/>
          </w:tcPr>
          <w:p>
            <w:pPr>
              <w:spacing w:after="0"/>
              <w:rPr>
                <w:sz w:val="12"/>
                <w:szCs w:val="12"/>
                <w:color w:val="auto"/>
              </w:rPr>
            </w:pPr>
          </w:p>
        </w:tc>
        <w:tc>
          <w:tcPr>
            <w:tcW w:w="1280" w:type="dxa"/>
            <w:vAlign w:val="bottom"/>
          </w:tcPr>
          <w:p>
            <w:pPr>
              <w:spacing w:after="0"/>
              <w:rPr>
                <w:sz w:val="12"/>
                <w:szCs w:val="12"/>
                <w:color w:val="auto"/>
              </w:rPr>
            </w:pPr>
          </w:p>
        </w:tc>
        <w:tc>
          <w:tcPr>
            <w:tcW w:w="13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720" w:type="dxa"/>
            <w:vAlign w:val="bottom"/>
            <w:vMerge w:val="restart"/>
          </w:tcPr>
          <w:p>
            <w:pPr>
              <w:spacing w:after="0"/>
              <w:rPr>
                <w:sz w:val="12"/>
                <w:szCs w:val="12"/>
                <w:color w:val="auto"/>
              </w:rPr>
            </w:pPr>
          </w:p>
        </w:tc>
        <w:tc>
          <w:tcPr>
            <w:tcW w:w="1340" w:type="dxa"/>
            <w:vAlign w:val="bottom"/>
            <w:gridSpan w:val="2"/>
          </w:tcPr>
          <w:p>
            <w:pPr>
              <w:jc w:val="center"/>
              <w:ind w:right="520"/>
              <w:spacing w:after="0" w:line="145" w:lineRule="exact"/>
              <w:rPr>
                <w:sz w:val="20"/>
                <w:szCs w:val="20"/>
                <w:color w:val="auto"/>
              </w:rPr>
            </w:pPr>
            <w:r>
              <w:rPr>
                <w:rFonts w:ascii="Arial" w:cs="Arial" w:eastAsia="Arial" w:hAnsi="Arial"/>
                <w:sz w:val="14"/>
                <w:szCs w:val="14"/>
                <w:b w:val="1"/>
                <w:bCs w:val="1"/>
                <w:color w:val="auto"/>
                <w:w w:val="94"/>
              </w:rPr>
              <w:t>Coupon Rate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20" w:type="dxa"/>
            <w:vAlign w:val="bottom"/>
            <w:tcBorders>
              <w:bottom w:val="single" w:sz="8" w:color="auto"/>
            </w:tcBorders>
            <w:vMerge w:val="continue"/>
          </w:tcPr>
          <w:p>
            <w:pPr>
              <w:spacing w:after="0"/>
              <w:rPr>
                <w:sz w:val="14"/>
                <w:szCs w:val="14"/>
                <w:color w:val="auto"/>
              </w:rPr>
            </w:pPr>
          </w:p>
        </w:tc>
        <w:tc>
          <w:tcPr>
            <w:tcW w:w="2500" w:type="dxa"/>
            <w:vAlign w:val="bottom"/>
            <w:tcBorders>
              <w:bottom w:val="single" w:sz="8" w:color="CCEEFF"/>
            </w:tcBorders>
            <w:vMerge w:val="continue"/>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(1)</w:t>
            </w:r>
          </w:p>
        </w:tc>
        <w:tc>
          <w:tcPr>
            <w:tcW w:w="4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1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88"/>
              </w:rPr>
              <w:t>September 1, 2020</w:t>
            </w:r>
          </w:p>
        </w:tc>
        <w:tc>
          <w:tcPr>
            <w:tcW w:w="7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3380" w:type="dxa"/>
            <w:vAlign w:val="bottom"/>
            <w:gridSpan w:val="3"/>
          </w:tcPr>
          <w:p>
            <w:pPr>
              <w:ind w:left="1280"/>
              <w:spacing w:after="0"/>
              <w:rPr>
                <w:sz w:val="20"/>
                <w:szCs w:val="20"/>
                <w:color w:val="auto"/>
              </w:rPr>
            </w:pPr>
            <w:r>
              <w:rPr>
                <w:rFonts w:ascii="Arial" w:cs="Arial" w:eastAsia="Arial" w:hAnsi="Arial"/>
                <w:sz w:val="18"/>
                <w:szCs w:val="18"/>
                <w:color w:val="auto"/>
              </w:rPr>
              <w:t>March 1, 2021</w:t>
            </w: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4.46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44,500,000</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338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September 1, 2021</w:t>
            </w:r>
          </w:p>
        </w:tc>
        <w:tc>
          <w:tcPr>
            <w:tcW w:w="8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5"/>
              </w:rPr>
              <w:t>3.38</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Weighted average rate / Total</w:t>
            </w:r>
          </w:p>
        </w:tc>
        <w:tc>
          <w:tcPr>
            <w:tcW w:w="1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3.70%</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126"/>
        </w:numPr>
        <w:rPr>
          <w:rFonts w:ascii="Arial" w:cs="Arial" w:eastAsia="Arial" w:hAnsi="Arial"/>
          <w:sz w:val="12"/>
          <w:szCs w:val="12"/>
          <w:color w:val="auto"/>
        </w:rPr>
      </w:pPr>
      <w:r>
        <w:rPr>
          <w:rFonts w:ascii="Arial" w:cs="Arial" w:eastAsia="Arial" w:hAnsi="Arial"/>
          <w:sz w:val="14"/>
          <w:szCs w:val="14"/>
          <w:color w:val="auto"/>
        </w:rPr>
        <w:t>Excluding 3.43% of upfront fees.</w:t>
      </w:r>
    </w:p>
    <w:p>
      <w:pPr>
        <w:spacing w:after="0" w:line="208"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Under SBA regulations, our SBIC Funds are subject to regulatory requirements, including making investments in SBA-eligible businesses, investing at least 25% of regulatory capital in eligible smaller businesses, as defined under the 1958 Act, placing certain limitations on the financing terms of investments,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60" w:right="2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prohibiting investing in certain industries, requiring capitalization thresholds and being subject to periodic audits and examinations of their financial statements that are prepared on a basis of accounting other than GAAP (for example, fair value, as defined under ASC 820, is not required to be used for assets or liabilities for such compliance reporting). If our SBIC Funds fail to comply with applicable SBA regulations, the SBA could, depending on the severity of the violation, limit or prohibit their use of debentures, declare outstanding debentures immediately due and payable and/or limit them from making new investments. These actions by the SBA would, in turn, negatively affect us because our SBIC Funds are wholly-owned by us.</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2025 Notes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January 2013, we issued $71.3 million in aggregate principal amount of 2025 Notes, including the exercise of the over-allotment option, for net proceeds of $68.8 million after underwriting discounts and offering costs. Interest on the 2025 Notes is paid quarterly on 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GUARANTEES AND CONTINGENCIES</w:t>
      </w:r>
    </w:p>
    <w:p>
      <w:pPr>
        <w:spacing w:after="0" w:line="121" w:lineRule="exact"/>
        <w:rPr>
          <w:sz w:val="20"/>
          <w:szCs w:val="20"/>
          <w:color w:val="auto"/>
        </w:rPr>
      </w:pPr>
    </w:p>
    <w:p>
      <w:pPr>
        <w:jc w:val="both"/>
        <w:ind w:right="200" w:firstLine="456"/>
        <w:spacing w:after="0" w:line="302"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w:t>
      </w:r>
    </w:p>
    <w:p>
      <w:pPr>
        <w:spacing w:after="0" w:line="4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in the ordinary course of business, have guaranteed certain obligations of SPH. The guaranties are only triggered if there were administrative errors in acquiring assets which SPH subsequently sold or securitized. As of September 30, 2013 our maximum guaranty is $13.0 million. Based on SPH’s and industry historical loss rates we believe the risk of loss is remote, thus, we have not recorded a liability associated with the guaranties. The current guaranties will decline over time.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59" w:right="259" w:bottom="1440" w:gutter="0" w:footer="0" w:header="0"/>
        </w:sectPr>
      </w:pPr>
    </w:p>
    <w:bookmarkStart w:id="251" w:name="page252"/>
    <w:bookmarkEnd w:id="2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648970</wp:posOffset>
            </wp:positionV>
            <wp:extent cx="1766570" cy="3771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766570" cy="37719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640"/>
        <w:spacing w:after="0"/>
        <w:rPr>
          <w:sz w:val="20"/>
          <w:szCs w:val="20"/>
          <w:color w:val="auto"/>
        </w:rPr>
      </w:pPr>
      <w:r>
        <w:rPr>
          <w:rFonts w:ascii="Arial" w:cs="Arial" w:eastAsia="Arial" w:hAnsi="Arial"/>
          <w:sz w:val="29"/>
          <w:szCs w:val="29"/>
          <w:b w:val="1"/>
          <w:bCs w:val="1"/>
          <w:color w:val="auto"/>
        </w:rPr>
        <w:t>11,000,000 shares</w:t>
      </w:r>
    </w:p>
    <w:p>
      <w:pPr>
        <w:spacing w:after="0" w:line="200" w:lineRule="exact"/>
        <w:rPr>
          <w:sz w:val="20"/>
          <w:szCs w:val="20"/>
          <w:color w:val="auto"/>
        </w:rPr>
      </w:pPr>
    </w:p>
    <w:p>
      <w:pPr>
        <w:spacing w:after="0" w:line="241"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860425</wp:posOffset>
            </wp:positionV>
            <wp:extent cx="40563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20"/>
        <w:spacing w:after="0"/>
        <w:rPr>
          <w:sz w:val="20"/>
          <w:szCs w:val="20"/>
          <w:color w:val="auto"/>
        </w:rPr>
      </w:pPr>
      <w:r>
        <w:rPr>
          <w:rFonts w:ascii="Arial" w:cs="Arial" w:eastAsia="Arial" w:hAnsi="Arial"/>
          <w:sz w:val="21"/>
          <w:szCs w:val="21"/>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241300</wp:posOffset>
            </wp:positionV>
            <wp:extent cx="40563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Morgan Stanley</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Goldman, Sachs &amp; Co.</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J.P. Morgan</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UBS Investment Bank</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Keefe, Bruyette &amp; Woods</w:t>
      </w:r>
    </w:p>
    <w:p>
      <w:pPr>
        <w:spacing w:after="0" w:line="13" w:lineRule="exact"/>
        <w:rPr>
          <w:sz w:val="20"/>
          <w:szCs w:val="20"/>
          <w:color w:val="auto"/>
        </w:rPr>
      </w:pPr>
    </w:p>
    <w:p>
      <w:pPr>
        <w:ind w:left="5880"/>
        <w:spacing w:after="0"/>
        <w:rPr>
          <w:sz w:val="20"/>
          <w:szCs w:val="20"/>
          <w:color w:val="auto"/>
        </w:rPr>
      </w:pPr>
      <w:r>
        <w:rPr>
          <w:rFonts w:ascii="Arial" w:cs="Arial" w:eastAsia="Arial" w:hAnsi="Arial"/>
          <w:sz w:val="13"/>
          <w:szCs w:val="13"/>
          <w:i w:val="1"/>
          <w:iCs w:val="1"/>
          <w:color w:val="auto"/>
        </w:rPr>
        <w:t>A  Stifel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960"/>
        <w:spacing w:after="0"/>
        <w:tabs>
          <w:tab w:leader="none" w:pos="6000" w:val="left"/>
        </w:tabs>
        <w:rPr>
          <w:sz w:val="20"/>
          <w:szCs w:val="20"/>
          <w:color w:val="auto"/>
        </w:rPr>
      </w:pPr>
      <w:r>
        <w:rPr>
          <w:rFonts w:ascii="Arial" w:cs="Arial" w:eastAsia="Arial" w:hAnsi="Arial"/>
          <w:sz w:val="18"/>
          <w:szCs w:val="18"/>
          <w:b w:val="1"/>
          <w:bCs w:val="1"/>
          <w:color w:val="auto"/>
        </w:rPr>
        <w:t>September</w:t>
        <w:tab/>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6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1"/>
      <w:numFmt w:val="lowerLetter"/>
      <w:start w:val="1"/>
    </w:lvl>
    <w:lvl w:ilvl="1">
      <w:lvlJc w:val="left"/>
      <w:lvlText w:val="•"/>
      <w:numFmt w:val="bullet"/>
      <w:start w:val="1"/>
    </w:lvl>
  </w:abstractNum>
  <w:abstractNum w:abstractNumId="3">
    <w:nsid w:val="2F305DEF"/>
    <w:multiLevelType w:val="hybridMultilevel"/>
    <w:lvl w:ilvl="0">
      <w:lvlJc w:val="left"/>
      <w:lvlText w:val="(%1)"/>
      <w:numFmt w:val="decimal"/>
      <w:start w:val="1"/>
    </w:lvl>
  </w:abstractNum>
  <w:abstractNum w:abstractNumId="4">
    <w:nsid w:val="25A70BF7"/>
    <w:multiLevelType w:val="hybridMultilevel"/>
    <w:lvl w:ilvl="0">
      <w:lvlJc w:val="left"/>
      <w:lvlText w:val="(%1)"/>
      <w:numFmt w:val="decimal"/>
      <w:start w:val="7"/>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1)"/>
      <w:numFmt w:val="decimal"/>
      <w:start w:val="1"/>
    </w:lvl>
  </w:abstractNum>
  <w:abstractNum w:abstractNumId="9">
    <w:nsid w:val="5DB70AE5"/>
    <w:multiLevelType w:val="hybridMultilevel"/>
    <w:lvl w:ilvl="0">
      <w:lvlJc w:val="left"/>
      <w:lvlText w:val="(%1)"/>
      <w:numFmt w:val="decimal"/>
      <w:start w:val="1"/>
    </w:lvl>
  </w:abstractNum>
  <w:abstractNum w:abstractNumId="10">
    <w:nsid w:val="100F8FCA"/>
    <w:multiLevelType w:val="hybridMultilevel"/>
    <w:lvl w:ilvl="0">
      <w:lvlJc w:val="left"/>
      <w:lvlText w:val="(%1)"/>
      <w:numFmt w:val="decimal"/>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1)"/>
      <w:numFmt w:val="decimal"/>
      <w:start w:val="1"/>
    </w:lvl>
  </w:abstractNum>
  <w:abstractNum w:abstractNumId="14">
    <w:nsid w:val="98A3148"/>
    <w:multiLevelType w:val="hybridMultilevel"/>
    <w:lvl w:ilvl="0">
      <w:lvlJc w:val="left"/>
      <w:lvlText w:val="%1."/>
      <w:numFmt w:val="decimal"/>
      <w:start w:val="1"/>
    </w:lvl>
  </w:abstractNum>
  <w:abstractNum w:abstractNumId="15">
    <w:nsid w:val="799D0247"/>
    <w:multiLevelType w:val="hybridMultilevel"/>
    <w:lvl w:ilvl="0">
      <w:lvlJc w:val="left"/>
      <w:lvlText w:val="(%1)"/>
      <w:numFmt w:val="lowerLetter"/>
      <w:start w:val="2"/>
    </w:lvl>
  </w:abstractNum>
  <w:abstractNum w:abstractNumId="16">
    <w:nsid w:val="6B94764"/>
    <w:multiLevelType w:val="hybridMultilevel"/>
    <w:lvl w:ilvl="0">
      <w:lvlJc w:val="left"/>
      <w:lvlText w:val="(%1)"/>
      <w:numFmt w:val="decimal"/>
      <w:start w:val="1"/>
    </w:lvl>
  </w:abstractNum>
  <w:abstractNum w:abstractNumId="17">
    <w:nsid w:val="42C296BD"/>
    <w:multiLevelType w:val="hybridMultilevel"/>
    <w:lvl w:ilvl="0">
      <w:lvlJc w:val="left"/>
      <w:lvlText w:val="(%1)"/>
      <w:numFmt w:val="decimal"/>
      <w:start w:val="3"/>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1)"/>
      <w:numFmt w:val="decimal"/>
      <w:start w:val="1"/>
    </w:lvl>
  </w:abstractNum>
  <w:abstractNum w:abstractNumId="21">
    <w:nsid w:val="5DC79EA8"/>
    <w:multiLevelType w:val="hybridMultilevel"/>
    <w:lvl w:ilvl="0">
      <w:lvlJc w:val="left"/>
      <w:lvlText w:val="(%1)"/>
      <w:numFmt w:val="decimal"/>
      <w:start w:val="1"/>
    </w:lvl>
  </w:abstractNum>
  <w:abstractNum w:abstractNumId="22">
    <w:nsid w:val="540A471C"/>
    <w:multiLevelType w:val="hybridMultilevel"/>
    <w:lvl w:ilvl="0">
      <w:lvlJc w:val="left"/>
      <w:lvlText w:val="(%1)"/>
      <w:numFmt w:val="decimal"/>
      <w:start w:val="1"/>
    </w:lvl>
  </w:abstractNum>
  <w:abstractNum w:abstractNumId="23">
    <w:nsid w:val="7BD3EE7B"/>
    <w:multiLevelType w:val="hybridMultilevel"/>
    <w:lvl w:ilvl="0">
      <w:lvlJc w:val="left"/>
      <w:lvlText w:val="(%1)"/>
      <w:numFmt w:val="lowerLetter"/>
      <w:start w:val="5"/>
    </w:lvl>
    <w:lvl w:ilvl="1">
      <w:lvlJc w:val="left"/>
      <w:lvlText w:val="%2."/>
      <w:numFmt w:val="decimal"/>
      <w:start w:val="1"/>
    </w:lvl>
  </w:abstractNum>
  <w:abstractNum w:abstractNumId="24">
    <w:nsid w:val="51D9C564"/>
    <w:multiLevelType w:val="hybridMultilevel"/>
    <w:lvl w:ilvl="0">
      <w:lvlJc w:val="left"/>
      <w:lvlText w:val="%1."/>
      <w:numFmt w:val="decimal"/>
      <w:start w:val="9"/>
    </w:lvl>
  </w:abstractNum>
  <w:abstractNum w:abstractNumId="25">
    <w:nsid w:val="613EFDC5"/>
    <w:multiLevelType w:val="hybridMultilevel"/>
    <w:lvl w:ilvl="0">
      <w:lvlJc w:val="left"/>
      <w:lvlText w:val="*"/>
      <w:numFmt w:val="bullet"/>
      <w:start w:val="1"/>
    </w:lvl>
  </w:abstractNum>
  <w:abstractNum w:abstractNumId="26">
    <w:nsid w:val="BF72B14"/>
    <w:multiLevelType w:val="hybridMultilevel"/>
    <w:lvl w:ilvl="0">
      <w:lvlJc w:val="left"/>
      <w:lvlText w:val="(%1)"/>
      <w:numFmt w:val="decimal"/>
      <w:start w:val="1"/>
    </w:lvl>
  </w:abstractNum>
  <w:abstractNum w:abstractNumId="27">
    <w:nsid w:val="11447B73"/>
    <w:multiLevelType w:val="hybridMultilevel"/>
    <w:lvl w:ilvl="0">
      <w:lvlJc w:val="left"/>
      <w:lvlText w:val="(%1)"/>
      <w:numFmt w:val="decimal"/>
      <w:start w:val="1"/>
    </w:lvl>
  </w:abstractNum>
  <w:abstractNum w:abstractNumId="28">
    <w:nsid w:val="42963E5A"/>
    <w:multiLevelType w:val="hybridMultilevel"/>
    <w:lvl w:ilvl="0">
      <w:lvlJc w:val="left"/>
      <w:lvlText w:val="(%1)"/>
      <w:numFmt w:val="decimal"/>
      <w:start w:val="7"/>
    </w:lvl>
  </w:abstractNum>
  <w:abstractNum w:abstractNumId="29">
    <w:nsid w:val="A0382C5"/>
    <w:multiLevelType w:val="hybridMultilevel"/>
    <w:lvl w:ilvl="0">
      <w:lvlJc w:val="left"/>
      <w:lvlText w:val="•"/>
      <w:numFmt w:val="bullet"/>
      <w:start w:val="1"/>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
      <w:numFmt w:val="bullet"/>
      <w:start w:val="1"/>
    </w:lvl>
  </w:abstractNum>
  <w:abstractNum w:abstractNumId="32">
    <w:nsid w:val="3B0FD379"/>
    <w:multiLevelType w:val="hybridMultilevel"/>
    <w:lvl w:ilvl="0">
      <w:lvlJc w:val="left"/>
      <w:lvlText w:val="(%1)"/>
      <w:numFmt w:val="decimal"/>
      <w:start w:val="1"/>
    </w:lvl>
  </w:abstractNum>
  <w:abstractNum w:abstractNumId="33">
    <w:nsid w:val="68EB2F63"/>
    <w:multiLevelType w:val="hybridMultilevel"/>
    <w:lvl w:ilvl="0">
      <w:lvlJc w:val="left"/>
      <w:lvlText w:val="•"/>
      <w:numFmt w:val="bullet"/>
      <w:start w:val="1"/>
    </w:lvl>
  </w:abstractNum>
  <w:abstractNum w:abstractNumId="34">
    <w:nsid w:val="4962813B"/>
    <w:multiLevelType w:val="hybridMultilevel"/>
    <w:lvl w:ilvl="0">
      <w:lvlJc w:val="left"/>
      <w:lvlText w:val="•"/>
      <w:numFmt w:val="bullet"/>
      <w:start w:val="1"/>
    </w:lvl>
  </w:abstractNum>
  <w:abstractNum w:abstractNumId="35">
    <w:nsid w:val="60B6DF70"/>
    <w:multiLevelType w:val="hybridMultilevel"/>
    <w:lvl w:ilvl="0">
      <w:lvlJc w:val="left"/>
      <w:lvlText w:val="•"/>
      <w:numFmt w:val="bullet"/>
      <w:start w:val="1"/>
    </w:lvl>
  </w:abstractNum>
  <w:abstractNum w:abstractNumId="36">
    <w:nsid w:val="6A5EE64"/>
    <w:multiLevelType w:val="hybridMultilevel"/>
    <w:lvl w:ilvl="0">
      <w:lvlJc w:val="left"/>
      <w:lvlText w:val="•"/>
      <w:numFmt w:val="bullet"/>
      <w:start w:val="1"/>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
      <w:numFmt w:val="bullet"/>
      <w:start w:val="1"/>
    </w:lvl>
  </w:abstractNum>
  <w:abstractNum w:abstractNumId="39">
    <w:nsid w:val="1A27709E"/>
    <w:multiLevelType w:val="hybridMultilevel"/>
    <w:lvl w:ilvl="0">
      <w:lvlJc w:val="left"/>
      <w:lvlText w:val="•"/>
      <w:numFmt w:val="bullet"/>
      <w:start w:val="1"/>
    </w:lvl>
  </w:abstractNum>
  <w:abstractNum w:abstractNumId="40">
    <w:nsid w:val="71EA1109"/>
    <w:multiLevelType w:val="hybridMultilevel"/>
    <w:lvl w:ilvl="0">
      <w:lvlJc w:val="left"/>
      <w:lvlText w:val="(%1)"/>
      <w:numFmt w:val="decimal"/>
      <w:start w:val="1"/>
    </w:lvl>
  </w:abstractNum>
  <w:abstractNum w:abstractNumId="41">
    <w:nsid w:val="100F59DC"/>
    <w:multiLevelType w:val="hybridMultilevel"/>
    <w:lvl w:ilvl="0">
      <w:lvlJc w:val="left"/>
      <w:lvlText w:val="•"/>
      <w:numFmt w:val="bullet"/>
      <w:start w:val="1"/>
    </w:lvl>
  </w:abstractNum>
  <w:abstractNum w:abstractNumId="42">
    <w:nsid w:val="7FB7E0AA"/>
    <w:multiLevelType w:val="hybridMultilevel"/>
    <w:lvl w:ilvl="0">
      <w:lvlJc w:val="left"/>
      <w:lvlText w:val="•"/>
      <w:numFmt w:val="bullet"/>
      <w:start w:val="1"/>
    </w:lvl>
  </w:abstractNum>
  <w:abstractNum w:abstractNumId="43">
    <w:nsid w:val="6EB5BD4"/>
    <w:multiLevelType w:val="hybridMultilevel"/>
    <w:lvl w:ilvl="0">
      <w:lvlJc w:val="left"/>
      <w:lvlText w:val="(%1)"/>
      <w:numFmt w:val="decimal"/>
      <w:start w:val="1"/>
    </w:lvl>
  </w:abstractNum>
  <w:abstractNum w:abstractNumId="44">
    <w:nsid w:val="6F6DD9AC"/>
    <w:multiLevelType w:val="hybridMultilevel"/>
    <w:lvl w:ilvl="0">
      <w:lvlJc w:val="left"/>
      <w:lvlText w:val="(%1)"/>
      <w:numFmt w:val="decimal"/>
      <w:start w:val="5"/>
    </w:lvl>
  </w:abstractNum>
  <w:abstractNum w:abstractNumId="45">
    <w:nsid w:val="94211F2"/>
    <w:multiLevelType w:val="hybridMultilevel"/>
    <w:lvl w:ilvl="0">
      <w:lvlJc w:val="left"/>
      <w:lvlText w:val="(%1)"/>
      <w:numFmt w:val="decimal"/>
      <w:start w:val="1"/>
    </w:lvl>
  </w:abstractNum>
  <w:abstractNum w:abstractNumId="46">
    <w:nsid w:val="885E1B"/>
    <w:multiLevelType w:val="hybridMultilevel"/>
    <w:lvl w:ilvl="0">
      <w:lvlJc w:val="left"/>
      <w:lvlText w:val="(%1)"/>
      <w:numFmt w:val="decimal"/>
      <w:start w:val="5"/>
    </w:lvl>
  </w:abstractNum>
  <w:abstractNum w:abstractNumId="47">
    <w:nsid w:val="76272110"/>
    <w:multiLevelType w:val="hybridMultilevel"/>
    <w:lvl w:ilvl="0">
      <w:lvlJc w:val="left"/>
      <w:lvlText w:val="(%1)"/>
      <w:numFmt w:val="decimal"/>
      <w:start w:val="1"/>
    </w:lvl>
  </w:abstractNum>
  <w:abstractNum w:abstractNumId="48">
    <w:nsid w:val="4C04A8AF"/>
    <w:multiLevelType w:val="hybridMultilevel"/>
    <w:lvl w:ilvl="0">
      <w:lvlJc w:val="left"/>
      <w:lvlText w:val="(%1)"/>
      <w:numFmt w:val="lowerLetter"/>
      <w:start w:val="1"/>
    </w:lvl>
  </w:abstractNum>
  <w:abstractNum w:abstractNumId="49">
    <w:nsid w:val="1716703B"/>
    <w:multiLevelType w:val="hybridMultilevel"/>
    <w:lvl w:ilvl="0">
      <w:lvlJc w:val="left"/>
      <w:lvlText w:val="(%1)"/>
      <w:numFmt w:val="decimal"/>
      <w:start w:val="1"/>
    </w:lvl>
  </w:abstractNum>
  <w:abstractNum w:abstractNumId="50">
    <w:nsid w:val="14E17E33"/>
    <w:multiLevelType w:val="hybridMultilevel"/>
    <w:lvl w:ilvl="0">
      <w:lvlJc w:val="left"/>
      <w:lvlText w:val="(%1)"/>
      <w:numFmt w:val="decimal"/>
      <w:start w:val="3"/>
    </w:lvl>
  </w:abstractNum>
  <w:abstractNum w:abstractNumId="51">
    <w:nsid w:val="3222E7CD"/>
    <w:multiLevelType w:val="hybridMultilevel"/>
    <w:lvl w:ilvl="0">
      <w:lvlJc w:val="left"/>
      <w:lvlText w:val="(%1)"/>
      <w:numFmt w:val="decimal"/>
      <w:start w:val="1"/>
    </w:lvl>
  </w:abstractNum>
  <w:abstractNum w:abstractNumId="52">
    <w:nsid w:val="74DE0EE3"/>
    <w:multiLevelType w:val="hybridMultilevel"/>
    <w:lvl w:ilvl="0">
      <w:lvlJc w:val="left"/>
      <w:lvlText w:val="(%1)"/>
      <w:numFmt w:val="decimal"/>
      <w:start w:val="1"/>
    </w:lvl>
  </w:abstractNum>
  <w:abstractNum w:abstractNumId="53">
    <w:nsid w:val="68EBC550"/>
    <w:multiLevelType w:val="hybridMultilevel"/>
    <w:lvl w:ilvl="0">
      <w:lvlJc w:val="left"/>
      <w:lvlText w:val="(%1)"/>
      <w:numFmt w:val="decimal"/>
      <w:start w:val="1"/>
    </w:lvl>
  </w:abstractNum>
  <w:abstractNum w:abstractNumId="54">
    <w:nsid w:val="2DF6D648"/>
    <w:multiLevelType w:val="hybridMultilevel"/>
    <w:lvl w:ilvl="0">
      <w:lvlJc w:val="left"/>
      <w:lvlText w:val="•"/>
      <w:numFmt w:val="bullet"/>
      <w:start w:val="1"/>
    </w:lvl>
  </w:abstractNum>
  <w:abstractNum w:abstractNumId="55">
    <w:nsid w:val="46B7D447"/>
    <w:multiLevelType w:val="hybridMultilevel"/>
    <w:lvl w:ilvl="0">
      <w:lvlJc w:val="left"/>
      <w:lvlText w:val="•"/>
      <w:numFmt w:val="bullet"/>
      <w:start w:val="1"/>
    </w:lvl>
  </w:abstractNum>
  <w:abstractNum w:abstractNumId="56">
    <w:nsid w:val="4A2AC315"/>
    <w:multiLevelType w:val="hybridMultilevel"/>
    <w:lvl w:ilvl="0">
      <w:lvlJc w:val="left"/>
      <w:lvlText w:val="•"/>
      <w:numFmt w:val="bullet"/>
      <w:start w:val="1"/>
    </w:lvl>
  </w:abstractNum>
  <w:abstractNum w:abstractNumId="57">
    <w:nsid w:val="39EE015C"/>
    <w:multiLevelType w:val="hybridMultilevel"/>
    <w:lvl w:ilvl="0">
      <w:lvlJc w:val="left"/>
      <w:lvlText w:val="%1)"/>
      <w:numFmt w:val="lowerLetter"/>
      <w:start w:val="1"/>
    </w:lvl>
  </w:abstractNum>
  <w:abstractNum w:abstractNumId="58">
    <w:nsid w:val="57FC4FBB"/>
    <w:multiLevelType w:val="hybridMultilevel"/>
    <w:lvl w:ilvl="0">
      <w:lvlJc w:val="left"/>
      <w:lvlText w:val="%1)"/>
      <w:numFmt w:val="lowerLetter"/>
      <w:start w:val="2"/>
    </w:lvl>
  </w:abstractNum>
  <w:abstractNum w:abstractNumId="59">
    <w:nsid w:val="CC1016F"/>
    <w:multiLevelType w:val="hybridMultilevel"/>
    <w:lvl w:ilvl="0">
      <w:lvlJc w:val="left"/>
      <w:lvlText w:val="%1)"/>
      <w:numFmt w:val="lowerLetter"/>
      <w:start w:val="2"/>
    </w:lvl>
    <w:lvl w:ilvl="1">
      <w:lvlJc w:val="left"/>
      <w:lvlText w:val="•"/>
      <w:numFmt w:val="bullet"/>
      <w:start w:val="1"/>
    </w:lvl>
  </w:abstractNum>
  <w:abstractNum w:abstractNumId="60">
    <w:nsid w:val="43F18422"/>
    <w:multiLevelType w:val="hybridMultilevel"/>
    <w:lvl w:ilvl="0">
      <w:lvlJc w:val="left"/>
      <w:lvlText w:val="%1)"/>
      <w:numFmt w:val="lowerLetter"/>
      <w:start w:val="4"/>
    </w:lvl>
  </w:abstractNum>
  <w:abstractNum w:abstractNumId="61">
    <w:nsid w:val="60EF0119"/>
    <w:multiLevelType w:val="hybridMultilevel"/>
    <w:lvl w:ilvl="0">
      <w:lvlJc w:val="left"/>
      <w:lvlText w:val="%1)"/>
      <w:numFmt w:val="lowerLetter"/>
      <w:start w:val="1"/>
    </w:lvl>
  </w:abstractNum>
  <w:abstractNum w:abstractNumId="62">
    <w:nsid w:val="26F324BA"/>
    <w:multiLevelType w:val="hybridMultilevel"/>
    <w:lvl w:ilvl="0">
      <w:lvlJc w:val="left"/>
      <w:lvlText w:val="%1)"/>
      <w:numFmt w:val="lowerLetter"/>
      <w:start w:val="2"/>
    </w:lvl>
  </w:abstractNum>
  <w:abstractNum w:abstractNumId="63">
    <w:nsid w:val="7F01579B"/>
    <w:multiLevelType w:val="hybridMultilevel"/>
    <w:lvl w:ilvl="0">
      <w:lvlJc w:val="left"/>
      <w:lvlText w:val="%1)"/>
      <w:numFmt w:val="lowerLetter"/>
      <w:start w:val="3"/>
    </w:lvl>
  </w:abstractNum>
  <w:abstractNum w:abstractNumId="64">
    <w:nsid w:val="49DA307D"/>
    <w:multiLevelType w:val="hybridMultilevel"/>
    <w:lvl w:ilvl="0">
      <w:lvlJc w:val="left"/>
      <w:lvlText w:val="%1)"/>
      <w:numFmt w:val="lowerLetter"/>
      <w:start w:val="4"/>
    </w:lvl>
  </w:abstractNum>
  <w:abstractNum w:abstractNumId="65">
    <w:nsid w:val="7055A5F5"/>
    <w:multiLevelType w:val="hybridMultilevel"/>
    <w:lvl w:ilvl="0">
      <w:lvlJc w:val="left"/>
      <w:lvlText w:val="%1)"/>
      <w:numFmt w:val="lowerLetter"/>
      <w:start w:val="5"/>
    </w:lvl>
  </w:abstractNum>
  <w:abstractNum w:abstractNumId="66">
    <w:nsid w:val="5FB8370B"/>
    <w:multiLevelType w:val="hybridMultilevel"/>
    <w:lvl w:ilvl="0">
      <w:lvlJc w:val="left"/>
      <w:lvlText w:val="%1)"/>
      <w:numFmt w:val="lowerLetter"/>
      <w:start w:val="6"/>
    </w:lvl>
  </w:abstractNum>
  <w:abstractNum w:abstractNumId="67">
    <w:nsid w:val="50801EE1"/>
    <w:multiLevelType w:val="hybridMultilevel"/>
    <w:lvl w:ilvl="0">
      <w:lvlJc w:val="left"/>
      <w:lvlText w:val="•"/>
      <w:numFmt w:val="bullet"/>
      <w:start w:val="1"/>
    </w:lvl>
  </w:abstractNum>
  <w:abstractNum w:abstractNumId="68">
    <w:nsid w:val="488AC1A"/>
    <w:multiLevelType w:val="hybridMultilevel"/>
    <w:lvl w:ilvl="0">
      <w:lvlJc w:val="left"/>
      <w:lvlText w:val="•"/>
      <w:numFmt w:val="bullet"/>
      <w:start w:val="1"/>
    </w:lvl>
  </w:abstractNum>
  <w:abstractNum w:abstractNumId="69">
    <w:nsid w:val="5FB8011C"/>
    <w:multiLevelType w:val="hybridMultilevel"/>
    <w:lvl w:ilvl="0">
      <w:lvlJc w:val="left"/>
      <w:lvlText w:val="•"/>
      <w:numFmt w:val="bullet"/>
      <w:start w:val="1"/>
    </w:lvl>
  </w:abstractNum>
  <w:abstractNum w:abstractNumId="70">
    <w:nsid w:val="6AA78F7F"/>
    <w:multiLevelType w:val="hybridMultilevel"/>
    <w:lvl w:ilvl="0">
      <w:lvlJc w:val="left"/>
      <w:lvlText w:val="(%1)"/>
      <w:numFmt w:val="decimal"/>
      <w:start w:val="1"/>
    </w:lvl>
  </w:abstractNum>
  <w:abstractNum w:abstractNumId="71">
    <w:nsid w:val="7672BD23"/>
    <w:multiLevelType w:val="hybridMultilevel"/>
    <w:lvl w:ilvl="0">
      <w:lvlJc w:val="left"/>
      <w:lvlText w:val="(%1)"/>
      <w:numFmt w:val="decimal"/>
      <w:start w:val="4"/>
    </w:lvl>
  </w:abstractNum>
  <w:abstractNum w:abstractNumId="72">
    <w:nsid w:val="6FC75AF8"/>
    <w:multiLevelType w:val="hybridMultilevel"/>
    <w:lvl w:ilvl="0">
      <w:lvlJc w:val="left"/>
      <w:lvlText w:val="(%1)"/>
      <w:numFmt w:val="decimal"/>
      <w:start w:val="1"/>
    </w:lvl>
  </w:abstractNum>
  <w:abstractNum w:abstractNumId="73">
    <w:nsid w:val="6A5F7029"/>
    <w:multiLevelType w:val="hybridMultilevel"/>
    <w:lvl w:ilvl="0">
      <w:lvlJc w:val="left"/>
      <w:lvlText w:val="(%1)"/>
      <w:numFmt w:val="decimal"/>
      <w:start w:val="1"/>
    </w:lvl>
  </w:abstractNum>
  <w:abstractNum w:abstractNumId="74">
    <w:nsid w:val="7D5E18F8"/>
    <w:multiLevelType w:val="hybridMultilevel"/>
    <w:lvl w:ilvl="0">
      <w:lvlJc w:val="left"/>
      <w:lvlText w:val="*"/>
      <w:numFmt w:val="bullet"/>
      <w:start w:val="1"/>
    </w:lvl>
  </w:abstractNum>
  <w:abstractNum w:abstractNumId="75">
    <w:nsid w:val="5F3534A4"/>
    <w:multiLevelType w:val="hybridMultilevel"/>
    <w:lvl w:ilvl="0">
      <w:lvlJc w:val="left"/>
      <w:lvlText w:val="(%1)"/>
      <w:numFmt w:val="decimal"/>
      <w:start w:val="1"/>
    </w:lvl>
  </w:abstractNum>
  <w:abstractNum w:abstractNumId="76">
    <w:nsid w:val="73A1821B"/>
    <w:multiLevelType w:val="hybridMultilevel"/>
    <w:lvl w:ilvl="0">
      <w:lvlJc w:val="left"/>
      <w:lvlText w:val="•"/>
      <w:numFmt w:val="bullet"/>
      <w:start w:val="1"/>
    </w:lvl>
  </w:abstractNum>
  <w:abstractNum w:abstractNumId="77">
    <w:nsid w:val="7DE67713"/>
    <w:multiLevelType w:val="hybridMultilevel"/>
    <w:lvl w:ilvl="0">
      <w:lvlJc w:val="left"/>
      <w:lvlText w:val="(%1)"/>
      <w:numFmt w:val="decimal"/>
      <w:start w:val="2"/>
    </w:lvl>
  </w:abstractNum>
  <w:abstractNum w:abstractNumId="78">
    <w:nsid w:val="555C55B5"/>
    <w:multiLevelType w:val="hybridMultilevel"/>
    <w:lvl w:ilvl="0">
      <w:lvlJc w:val="left"/>
      <w:lvlText w:val="="/>
      <w:numFmt w:val="bullet"/>
      <w:start w:val="1"/>
    </w:lvl>
  </w:abstractNum>
  <w:abstractNum w:abstractNumId="79">
    <w:nsid w:val="3FA62ACA"/>
    <w:multiLevelType w:val="hybridMultilevel"/>
    <w:lvl w:ilvl="0">
      <w:lvlJc w:val="left"/>
      <w:lvlText w:val="(*)"/>
      <w:numFmt w:val="bullet"/>
      <w:start w:val="1"/>
    </w:lvl>
    <w:lvl w:ilvl="1">
      <w:lvlJc w:val="left"/>
      <w:lvlText w:val="="/>
      <w:numFmt w:val="bullet"/>
      <w:start w:val="1"/>
    </w:lvl>
  </w:abstractNum>
  <w:abstractNum w:abstractNumId="80">
    <w:nsid w:val="14FCE74E"/>
    <w:multiLevelType w:val="hybridMultilevel"/>
    <w:lvl w:ilvl="0">
      <w:lvlJc w:val="left"/>
      <w:lvlText w:val="(%1)"/>
      <w:numFmt w:val="decimal"/>
      <w:start w:val="1"/>
    </w:lvl>
  </w:abstractNum>
  <w:abstractNum w:abstractNumId="81">
    <w:nsid w:val="6A3DD3E8"/>
    <w:multiLevelType w:val="hybridMultilevel"/>
    <w:lvl w:ilvl="0">
      <w:lvlJc w:val="left"/>
      <w:lvlText w:val="(%1)"/>
      <w:numFmt w:val="decimal"/>
      <w:start w:val="1"/>
    </w:lvl>
  </w:abstractNum>
  <w:abstractNum w:abstractNumId="82">
    <w:nsid w:val="71C91298"/>
    <w:multiLevelType w:val="hybridMultilevel"/>
    <w:lvl w:ilvl="0">
      <w:lvlJc w:val="left"/>
      <w:lvlText w:val="•"/>
      <w:numFmt w:val="bullet"/>
      <w:start w:val="1"/>
    </w:lvl>
  </w:abstractNum>
  <w:abstractNum w:abstractNumId="83">
    <w:nsid w:val="9DAF632"/>
    <w:multiLevelType w:val="hybridMultilevel"/>
    <w:lvl w:ilvl="0">
      <w:lvlJc w:val="left"/>
      <w:lvlText w:val="•"/>
      <w:numFmt w:val="bullet"/>
      <w:start w:val="1"/>
    </w:lvl>
  </w:abstractNum>
  <w:abstractNum w:abstractNumId="84">
    <w:nsid w:val="53299938"/>
    <w:multiLevelType w:val="hybridMultilevel"/>
    <w:lvl w:ilvl="0">
      <w:lvlJc w:val="left"/>
      <w:lvlText w:val="•"/>
      <w:numFmt w:val="bullet"/>
      <w:start w:val="1"/>
    </w:lvl>
  </w:abstractNum>
  <w:abstractNum w:abstractNumId="85">
    <w:nsid w:val="1FBFE8E0"/>
    <w:multiLevelType w:val="hybridMultilevel"/>
    <w:lvl w:ilvl="0">
      <w:lvlJc w:val="left"/>
      <w:lvlText w:val="•"/>
      <w:numFmt w:val="bullet"/>
      <w:start w:val="1"/>
    </w:lvl>
  </w:abstractNum>
  <w:abstractNum w:abstractNumId="86">
    <w:nsid w:val="5092CA79"/>
    <w:multiLevelType w:val="hybridMultilevel"/>
    <w:lvl w:ilvl="0">
      <w:lvlJc w:val="left"/>
      <w:lvlText w:val="•"/>
      <w:numFmt w:val="bullet"/>
      <w:start w:val="1"/>
    </w:lvl>
  </w:abstractNum>
  <w:abstractNum w:abstractNumId="87">
    <w:nsid w:val="1D545C4D"/>
    <w:multiLevelType w:val="hybridMultilevel"/>
    <w:lvl w:ilvl="0">
      <w:lvlJc w:val="left"/>
      <w:lvlText w:val="•"/>
      <w:numFmt w:val="bullet"/>
      <w:start w:val="1"/>
    </w:lvl>
  </w:abstractNum>
  <w:abstractNum w:abstractNumId="88">
    <w:nsid w:val="59ADEA3D"/>
    <w:multiLevelType w:val="hybridMultilevel"/>
    <w:lvl w:ilvl="0">
      <w:lvlJc w:val="left"/>
      <w:lvlText w:val="•"/>
      <w:numFmt w:val="bullet"/>
      <w:start w:val="1"/>
    </w:lvl>
  </w:abstractNum>
  <w:abstractNum w:abstractNumId="89">
    <w:nsid w:val="288F1A34"/>
    <w:multiLevelType w:val="hybridMultilevel"/>
    <w:lvl w:ilvl="0">
      <w:lvlJc w:val="left"/>
      <w:lvlText w:val="•"/>
      <w:numFmt w:val="bullet"/>
      <w:start w:val="1"/>
    </w:lvl>
  </w:abstractNum>
  <w:abstractNum w:abstractNumId="90">
    <w:nsid w:val="2A155DBC"/>
    <w:multiLevelType w:val="hybridMultilevel"/>
    <w:lvl w:ilvl="0">
      <w:lvlJc w:val="left"/>
      <w:lvlText w:val="•"/>
      <w:numFmt w:val="bullet"/>
      <w:start w:val="1"/>
    </w:lvl>
  </w:abstractNum>
  <w:abstractNum w:abstractNumId="91">
    <w:nsid w:val="1D9F6E5F"/>
    <w:multiLevelType w:val="hybridMultilevel"/>
    <w:lvl w:ilvl="0">
      <w:lvlJc w:val="left"/>
      <w:lvlText w:val="•"/>
      <w:numFmt w:val="bullet"/>
      <w:start w:val="1"/>
    </w:lvl>
  </w:abstractNum>
  <w:abstractNum w:abstractNumId="92">
    <w:nsid w:val="97E1B4E"/>
    <w:multiLevelType w:val="hybridMultilevel"/>
    <w:lvl w:ilvl="0">
      <w:lvlJc w:val="left"/>
      <w:lvlText w:val="•"/>
      <w:numFmt w:val="bullet"/>
      <w:start w:val="1"/>
    </w:lvl>
  </w:abstractNum>
  <w:abstractNum w:abstractNumId="93">
    <w:nsid w:val="51088277"/>
    <w:multiLevelType w:val="hybridMultilevel"/>
    <w:lvl w:ilvl="0">
      <w:lvlJc w:val="left"/>
      <w:lvlText w:val="•"/>
      <w:numFmt w:val="bullet"/>
      <w:start w:val="1"/>
    </w:lvl>
  </w:abstractNum>
  <w:abstractNum w:abstractNumId="94">
    <w:nsid w:val="1CA0C5FA"/>
    <w:multiLevelType w:val="hybridMultilevel"/>
    <w:lvl w:ilvl="0">
      <w:lvlJc w:val="left"/>
      <w:lvlText w:val="•"/>
      <w:numFmt w:val="bullet"/>
      <w:start w:val="1"/>
    </w:lvl>
  </w:abstractNum>
  <w:abstractNum w:abstractNumId="95">
    <w:nsid w:val="53584BCB"/>
    <w:multiLevelType w:val="hybridMultilevel"/>
    <w:lvl w:ilvl="0">
      <w:lvlJc w:val="left"/>
      <w:lvlText w:val="•"/>
      <w:numFmt w:val="bullet"/>
      <w:start w:val="1"/>
    </w:lvl>
  </w:abstractNum>
  <w:abstractNum w:abstractNumId="96">
    <w:nsid w:val="415E286C"/>
    <w:multiLevelType w:val="hybridMultilevel"/>
    <w:lvl w:ilvl="0">
      <w:lvlJc w:val="left"/>
      <w:lvlText w:val="•"/>
      <w:numFmt w:val="bullet"/>
      <w:start w:val="1"/>
    </w:lvl>
  </w:abstractNum>
  <w:abstractNum w:abstractNumId="97">
    <w:nsid w:val="7C58FD05"/>
    <w:multiLevelType w:val="hybridMultilevel"/>
    <w:lvl w:ilvl="0">
      <w:lvlJc w:val="left"/>
      <w:lvlText w:val="•"/>
      <w:numFmt w:val="bullet"/>
      <w:start w:val="1"/>
    </w:lvl>
  </w:abstractNum>
  <w:abstractNum w:abstractNumId="98">
    <w:nsid w:val="23D86AAC"/>
    <w:multiLevelType w:val="hybridMultilevel"/>
    <w:lvl w:ilvl="0">
      <w:lvlJc w:val="left"/>
      <w:lvlText w:val="•"/>
      <w:numFmt w:val="bullet"/>
      <w:start w:val="1"/>
    </w:lvl>
  </w:abstractNum>
  <w:abstractNum w:abstractNumId="99">
    <w:nsid w:val="45E6D486"/>
    <w:multiLevelType w:val="hybridMultilevel"/>
    <w:lvl w:ilvl="0">
      <w:lvlJc w:val="left"/>
      <w:lvlText w:val="•"/>
      <w:numFmt w:val="bullet"/>
      <w:start w:val="1"/>
    </w:lvl>
  </w:abstractNum>
  <w:abstractNum w:abstractNumId="100">
    <w:nsid w:val="5C10FE21"/>
    <w:multiLevelType w:val="hybridMultilevel"/>
    <w:lvl w:ilvl="0">
      <w:lvlJc w:val="left"/>
      <w:lvlText w:val="•"/>
      <w:numFmt w:val="bullet"/>
      <w:start w:val="1"/>
    </w:lvl>
  </w:abstractNum>
  <w:abstractNum w:abstractNumId="101">
    <w:nsid w:val="E7FFA2B"/>
    <w:multiLevelType w:val="hybridMultilevel"/>
    <w:lvl w:ilvl="0">
      <w:lvlJc w:val="left"/>
      <w:lvlText w:val="•"/>
      <w:numFmt w:val="bullet"/>
      <w:start w:val="1"/>
    </w:lvl>
  </w:abstractNum>
  <w:abstractNum w:abstractNumId="102">
    <w:nsid w:val="3C5991AA"/>
    <w:multiLevelType w:val="hybridMultilevel"/>
    <w:lvl w:ilvl="0">
      <w:lvlJc w:val="left"/>
      <w:lvlText w:val="•"/>
      <w:numFmt w:val="bullet"/>
      <w:start w:val="1"/>
    </w:lvl>
  </w:abstractNum>
  <w:abstractNum w:abstractNumId="103">
    <w:nsid w:val="4BD8591A"/>
    <w:multiLevelType w:val="hybridMultilevel"/>
    <w:lvl w:ilvl="0">
      <w:lvlJc w:val="left"/>
      <w:lvlText w:val="•"/>
      <w:numFmt w:val="bullet"/>
      <w:start w:val="1"/>
    </w:lvl>
  </w:abstractNum>
  <w:abstractNum w:abstractNumId="104">
    <w:nsid w:val="78DF6A55"/>
    <w:multiLevelType w:val="hybridMultilevel"/>
    <w:lvl w:ilvl="0">
      <w:lvlJc w:val="left"/>
      <w:lvlText w:val="•"/>
      <w:numFmt w:val="bullet"/>
      <w:start w:val="1"/>
    </w:lvl>
  </w:abstractNum>
  <w:abstractNum w:abstractNumId="105">
    <w:nsid w:val="39B7AAA2"/>
    <w:multiLevelType w:val="hybridMultilevel"/>
    <w:lvl w:ilvl="0">
      <w:lvlJc w:val="left"/>
      <w:lvlText w:val="•"/>
      <w:numFmt w:val="bullet"/>
      <w:start w:val="1"/>
    </w:lvl>
  </w:abstractNum>
  <w:abstractNum w:abstractNumId="106">
    <w:nsid w:val="2B0D8DBE"/>
    <w:multiLevelType w:val="hybridMultilevel"/>
    <w:lvl w:ilvl="0">
      <w:lvlJc w:val="left"/>
      <w:lvlText w:val="•"/>
      <w:numFmt w:val="bullet"/>
      <w:start w:val="1"/>
    </w:lvl>
  </w:abstractNum>
  <w:abstractNum w:abstractNumId="107">
    <w:nsid w:val="6C80EC70"/>
    <w:multiLevelType w:val="hybridMultilevel"/>
    <w:lvl w:ilvl="0">
      <w:lvlJc w:val="left"/>
      <w:lvlText w:val="•"/>
      <w:numFmt w:val="bullet"/>
      <w:start w:val="1"/>
    </w:lvl>
  </w:abstractNum>
  <w:abstractNum w:abstractNumId="108">
    <w:nsid w:val="379E21B5"/>
    <w:multiLevelType w:val="hybridMultilevel"/>
    <w:lvl w:ilvl="0">
      <w:lvlJc w:val="left"/>
      <w:lvlText w:val="•"/>
      <w:numFmt w:val="bullet"/>
      <w:start w:val="1"/>
    </w:lvl>
  </w:abstractNum>
  <w:abstractNum w:abstractNumId="109">
    <w:nsid w:val="69E37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0">
    <w:nsid w:val="2C27173B"/>
    <w:multiLevelType w:val="hybridMultilevel"/>
    <w:lvl w:ilvl="0">
      <w:lvlJc w:val="left"/>
      <w:lvlText w:val="(%1)"/>
      <w:numFmt w:val="decimal"/>
      <w:start w:val="3"/>
    </w:lvl>
  </w:abstractNum>
  <w:abstractNum w:abstractNumId="111">
    <w:nsid w:val="4C9B0904"/>
    <w:multiLevelType w:val="hybridMultilevel"/>
    <w:lvl w:ilvl="0">
      <w:lvlJc w:val="left"/>
      <w:lvlText w:val="•"/>
      <w:numFmt w:val="bullet"/>
      <w:start w:val="1"/>
    </w:lvl>
  </w:abstractNum>
  <w:abstractNum w:abstractNumId="112">
    <w:nsid w:val="6AA7B75C"/>
    <w:multiLevelType w:val="hybridMultilevel"/>
    <w:lvl w:ilvl="0">
      <w:lvlJc w:val="left"/>
      <w:lvlText w:val="•"/>
      <w:numFmt w:val="bullet"/>
      <w:start w:val="1"/>
    </w:lvl>
  </w:abstractNum>
  <w:abstractNum w:abstractNumId="113">
    <w:nsid w:val="1DF029D3"/>
    <w:multiLevelType w:val="hybridMultilevel"/>
    <w:lvl w:ilvl="0">
      <w:lvlJc w:val="left"/>
      <w:lvlText w:val="•"/>
      <w:numFmt w:val="bullet"/>
      <w:start w:val="1"/>
    </w:lvl>
  </w:abstractNum>
  <w:abstractNum w:abstractNumId="114">
    <w:nsid w:val="5675FF36"/>
    <w:multiLevelType w:val="hybridMultilevel"/>
    <w:lvl w:ilvl="0">
      <w:lvlJc w:val="left"/>
      <w:lvlText w:val="•"/>
      <w:numFmt w:val="bullet"/>
      <w:start w:val="1"/>
    </w:lvl>
    <w:lvl w:ilvl="1">
      <w:lvlJc w:val="left"/>
      <w:lvlText w:val="%2)"/>
      <w:numFmt w:val="decimal"/>
      <w:start w:val="1"/>
    </w:lvl>
  </w:abstractNum>
  <w:abstractNum w:abstractNumId="115">
    <w:nsid w:val="3DD15094"/>
    <w:multiLevelType w:val="hybridMultilevel"/>
    <w:lvl w:ilvl="0">
      <w:lvlJc w:val="left"/>
      <w:lvlText w:val="•"/>
      <w:numFmt w:val="bullet"/>
      <w:start w:val="1"/>
    </w:lvl>
  </w:abstractNum>
  <w:abstractNum w:abstractNumId="116">
    <w:nsid w:val="3DB012B3"/>
    <w:multiLevelType w:val="hybridMultilevel"/>
    <w:lvl w:ilvl="0">
      <w:lvlJc w:val="left"/>
      <w:lvlText w:val="(%1)"/>
      <w:numFmt w:val="decimal"/>
      <w:start w:val="1"/>
    </w:lvl>
  </w:abstractNum>
  <w:abstractNum w:abstractNumId="117">
    <w:nsid w:val="2708C9AF"/>
    <w:multiLevelType w:val="hybridMultilevel"/>
    <w:lvl w:ilvl="0">
      <w:lvlJc w:val="left"/>
      <w:lvlText w:val="(%1)"/>
      <w:numFmt w:val="decimal"/>
      <w:start w:val="1"/>
    </w:lvl>
  </w:abstractNum>
  <w:abstractNum w:abstractNumId="118">
    <w:nsid w:val="5B25ACE2"/>
    <w:multiLevelType w:val="hybridMultilevel"/>
    <w:lvl w:ilvl="0">
      <w:lvlJc w:val="left"/>
      <w:lvlText w:val="(%1)"/>
      <w:numFmt w:val="decimal"/>
      <w:start w:val="1"/>
    </w:lvl>
  </w:abstractNum>
  <w:abstractNum w:abstractNumId="119">
    <w:nsid w:val="175DFCF0"/>
    <w:multiLevelType w:val="hybridMultilevel"/>
    <w:lvl w:ilvl="0">
      <w:lvlJc w:val="left"/>
      <w:lvlText w:val="%1"/>
      <w:numFmt w:val="lowerLetter"/>
      <w:start w:val="1"/>
    </w:lvl>
    <w:lvl w:ilvl="1">
      <w:lvlJc w:val="left"/>
      <w:lvlText w:val="(%2)"/>
      <w:numFmt w:val="decimal"/>
      <w:start w:val="4"/>
    </w:lvl>
  </w:abstractNum>
  <w:abstractNum w:abstractNumId="120">
    <w:nsid w:val="4F97E3E4"/>
    <w:multiLevelType w:val="hybridMultilevel"/>
    <w:lvl w:ilvl="0">
      <w:lvlJc w:val="left"/>
      <w:lvlText w:val="(%1)"/>
      <w:numFmt w:val="lowerLetter"/>
      <w:start w:val="2"/>
    </w:lvl>
    <w:lvl w:ilvl="1">
      <w:lvlJc w:val="left"/>
      <w:lvlText w:val="%2"/>
      <w:numFmt w:val="decimal"/>
      <w:start w:val="1"/>
    </w:lvl>
  </w:abstractNum>
  <w:abstractNum w:abstractNumId="121">
    <w:nsid w:val="53B0A9E"/>
    <w:multiLevelType w:val="hybridMultilevel"/>
    <w:lvl w:ilvl="0">
      <w:lvlJc w:val="left"/>
      <w:lvlText w:val="(%1)"/>
      <w:numFmt w:val="decimal"/>
      <w:start w:val="1"/>
    </w:lvl>
  </w:abstractNum>
  <w:abstractNum w:abstractNumId="122">
    <w:nsid w:val="34FD6B4F"/>
    <w:multiLevelType w:val="hybridMultilevel"/>
    <w:lvl w:ilvl="0">
      <w:lvlJc w:val="left"/>
      <w:lvlText w:val="*"/>
      <w:numFmt w:val="bullet"/>
      <w:start w:val="1"/>
    </w:lvl>
  </w:abstractNum>
  <w:abstractNum w:abstractNumId="123">
    <w:nsid w:val="5915FF32"/>
    <w:multiLevelType w:val="hybridMultilevel"/>
    <w:lvl w:ilvl="0">
      <w:lvlJc w:val="left"/>
      <w:lvlText w:val="(%1)"/>
      <w:numFmt w:val="decimal"/>
      <w:start w:val="1"/>
    </w:lvl>
  </w:abstractNum>
  <w:abstractNum w:abstractNumId="124">
    <w:nsid w:val="56438D15"/>
    <w:multiLevelType w:val="hybridMultilevel"/>
    <w:lvl w:ilvl="0">
      <w:lvlJc w:val="left"/>
      <w:lvlText w:val="(%1)"/>
      <w:numFmt w:val="decimal"/>
      <w:start w:val="1"/>
    </w:lvl>
  </w:abstractNum>
  <w:abstractNum w:abstractNumId="125">
    <w:nsid w:val="519E314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2019-12-07T15:06:51Z</dcterms:created>
  <dcterms:modified xsi:type="dcterms:W3CDTF">2019-12-07T15:06:51Z</dcterms:modified>
</cp:coreProperties>
</file>