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(RULE 14a-101)</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80"/>
          </w:cols>
          <w:pgMar w:left="240" w:top="206" w:right="27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hanging="439"/>
        <w:spacing w:after="0" w:line="275"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6" w:lineRule="exact"/>
        <w:rPr>
          <w:sz w:val="24"/>
          <w:szCs w:val="24"/>
          <w:color w:val="auto"/>
        </w:rPr>
      </w:pPr>
    </w:p>
    <w:p>
      <w:pPr>
        <w:sectPr>
          <w:pgSz w:w="11900" w:h="16838" w:orient="portrait"/>
          <w:cols w:equalWidth="0" w:num="3">
            <w:col w:w="160" w:space="260"/>
            <w:col w:w="5160" w:space="720"/>
            <w:col w:w="5080"/>
          </w:cols>
          <w:pgMar w:left="240" w:top="206" w:right="27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DefinitiveAdditional Material</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14a-12</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PennantPark Investment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6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-3676015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-3272790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-2732405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-2329180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-1926590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-1009015</wp:posOffset>
            </wp:positionV>
            <wp:extent cx="5629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-605790</wp:posOffset>
            </wp:positionV>
            <wp:extent cx="5629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5629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200025</wp:posOffset>
            </wp:positionV>
            <wp:extent cx="5629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80"/>
          </w:cols>
          <w:pgMar w:left="240" w:top="206"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183515</wp:posOffset>
            </wp:positionV>
            <wp:extent cx="2470150"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523240"/>
                    </a:xfrm>
                    <a:prstGeom prst="rect">
                      <a:avLst/>
                    </a:prstGeom>
                    <a:noFill/>
                  </pic:spPr>
                </pic:pic>
              </a:graphicData>
            </a:graphic>
          </wp:anchor>
        </w:drawing>
        <w:t>590 Madison Avenue, 15th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22,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520" w:firstLine="456"/>
        <w:spacing w:after="0" w:line="389" w:lineRule="auto"/>
        <w:rPr>
          <w:sz w:val="20"/>
          <w:szCs w:val="20"/>
          <w:color w:val="auto"/>
        </w:rPr>
      </w:pPr>
      <w:r>
        <w:rPr>
          <w:rFonts w:ascii="Arial" w:cs="Arial" w:eastAsia="Arial" w:hAnsi="Arial"/>
          <w:sz w:val="15"/>
          <w:szCs w:val="15"/>
          <w:color w:val="auto"/>
        </w:rPr>
        <w:t>You are cordially invited to attend the 2009 Annual Meeting of Stockholders of PennantPark Investment Corporation (the “Company”) to be held on February 3, 2009 at 9:30 a.m., Eastern Time, at the Omni Berkshire Place, located at 21 East 52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Street at Madison Avenue, New York, New York 10022.</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Notice of Annual Meeting of Stockholders and the proxy statement of the Board of Directors of the Company, which is accessible on the Internet or by request, provide an outline of the business to be conducted at our Annual Meeting of stockholders. At the Meeting, you will be asked to elect two directors of the Company and to ratify the selection of KPMG LLP as the Company’s independent registered public accounting firm for the fiscal year ending September 30, 2009. I will also report on the progress of the Company during the past year and respond to stockholders’ questions.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 is important that your shares be represented at the annual meeting.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vote your proxy by returning a proxy card to us after you request the hard copy materials. Your vote and participation in the governance of the Company is very important to us.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268605</wp:posOffset>
            </wp:positionV>
            <wp:extent cx="186118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11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79"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905-1000</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3,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to the owners of shares of common stock (the “Stockholders”) of PennantPark Investment Corporation (the “Company”) that:</w:t>
      </w:r>
    </w:p>
    <w:p>
      <w:pPr>
        <w:spacing w:after="0" w:line="140" w:lineRule="exact"/>
        <w:rPr>
          <w:sz w:val="20"/>
          <w:szCs w:val="20"/>
          <w:color w:val="auto"/>
        </w:rPr>
      </w:pPr>
    </w:p>
    <w:p>
      <w:pPr>
        <w:ind w:right="260" w:firstLine="456"/>
        <w:spacing w:after="0" w:line="221" w:lineRule="auto"/>
        <w:rPr>
          <w:sz w:val="20"/>
          <w:szCs w:val="20"/>
          <w:color w:val="auto"/>
        </w:rPr>
      </w:pPr>
      <w:r>
        <w:rPr>
          <w:rFonts w:ascii="Arial" w:cs="Arial" w:eastAsia="Arial" w:hAnsi="Arial"/>
          <w:sz w:val="18"/>
          <w:szCs w:val="18"/>
          <w:color w:val="auto"/>
        </w:rPr>
        <w:t>The 2009 Annual Meeting of Stockholders of the Company will be held at the Omni Berkshire Place, located at 21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at Madison Avenue, New York, New York, on February 3, 2009 at 9:30 a.m., Eastern Time, for the following purposes:</w:t>
      </w:r>
    </w:p>
    <w:p>
      <w:pPr>
        <w:spacing w:after="0" w:line="103"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 directors of the company who will each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year ending September 30, 2009;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have the right to receive notice of, and to vote at, the Annual Meeting if you were a stockholder of record at the close of business on December 15,</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2008. Under rules adopted by the U.S. Securities and Exchange Commission (“SEC”), we are now furnishing proxy materials to our shareholders on the Internet, rather than mailing printed copies of those materials to each shareholder. If you received a Notice of Internet Availability of Proxy Materials by mail, you will not receive a printed copy of the proxy materials unless you request them. Instead, the Notice of Internet Availability of Proxy Materials will instruct you as to how you may access and review the proxy materials, and vote your proxy, on the Internet.</w:t>
      </w:r>
    </w:p>
    <w:p>
      <w:pPr>
        <w:spacing w:after="0" w:line="11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Your vote is extremely important to us. If you are unable to attend the Annual Meeting of stockholders, we encourage you to vote your proxy on the Internet by following the instructions provided on the Notice of Internet Availability of Proxy Materials. You may also request from us free of charge hard copies of the proxy statement and a proxy card by following the instructions on the Notice of Availability of Proxy Materials. In the event there are not sufficient votes for a quorum or to approve the proposals at the time of the Annual Meeting, the Annual Meeting may be adjourned in order to permit further solicitation of proxies by the Company.</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EACH OF THE PROPOSALS.</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217170</wp:posOffset>
            </wp:positionV>
            <wp:extent cx="141478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2008</w:t>
      </w:r>
    </w:p>
    <w:p>
      <w:pPr>
        <w:sectPr>
          <w:pgSz w:w="11900" w:h="16838" w:orient="portrait"/>
          <w:cols w:equalWidth="0" w:num="1">
            <w:col w:w="11380"/>
          </w:cols>
          <w:pgMar w:left="240" w:top="27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100"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2009 Annual Meeting of Stockholders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February 3, 2009</w:t>
      </w:r>
    </w:p>
    <w:p>
      <w:pPr>
        <w:spacing w:after="0" w:line="1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rules of the Securities and Exchange Commission (“SEC”); some of it is technical in nature. If there is anything you do not understand, please contact us at 212-905-1000.</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PennantPark Investment</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Corporation (the “Company,” “we,” “us” or “our”) for use at our 2009 Annual Meeting of Stockholders (the “Meeting”) to be held on Tuesday, February 3, 2009</w:t>
      </w:r>
    </w:p>
    <w:p>
      <w:pPr>
        <w:spacing w:after="0" w:line="3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9:30 a.m., Eastern Time, at the Omni Berkshire Place, located at 21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at Madison Avenue, New York, New York and at any postponements or adjournments thereof. This Proxy Statement and the Company’s Annual Report for the fiscal year ended September 30, 2008, are being provided to stockholders via the Internet on or about December 15, 2008. In addition, a Notice of Annual Meeting and a Notice of Internet Availability of Proxy Materials are being sent to stockholders of record as of December 15, 2008.</w:t>
      </w:r>
    </w:p>
    <w:p>
      <w:pPr>
        <w:spacing w:after="0" w:line="18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Board’s recommendation. If any other business is brought before the Meeting, your shares will be voted at the Board’s discretion unless you specifically state otherwise on your proxy.</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telephone or by mail.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Class II directors of the Company, who will each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year ending September 30, 2009;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your shares at the Meeting only if you were a stockholder of record at the close of business on December 15, 2008 (the “Record Date”).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 were 21,068,772 shares of the Company’s common stock outstanding on the Record Date. Each share of the common stock is entitled to one vote.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Quorum Required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quorum must be present at the Meeting for any business to be conducted. The presence at the Meeting, in person or by proxy, of the holders of a majority of the shares of stock outstanding on the Record Date will constitute a quorum. Shares held by a broker or other nominee for which the nominee has not received voting instructions from the record holder and does not have discretionary authority to vote the shares on non-routine proposals (which are considered “broker non-votes” with respect to such proposals), will be treated as shares present for quorum purposes. If there are not enough votes for a quorum, the chairman of the Meeting will adjourn the Meeting to permit the further solicitation of proxies.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Vote Required</w:t>
      </w:r>
    </w:p>
    <w:p>
      <w:pPr>
        <w:spacing w:after="0" w:line="17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The election of a director requires the vote of a majority of the shares of stock outstanding. Stockholders may not cumulate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votes. If you vote “Withhold Authority” with respect to a nominee, your shares will not be voted with respect to the person indicated. Because directors are elected by a majority of the votes of the outstanding common shares of the company, votes to withhold authority will have the effect of a vote against the nominee.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Broker Non-votes</w:t>
      </w:r>
      <w:r>
        <w:rPr>
          <w:rFonts w:ascii="Arial" w:cs="Arial" w:eastAsia="Arial" w:hAnsi="Arial"/>
          <w:sz w:val="18"/>
          <w:szCs w:val="18"/>
          <w:color w:val="auto"/>
        </w:rPr>
        <w:t>. If you beneficially own your shares and you do not provide your broker or nominee with proxy instructions, either by voting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instructions on the Notice of Internet Availability of Proxy Materials, by requesting hard copy proxy materials from us and returning a proxy card or by other arrangement with your broker or nominee, your broker or nominee will not be able to vote your shares for you on certain non-routine matters that come before the Annual Meeting. Such “broker non-votes” will, however, count toward a quorum.</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The affirmative vote of a majority of the votes cast at the Meeting in person or by proxy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ratify the appointment of KPMG LLP to serve as the Company’s independent registered public accounting firm. Abstentions and broker non-votes will not be included in determining the number of votes cast and, as a result, will have no effect on this proposal.</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Additional Solicitation. </w:t>
      </w:r>
      <w:r>
        <w:rPr>
          <w:rFonts w:ascii="Arial" w:cs="Arial" w:eastAsia="Arial" w:hAnsi="Arial"/>
          <w:sz w:val="18"/>
          <w:szCs w:val="18"/>
          <w:color w:val="auto"/>
        </w:rPr>
        <w:t>If there appears not to be enough votes to approve the proposals at the Meeting, the stockholders who are represented in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by proxy may vote to adjourn the Meeting to permit the further solicitation of proxies. Mr. Marshall Brozost and Mr. Samuel L. Katz are the persons named as proxies and will vote proxies held by them for such adjournment, unless marked to be voted against any proposal for which an adjournment is sought, to permit the further solicitation of proxies.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stockholder vote may be taken on one of the proposals in this Proxy Statement prior to any such adjournment if there are sufficient votes for approval of such proposal.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Regarding This Solicitation</w:t>
      </w:r>
    </w:p>
    <w:p>
      <w:pPr>
        <w:spacing w:after="0" w:line="171"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Company will bear the expense of the solicitation of proxies for the Meeting, including the cost of preparing and posting this Proxy Statement and the Annual Report to the Internet and the cost of mailing the Notice of Annual Meeting of Stockholders, the Notice of Internet Availability of Proxy Materials and any requested proxy materials to stockholders. The Company intends to use the services of Broadridge Financial Solutions, Inc., a leading provider of investor communications solutions, to aid in the distribution and collection of proxy votes. The Company expects to pay market rates for such services. If brokers, trustees, or fiduciaries and other institutions holding shares in their own names or in the names of their nominees, which shares are beneficially owned by others, forward the proxy materials to, and obtain proxies from, such beneficial owners, we will reimburse such persons for their reasonable expenses in so doing.</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the Company’s investment adviser and/or by a retained solicitor. No additional compensation will be paid to directors, officers or regular employees for such services.</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Stockholders may provide their voting instructions by telephone, through the Internet or by mail by following the instructions on the Notice of Availability of Proxy Materials. These options require stockholders to input the Control Number, which is provided with the Notice of Availability of Proxy Materials, after visiting www.proxyvote.com. Upon inputting this number, stockholders will be prompted to provide their voting instructions. 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will also receive an e-mail confirming their instructions upon request.</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Availability of Internet Proxy Materials.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resubmitting voting instructions via the Internet voting site, by attending the Meeting or by a notice, provided in writing and signed by the stockholder, delivered to the Company’s Secretary on any business day before the date of the Meeting.</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the Record Date, to our knowledge, no person would be deemed to control us, as such term is defined in the Investment Company Act of 1940, as amended (the “1940 Act”).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1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as of October 31, 2008,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440" w:type="dxa"/>
            <w:vAlign w:val="bottom"/>
          </w:tcPr>
          <w:p>
            <w:pPr>
              <w:spacing w:after="0"/>
              <w:rPr>
                <w:sz w:val="12"/>
                <w:szCs w:val="12"/>
                <w:color w:val="auto"/>
              </w:rPr>
            </w:pPr>
          </w:p>
        </w:tc>
        <w:tc>
          <w:tcPr>
            <w:tcW w:w="17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0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1,400,000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 Westchester Avenue, Suite 215</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080" w:type="dxa"/>
            <w:vAlign w:val="bottom"/>
            <w:gridSpan w:val="3"/>
          </w:tcPr>
          <w:p>
            <w:pPr>
              <w:spacing w:after="0"/>
              <w:rPr>
                <w:sz w:val="20"/>
                <w:szCs w:val="20"/>
                <w:color w:val="auto"/>
              </w:rPr>
            </w:pPr>
            <w:r>
              <w:rPr>
                <w:rFonts w:ascii="Arial" w:cs="Arial" w:eastAsia="Arial" w:hAnsi="Arial"/>
                <w:sz w:val="18"/>
                <w:szCs w:val="18"/>
                <w:color w:val="auto"/>
              </w:rPr>
              <w:t>Bank of America Corporation</w:t>
            </w:r>
          </w:p>
        </w:tc>
        <w:tc>
          <w:tcPr>
            <w:tcW w:w="4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1,826,800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100 North Tryon Street, Floor 25</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Bank of America Corporate Center</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3"/>
          </w:tcPr>
          <w:p>
            <w:pPr>
              <w:spacing w:after="0"/>
              <w:rPr>
                <w:sz w:val="20"/>
                <w:szCs w:val="20"/>
                <w:color w:val="auto"/>
              </w:rPr>
            </w:pPr>
            <w:r>
              <w:rPr>
                <w:rFonts w:ascii="Arial" w:cs="Arial" w:eastAsia="Arial" w:hAnsi="Arial"/>
                <w:sz w:val="18"/>
                <w:szCs w:val="18"/>
                <w:color w:val="auto"/>
              </w:rPr>
              <w:t>Charlotte, NC 28255</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Clough Capital Partners L.P.</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1,248,618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Post Office Square, 40th Floor</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080" w:type="dxa"/>
            <w:vAlign w:val="bottom"/>
            <w:gridSpan w:val="3"/>
          </w:tcPr>
          <w:p>
            <w:pPr>
              <w:spacing w:after="0"/>
              <w:rPr>
                <w:sz w:val="20"/>
                <w:szCs w:val="20"/>
                <w:color w:val="auto"/>
              </w:rPr>
            </w:pPr>
            <w:r>
              <w:rPr>
                <w:rFonts w:ascii="Arial" w:cs="Arial" w:eastAsia="Arial" w:hAnsi="Arial"/>
                <w:sz w:val="18"/>
                <w:szCs w:val="18"/>
                <w:color w:val="auto"/>
              </w:rPr>
              <w:t>Credit Suisse</w:t>
            </w:r>
          </w:p>
        </w:tc>
        <w:tc>
          <w:tcPr>
            <w:tcW w:w="4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1,493,287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Uetlibergstrasse 231</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P.O. Box 900</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3"/>
          </w:tcPr>
          <w:p>
            <w:pPr>
              <w:spacing w:after="0"/>
              <w:rPr>
                <w:sz w:val="20"/>
                <w:szCs w:val="20"/>
                <w:color w:val="auto"/>
              </w:rPr>
            </w:pPr>
            <w:r>
              <w:rPr>
                <w:rFonts w:ascii="Arial" w:cs="Arial" w:eastAsia="Arial" w:hAnsi="Arial"/>
                <w:sz w:val="18"/>
                <w:szCs w:val="18"/>
                <w:color w:val="auto"/>
              </w:rPr>
              <w:t>CH 8070 Zurich, Switzerland</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AG</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2,298,452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UBS Global Asset Management (Americas), Inc.</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North Wacker</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Illinois 60606</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08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4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1,748,008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75 State Street</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3"/>
          </w:tcPr>
          <w:p>
            <w:pPr>
              <w:spacing w:after="0"/>
              <w:rPr>
                <w:sz w:val="20"/>
                <w:szCs w:val="20"/>
                <w:color w:val="auto"/>
              </w:rPr>
            </w:pPr>
            <w:r>
              <w:rPr>
                <w:rFonts w:ascii="Arial" w:cs="Arial" w:eastAsia="Arial" w:hAnsi="Arial"/>
                <w:sz w:val="18"/>
                <w:szCs w:val="18"/>
                <w:color w:val="auto"/>
              </w:rPr>
              <w:t>Boston, MA 02109</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Adam K. Bernstein</w:t>
            </w:r>
            <w:r>
              <w:rPr>
                <w:rFonts w:ascii="Arial" w:cs="Arial" w:eastAsia="Arial" w:hAnsi="Arial"/>
                <w:sz w:val="22"/>
                <w:szCs w:val="22"/>
                <w:color w:val="auto"/>
                <w:vertAlign w:val="superscript"/>
              </w:rPr>
              <w:t>(2)</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80,836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44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Record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7,602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Record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440" w:type="dxa"/>
            <w:vAlign w:val="bottom"/>
          </w:tcPr>
          <w:p>
            <w:pPr>
              <w:spacing w:after="0"/>
              <w:rPr>
                <w:sz w:val="19"/>
                <w:szCs w:val="19"/>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Record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31,402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(3)</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297,666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323"/>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Record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Guy Talarico</w:t>
            </w:r>
          </w:p>
        </w:tc>
        <w:tc>
          <w:tcPr>
            <w:tcW w:w="44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(7 persons)</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507,153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w:t>
      </w: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68,236 shares held by JAM Investments,</w:t>
      </w:r>
    </w:p>
    <w:p>
      <w:pPr>
        <w:spacing w:after="0" w:line="2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9"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236,409 shares held by PennantPark Investment Advisers, LLC.</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Range of Securities Beneficially Owned by Directors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October 31, 2008. Information as to the beneficial ownerships based on information furnished to the company by such persons. We are not part of a “family of investment companies,” as that term is defined in the 1940 Act.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Dollar Range of Equity</w:t>
            </w:r>
          </w:p>
        </w:tc>
      </w:tr>
      <w:tr>
        <w:trPr>
          <w:trHeight w:val="193"/>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2020" w:type="dxa"/>
            <w:vAlign w:val="bottom"/>
            <w:gridSpan w:val="4"/>
          </w:tcPr>
          <w:p>
            <w:pPr>
              <w:jc w:val="center"/>
              <w:ind w:right="140"/>
              <w:spacing w:after="0" w:line="193" w:lineRule="exact"/>
              <w:rPr>
                <w:sz w:val="20"/>
                <w:szCs w:val="20"/>
                <w:color w:val="auto"/>
              </w:rPr>
            </w:pPr>
            <w:r>
              <w:rPr>
                <w:rFonts w:ascii="Arial" w:cs="Arial" w:eastAsia="Arial" w:hAnsi="Arial"/>
                <w:sz w:val="14"/>
                <w:szCs w:val="14"/>
                <w:b w:val="1"/>
                <w:bCs w:val="1"/>
                <w:color w:val="auto"/>
                <w:w w:val="85"/>
              </w:rPr>
              <w:t>Securities in PennantPark</w:t>
            </w:r>
            <w:r>
              <w:rPr>
                <w:rFonts w:ascii="Arial" w:cs="Arial" w:eastAsia="Arial" w:hAnsi="Arial"/>
                <w:sz w:val="22"/>
                <w:szCs w:val="22"/>
                <w:b w:val="1"/>
                <w:bCs w:val="1"/>
                <w:color w:val="auto"/>
                <w:w w:val="85"/>
                <w:vertAlign w:val="superscript"/>
              </w:rPr>
              <w:t>(1)</w:t>
            </w:r>
          </w:p>
        </w:tc>
      </w:tr>
      <w:tr>
        <w:trPr>
          <w:trHeight w:val="210"/>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1"/>
              </w:rPr>
              <w:t>Independent Directors</w:t>
            </w:r>
          </w:p>
        </w:tc>
        <w:tc>
          <w:tcPr>
            <w:tcW w:w="69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K. Bernstein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500,000</w:t>
            </w:r>
            <w:r>
              <w:rPr>
                <w:rFonts w:ascii="Arial" w:cs="Arial" w:eastAsia="Arial" w:hAnsi="Arial"/>
                <w:sz w:val="11"/>
                <w:szCs w:val="11"/>
                <w:color w:val="auto"/>
                <w:w w:val="86"/>
              </w:rPr>
              <w:t>(2)</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1040" w:type="dxa"/>
            <w:vAlign w:val="bottom"/>
          </w:tcPr>
          <w:p>
            <w:pPr>
              <w:jc w:val="right"/>
              <w:spacing w:after="0"/>
              <w:rPr>
                <w:sz w:val="20"/>
                <w:szCs w:val="20"/>
                <w:color w:val="auto"/>
              </w:rPr>
            </w:pPr>
            <w:r>
              <w:rPr>
                <w:rFonts w:ascii="Arial" w:cs="Arial" w:eastAsia="Arial" w:hAnsi="Arial"/>
                <w:sz w:val="18"/>
                <w:szCs w:val="18"/>
                <w:color w:val="auto"/>
              </w:rPr>
              <w:t>$10,001</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 $</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Flug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500,000</w:t>
            </w: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1040" w:type="dxa"/>
            <w:vAlign w:val="bottom"/>
          </w:tcPr>
          <w:p>
            <w:pPr>
              <w:jc w:val="right"/>
              <w:spacing w:after="0"/>
              <w:rPr>
                <w:sz w:val="20"/>
                <w:szCs w:val="20"/>
                <w:color w:val="auto"/>
              </w:rPr>
            </w:pPr>
            <w:r>
              <w:rPr>
                <w:rFonts w:ascii="Arial" w:cs="Arial" w:eastAsia="Arial" w:hAnsi="Arial"/>
                <w:sz w:val="18"/>
                <w:szCs w:val="18"/>
                <w:color w:val="auto"/>
              </w:rPr>
              <w:t>$100,001</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 $</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500,000</w:t>
            </w:r>
          </w:p>
        </w:tc>
      </w:tr>
      <w:tr>
        <w:trPr>
          <w:trHeight w:val="316"/>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020" w:type="dxa"/>
            <w:vAlign w:val="bottom"/>
            <w:gridSpan w:val="4"/>
            <w:shd w:val="clear" w:color="auto" w:fill="CCEEFF"/>
          </w:tcPr>
          <w:p>
            <w:pPr>
              <w:jc w:val="center"/>
              <w:ind w:right="140"/>
              <w:spacing w:after="0" w:line="218" w:lineRule="exact"/>
              <w:rPr>
                <w:sz w:val="20"/>
                <w:szCs w:val="20"/>
                <w:color w:val="auto"/>
              </w:rPr>
            </w:pPr>
            <w:r>
              <w:rPr>
                <w:rFonts w:ascii="Arial" w:cs="Arial" w:eastAsia="Arial" w:hAnsi="Arial"/>
                <w:sz w:val="18"/>
                <w:szCs w:val="18"/>
                <w:color w:val="auto"/>
                <w:w w:val="86"/>
              </w:rPr>
              <w:t>Over $1,000,000</w:t>
            </w:r>
            <w:r>
              <w:rPr>
                <w:rFonts w:ascii="Arial" w:cs="Arial" w:eastAsia="Arial" w:hAnsi="Arial"/>
                <w:sz w:val="22"/>
                <w:szCs w:val="22"/>
                <w:color w:val="auto"/>
                <w:w w:val="86"/>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PennantPark Investments Advisers, LLC</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PROPOSAL I: ELECTION OF DIRECTORS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accordance with the bylaws, the Company currently has five members of the Board of Directors. Directors are divided into three classes and are elected for staggered terms of three years each, with a term of office of one of the three classes of directors expiring each year. The terms of Class I, II and III expired or will expire in 2011, 2009 and 2010, respectively. Each director will hold office for the term to which he or she is elected or until his or her successor is duly elected and qualifies.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stockholder can vote for, or withhold his or her vote from, any nominee. In the absence of instructions to the contrary, it is the intention of the persons named as proxies to vote such proxy FOR the election of the nominees named below. If a nominee should decline or be unable to serve as a director, it is intended that the proxy will be voted for the election of such person as is nominated by the Board as a replacement. The Board has no reason to believe that any of the persons named below will be unable or unwilling to serve.</w:t>
      </w:r>
    </w:p>
    <w:p>
      <w:pPr>
        <w:spacing w:after="0" w:line="13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NOMINEES NAMED IN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Nominees and Directors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Certain information with respect to the Class II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Both of the nominees for Class II directors currently serve as directors of the Company.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Adam K. Bernstein and Mr. Jeffrey Flug have each been nominated for election as independent directors for a three year term expiring in 2012. Neither Mr. Bernstein nor Mr. Flug is being proposed for election pursuant to any agreement or understanding between either Mr. Bernstein nor Mr. Flug and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Nominees for Class II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Term of Office</w:t>
            </w:r>
          </w:p>
        </w:tc>
        <w:tc>
          <w:tcPr>
            <w:tcW w:w="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Held by Director</w:t>
            </w:r>
          </w:p>
        </w:tc>
        <w:tc>
          <w:tcPr>
            <w:tcW w:w="0" w:type="dxa"/>
            <w:vAlign w:val="bottom"/>
          </w:tcPr>
          <w:p>
            <w:pPr>
              <w:spacing w:after="0"/>
              <w:rPr>
                <w:sz w:val="1"/>
                <w:szCs w:val="1"/>
                <w:color w:val="auto"/>
              </w:rPr>
            </w:pPr>
          </w:p>
        </w:tc>
      </w:tr>
      <w:tr>
        <w:trPr>
          <w:trHeight w:val="162"/>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880" w:type="dxa"/>
            <w:vAlign w:val="bottom"/>
          </w:tcPr>
          <w:p>
            <w:pPr>
              <w:spacing w:after="0"/>
              <w:rPr>
                <w:sz w:val="20"/>
                <w:szCs w:val="20"/>
                <w:color w:val="auto"/>
              </w:rPr>
            </w:pPr>
            <w:r>
              <w:rPr>
                <w:rFonts w:ascii="Arial" w:cs="Arial" w:eastAsia="Arial" w:hAnsi="Arial"/>
                <w:sz w:val="14"/>
                <w:szCs w:val="14"/>
                <w:b w:val="1"/>
                <w:bCs w:val="1"/>
                <w:color w:val="auto"/>
                <w:w w:val="81"/>
              </w:rPr>
              <w:t>Position(s) held</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and Length of</w:t>
            </w:r>
          </w:p>
        </w:tc>
        <w:tc>
          <w:tcPr>
            <w:tcW w:w="340" w:type="dxa"/>
            <w:vAlign w:val="bottom"/>
          </w:tcPr>
          <w:p>
            <w:pPr>
              <w:spacing w:after="0"/>
              <w:rPr>
                <w:sz w:val="14"/>
                <w:szCs w:val="14"/>
                <w:color w:val="auto"/>
              </w:rPr>
            </w:pPr>
          </w:p>
        </w:tc>
        <w:tc>
          <w:tcPr>
            <w:tcW w:w="3180" w:type="dxa"/>
            <w:vAlign w:val="bottom"/>
          </w:tcPr>
          <w:p>
            <w:pPr>
              <w:ind w:left="900"/>
              <w:spacing w:after="0"/>
              <w:rPr>
                <w:sz w:val="20"/>
                <w:szCs w:val="20"/>
                <w:color w:val="auto"/>
              </w:rPr>
            </w:pPr>
            <w:r>
              <w:rPr>
                <w:rFonts w:ascii="Arial" w:cs="Arial" w:eastAsia="Arial" w:hAnsi="Arial"/>
                <w:sz w:val="14"/>
                <w:szCs w:val="14"/>
                <w:b w:val="1"/>
                <w:bCs w:val="1"/>
                <w:color w:val="auto"/>
              </w:rPr>
              <w:t>Principal Occupation(s)</w:t>
            </w:r>
          </w:p>
        </w:tc>
        <w:tc>
          <w:tcPr>
            <w:tcW w:w="3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or Nominee for</w:t>
            </w:r>
          </w:p>
        </w:tc>
        <w:tc>
          <w:tcPr>
            <w:tcW w:w="0" w:type="dxa"/>
            <w:vAlign w:val="bottom"/>
          </w:tcPr>
          <w:p>
            <w:pPr>
              <w:spacing w:after="0"/>
              <w:rPr>
                <w:sz w:val="1"/>
                <w:szCs w:val="1"/>
                <w:color w:val="auto"/>
              </w:rPr>
            </w:pPr>
          </w:p>
        </w:tc>
      </w:tr>
      <w:tr>
        <w:trPr>
          <w:trHeight w:val="176"/>
        </w:trPr>
        <w:tc>
          <w:tcPr>
            <w:tcW w:w="3280" w:type="dxa"/>
            <w:vAlign w:val="bottom"/>
            <w:gridSpan w:val="3"/>
            <w:vMerge w:val="continue"/>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87"/>
              </w:rPr>
              <w:t>with Company</w:t>
            </w:r>
          </w:p>
        </w:tc>
        <w:tc>
          <w:tcPr>
            <w:tcW w:w="3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340" w:type="dxa"/>
            <w:vAlign w:val="bottom"/>
          </w:tcPr>
          <w:p>
            <w:pPr>
              <w:spacing w:after="0"/>
              <w:rPr>
                <w:sz w:val="15"/>
                <w:szCs w:val="15"/>
                <w:color w:val="auto"/>
              </w:rPr>
            </w:pPr>
          </w:p>
        </w:tc>
        <w:tc>
          <w:tcPr>
            <w:tcW w:w="3180" w:type="dxa"/>
            <w:vAlign w:val="bottom"/>
          </w:tcPr>
          <w:p>
            <w:pPr>
              <w:ind w:left="900"/>
              <w:spacing w:after="0"/>
              <w:rPr>
                <w:sz w:val="20"/>
                <w:szCs w:val="20"/>
                <w:color w:val="auto"/>
              </w:rPr>
            </w:pPr>
            <w:r>
              <w:rPr>
                <w:rFonts w:ascii="Arial" w:cs="Arial" w:eastAsia="Arial" w:hAnsi="Arial"/>
                <w:sz w:val="14"/>
                <w:szCs w:val="14"/>
                <w:b w:val="1"/>
                <w:bCs w:val="1"/>
                <w:color w:val="auto"/>
              </w:rPr>
              <w:t>During the Past 5 Years</w:t>
            </w:r>
          </w:p>
        </w:tc>
        <w:tc>
          <w:tcPr>
            <w:tcW w:w="3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Director</w:t>
            </w:r>
            <w:r>
              <w:rPr>
                <w:rFonts w:ascii="Arial" w:cs="Arial" w:eastAsia="Arial" w:hAnsi="Arial"/>
                <w:sz w:val="20"/>
                <w:szCs w:val="20"/>
                <w:b w:val="1"/>
                <w:bCs w:val="1"/>
                <w:color w:val="auto"/>
                <w:w w:val="93"/>
                <w:vertAlign w:val="superscript"/>
              </w:rPr>
              <w:t>(2)</w:t>
            </w:r>
          </w:p>
        </w:tc>
        <w:tc>
          <w:tcPr>
            <w:tcW w:w="0" w:type="dxa"/>
            <w:vAlign w:val="bottom"/>
          </w:tcPr>
          <w:p>
            <w:pPr>
              <w:spacing w:after="0"/>
              <w:rPr>
                <w:sz w:val="1"/>
                <w:szCs w:val="1"/>
                <w:color w:val="auto"/>
              </w:rPr>
            </w:pPr>
          </w:p>
        </w:tc>
      </w:tr>
      <w:tr>
        <w:trPr>
          <w:trHeight w:val="222"/>
        </w:trPr>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K. Bernstein (45)</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II Director</w:t>
            </w: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President of The Bernstein Companies, a</w:t>
            </w:r>
          </w:p>
        </w:tc>
        <w:tc>
          <w:tcPr>
            <w:tcW w:w="1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President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since February</w:t>
            </w: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8"/>
              </w:rPr>
              <w:t>Washington, D.C.-based real estate firm that</w:t>
            </w:r>
          </w:p>
        </w:tc>
        <w:tc>
          <w:tcPr>
            <w:tcW w:w="1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Mid-Atlantic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2007; Term</w:t>
            </w: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he founded in 1985. Mr. Bernstein also</w:t>
            </w:r>
          </w:p>
        </w:tc>
        <w:tc>
          <w:tcPr>
            <w:tcW w:w="1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Regional Advisory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Expires 2012</w:t>
            </w: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9"/>
              </w:rPr>
              <w:t>serves as the President and Chief Executive</w:t>
            </w:r>
          </w:p>
        </w:tc>
        <w:tc>
          <w:tcPr>
            <w:tcW w:w="1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Board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2"/>
              </w:rPr>
              <w:t>Officer of Consortium Atlantic Realty Trust,</w:t>
            </w:r>
          </w:p>
        </w:tc>
        <w:tc>
          <w:tcPr>
            <w:tcW w:w="1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University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Inc., a private real estate investment trust</w:t>
            </w:r>
          </w:p>
        </w:tc>
        <w:tc>
          <w:tcPr>
            <w:tcW w:w="1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0"/>
              </w:rPr>
              <w:t>operating in the mid-Atlantic region since its</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formation in 2000.</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80" w:type="dxa"/>
            <w:vAlign w:val="bottom"/>
            <w:gridSpan w:val="3"/>
          </w:tcPr>
          <w:p>
            <w:pPr>
              <w:spacing w:after="0"/>
              <w:rPr>
                <w:sz w:val="20"/>
                <w:szCs w:val="20"/>
                <w:color w:val="auto"/>
              </w:rPr>
            </w:pPr>
            <w:r>
              <w:rPr>
                <w:rFonts w:ascii="Arial" w:cs="Arial" w:eastAsia="Arial" w:hAnsi="Arial"/>
                <w:sz w:val="18"/>
                <w:szCs w:val="18"/>
                <w:color w:val="auto"/>
              </w:rPr>
              <w:t>Jeffrey Flug (46)</w:t>
            </w:r>
          </w:p>
        </w:tc>
        <w:tc>
          <w:tcPr>
            <w:tcW w:w="880" w:type="dxa"/>
            <w:vAlign w:val="bottom"/>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Class II Director</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Executive Officer and Executive</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since February</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7"/>
              </w:rPr>
              <w:t>Director from 2006 to 2008 of Millennium</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2007; Term</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Promise Alliance, Inc., a non-profit</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Expires 2012</w:t>
            </w: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3"/>
              </w:rPr>
              <w:t>organization whose mission is to eradicate</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1"/>
              </w:rPr>
              <w:t>extreme global poverty. From 2000 to 2006</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9"/>
              </w:rPr>
              <w:t>Mr. Flug was a Managing Director and Head</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3"/>
              </w:rPr>
              <w:t>of North American Institutional Sales at JP</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Morgan’s Investment Bank.</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gridSpan w:val="2"/>
          </w:tcPr>
          <w:p>
            <w:pPr>
              <w:jc w:val="right"/>
              <w:ind w:right="27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DIRECTORS (not up for election at the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Class I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Term of Office</w:t>
            </w:r>
          </w:p>
        </w:tc>
        <w:tc>
          <w:tcPr>
            <w:tcW w:w="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Held by Director</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w w:val="81"/>
              </w:rPr>
              <w:t>Position(s) held</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Length of</w:t>
            </w:r>
          </w:p>
        </w:tc>
        <w:tc>
          <w:tcPr>
            <w:tcW w:w="500" w:type="dxa"/>
            <w:vAlign w:val="bottom"/>
          </w:tcPr>
          <w:p>
            <w:pPr>
              <w:spacing w:after="0"/>
              <w:rPr>
                <w:sz w:val="12"/>
                <w:szCs w:val="12"/>
                <w:color w:val="auto"/>
              </w:rPr>
            </w:pPr>
          </w:p>
        </w:tc>
        <w:tc>
          <w:tcPr>
            <w:tcW w:w="360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Principal Occupation(s)</w:t>
            </w:r>
          </w:p>
        </w:tc>
        <w:tc>
          <w:tcPr>
            <w:tcW w:w="5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Nominee for</w:t>
            </w:r>
          </w:p>
        </w:tc>
        <w:tc>
          <w:tcPr>
            <w:tcW w:w="0" w:type="dxa"/>
            <w:vAlign w:val="bottom"/>
          </w:tcPr>
          <w:p>
            <w:pPr>
              <w:spacing w:after="0"/>
              <w:rPr>
                <w:sz w:val="1"/>
                <w:szCs w:val="1"/>
                <w:color w:val="auto"/>
              </w:rPr>
            </w:pPr>
          </w:p>
        </w:tc>
      </w:tr>
      <w:tr>
        <w:trPr>
          <w:trHeight w:val="176"/>
        </w:trPr>
        <w:tc>
          <w:tcPr>
            <w:tcW w:w="3340" w:type="dxa"/>
            <w:vAlign w:val="bottom"/>
            <w:gridSpan w:val="3"/>
            <w:vMerge w:val="continue"/>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87"/>
              </w:rPr>
              <w:t>with Company</w:t>
            </w:r>
          </w:p>
        </w:tc>
        <w:tc>
          <w:tcPr>
            <w:tcW w:w="5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500" w:type="dxa"/>
            <w:vAlign w:val="bottom"/>
          </w:tcPr>
          <w:p>
            <w:pPr>
              <w:spacing w:after="0"/>
              <w:rPr>
                <w:sz w:val="15"/>
                <w:szCs w:val="15"/>
                <w:color w:val="auto"/>
              </w:rPr>
            </w:pPr>
          </w:p>
        </w:tc>
        <w:tc>
          <w:tcPr>
            <w:tcW w:w="3600" w:type="dxa"/>
            <w:vAlign w:val="bottom"/>
          </w:tcPr>
          <w:p>
            <w:pPr>
              <w:ind w:left="1120"/>
              <w:spacing w:after="0"/>
              <w:rPr>
                <w:sz w:val="20"/>
                <w:szCs w:val="20"/>
                <w:color w:val="auto"/>
              </w:rPr>
            </w:pPr>
            <w:r>
              <w:rPr>
                <w:rFonts w:ascii="Arial" w:cs="Arial" w:eastAsia="Arial" w:hAnsi="Arial"/>
                <w:sz w:val="14"/>
                <w:szCs w:val="14"/>
                <w:b w:val="1"/>
                <w:bCs w:val="1"/>
                <w:color w:val="auto"/>
              </w:rPr>
              <w:t>During the Past 5 Years</w:t>
            </w:r>
          </w:p>
        </w:tc>
        <w:tc>
          <w:tcPr>
            <w:tcW w:w="5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Director</w:t>
            </w:r>
            <w:r>
              <w:rPr>
                <w:rFonts w:ascii="Arial" w:cs="Arial" w:eastAsia="Arial" w:hAnsi="Arial"/>
                <w:sz w:val="20"/>
                <w:szCs w:val="20"/>
                <w:b w:val="1"/>
                <w:bCs w:val="1"/>
                <w:color w:val="auto"/>
                <w:w w:val="93"/>
                <w:vertAlign w:val="superscript"/>
              </w:rPr>
              <w:t>(2)</w:t>
            </w:r>
          </w:p>
        </w:tc>
        <w:tc>
          <w:tcPr>
            <w:tcW w:w="0" w:type="dxa"/>
            <w:vAlign w:val="bottom"/>
          </w:tcPr>
          <w:p>
            <w:pPr>
              <w:spacing w:after="0"/>
              <w:rPr>
                <w:sz w:val="1"/>
                <w:szCs w:val="1"/>
                <w:color w:val="auto"/>
              </w:rPr>
            </w:pPr>
          </w:p>
        </w:tc>
      </w:tr>
      <w:tr>
        <w:trPr>
          <w:trHeight w:val="222"/>
        </w:trPr>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7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 (41)</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Class I</w:t>
            </w:r>
          </w:p>
        </w:tc>
        <w:tc>
          <w:tcPr>
            <w:tcW w:w="4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A Partner at the international law firm of Dewey</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6"/>
              </w:rPr>
              <w:t>Director since</w:t>
            </w:r>
          </w:p>
        </w:tc>
        <w:tc>
          <w:tcPr>
            <w:tcW w:w="4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&amp; LeBoeuf LLP, since 2007 where he practices in</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6"/>
              </w:rPr>
              <w:t>February 2007;</w:t>
            </w:r>
          </w:p>
        </w:tc>
        <w:tc>
          <w:tcPr>
            <w:tcW w:w="4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the real estate and private equity groups. Prior to</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Term Expires</w:t>
            </w:r>
          </w:p>
        </w:tc>
        <w:tc>
          <w:tcPr>
            <w:tcW w:w="4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his tenure at Dewey &amp; LeBoeuf LLP, which began</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2011</w:t>
            </w:r>
          </w:p>
        </w:tc>
        <w:tc>
          <w:tcPr>
            <w:tcW w:w="4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 2005, Mr. Brozost practiced law at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O’Melveny &amp; Myers LLP and at Solomon &amp;</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Weinberg LLP since 2001.</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Samuel L Katz (43)</w:t>
            </w:r>
          </w:p>
        </w:tc>
        <w:tc>
          <w:tcPr>
            <w:tcW w:w="880" w:type="dxa"/>
            <w:vAlign w:val="bottom"/>
          </w:tcPr>
          <w:p>
            <w:pPr>
              <w:spacing w:after="0"/>
              <w:rPr>
                <w:sz w:val="20"/>
                <w:szCs w:val="20"/>
                <w:color w:val="auto"/>
              </w:rPr>
            </w:pPr>
            <w:r>
              <w:rPr>
                <w:rFonts w:ascii="Arial" w:cs="Arial" w:eastAsia="Arial" w:hAnsi="Arial"/>
                <w:sz w:val="18"/>
                <w:szCs w:val="18"/>
                <w:color w:val="auto"/>
              </w:rPr>
              <w:t>Director</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Class I</w:t>
            </w: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w w:val="97"/>
              </w:rPr>
              <w:t>A Managing Partner since 2007 of TZP Group</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w w:val="96"/>
              </w:rPr>
              <w:t>Director since</w:t>
            </w: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w w:val="98"/>
              </w:rPr>
              <w:t>LLC, a private equity fund. Before joining TZP</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w w:val="86"/>
              </w:rPr>
              <w:t>February 2007;</w:t>
            </w: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w w:val="96"/>
              </w:rPr>
              <w:t>Group, Mr. Katz was Chief Executive Officer of</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w w:val="99"/>
              </w:rPr>
              <w:t>Term Expires</w:t>
            </w: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w w:val="92"/>
              </w:rPr>
              <w:t>MacAndrews &amp; Forbes Acquisition Holdings, Inc.</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2011</w:t>
            </w: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w w:val="91"/>
              </w:rPr>
              <w:t>from 2006 to 2007. Prior to that position, Mr. Katz</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w w:val="92"/>
              </w:rPr>
              <w:t>was Chairman and Chief Executive Officer of the</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w w:val="99"/>
              </w:rPr>
              <w:t>Cendant Travel Distribution Services Division</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00" w:type="dxa"/>
            <w:vAlign w:val="bottom"/>
            <w:gridSpan w:val="2"/>
          </w:tcPr>
          <w:p>
            <w:pPr>
              <w:ind w:left="500"/>
              <w:spacing w:after="0"/>
              <w:rPr>
                <w:sz w:val="20"/>
                <w:szCs w:val="20"/>
                <w:color w:val="auto"/>
              </w:rPr>
            </w:pPr>
            <w:r>
              <w:rPr>
                <w:rFonts w:ascii="Arial" w:cs="Arial" w:eastAsia="Arial" w:hAnsi="Arial"/>
                <w:sz w:val="18"/>
                <w:szCs w:val="18"/>
                <w:color w:val="auto"/>
              </w:rPr>
              <w:t>from 2001 to 2005.</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gridSpan w:val="2"/>
          </w:tcPr>
          <w:p>
            <w:pPr>
              <w:ind w:left="146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III Director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Term of Office</w:t>
            </w:r>
          </w:p>
        </w:tc>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Held by Director</w:t>
            </w:r>
          </w:p>
        </w:tc>
        <w:tc>
          <w:tcPr>
            <w:tcW w:w="0" w:type="dxa"/>
            <w:vAlign w:val="bottom"/>
          </w:tcPr>
          <w:p>
            <w:pPr>
              <w:spacing w:after="0"/>
              <w:rPr>
                <w:sz w:val="1"/>
                <w:szCs w:val="1"/>
                <w:color w:val="auto"/>
              </w:rPr>
            </w:pPr>
          </w:p>
        </w:tc>
      </w:tr>
      <w:tr>
        <w:trPr>
          <w:trHeight w:val="149"/>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46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5"/>
              </w:rPr>
              <w:t>Position(s) held</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460" w:type="dxa"/>
            <w:vAlign w:val="bottom"/>
          </w:tcPr>
          <w:p>
            <w:pPr>
              <w:spacing w:after="0"/>
              <w:rPr>
                <w:sz w:val="12"/>
                <w:szCs w:val="12"/>
                <w:color w:val="auto"/>
              </w:rPr>
            </w:pPr>
          </w:p>
        </w:tc>
        <w:tc>
          <w:tcPr>
            <w:tcW w:w="3820" w:type="dxa"/>
            <w:vAlign w:val="bottom"/>
          </w:tcPr>
          <w:p>
            <w:pPr>
              <w:ind w:left="1220"/>
              <w:spacing w:after="0" w:line="149" w:lineRule="exact"/>
              <w:rPr>
                <w:sz w:val="20"/>
                <w:szCs w:val="20"/>
                <w:color w:val="auto"/>
              </w:rPr>
            </w:pPr>
            <w:r>
              <w:rPr>
                <w:rFonts w:ascii="Arial" w:cs="Arial" w:eastAsia="Arial" w:hAnsi="Arial"/>
                <w:sz w:val="14"/>
                <w:szCs w:val="14"/>
                <w:b w:val="1"/>
                <w:bCs w:val="1"/>
                <w:color w:val="auto"/>
              </w:rPr>
              <w:t>Principal Occupation(s)</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Nominee for</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with Company</w:t>
            </w:r>
          </w:p>
        </w:tc>
        <w:tc>
          <w:tcPr>
            <w:tcW w:w="4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460" w:type="dxa"/>
            <w:vAlign w:val="bottom"/>
          </w:tcPr>
          <w:p>
            <w:pPr>
              <w:spacing w:after="0"/>
              <w:rPr>
                <w:sz w:val="15"/>
                <w:szCs w:val="15"/>
                <w:color w:val="auto"/>
              </w:rPr>
            </w:pPr>
          </w:p>
        </w:tc>
        <w:tc>
          <w:tcPr>
            <w:tcW w:w="38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During the Past 5 Years</w:t>
            </w:r>
          </w:p>
        </w:tc>
        <w:tc>
          <w:tcPr>
            <w:tcW w:w="46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Director</w:t>
            </w:r>
            <w:r>
              <w:rPr>
                <w:rFonts w:ascii="Arial" w:cs="Arial" w:eastAsia="Arial" w:hAnsi="Arial"/>
                <w:sz w:val="20"/>
                <w:szCs w:val="20"/>
                <w:b w:val="1"/>
                <w:bCs w:val="1"/>
                <w:color w:val="auto"/>
                <w:w w:val="93"/>
                <w:vertAlign w:val="superscript"/>
              </w:rPr>
              <w:t>(2)</w:t>
            </w:r>
          </w:p>
        </w:tc>
        <w:tc>
          <w:tcPr>
            <w:tcW w:w="0" w:type="dxa"/>
            <w:vAlign w:val="bottom"/>
          </w:tcPr>
          <w:p>
            <w:pPr>
              <w:spacing w:after="0"/>
              <w:rPr>
                <w:sz w:val="1"/>
                <w:szCs w:val="1"/>
                <w:color w:val="auto"/>
              </w:rPr>
            </w:pPr>
          </w:p>
        </w:tc>
      </w:tr>
      <w:tr>
        <w:trPr>
          <w:trHeight w:val="222"/>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7"/>
              </w:rPr>
              <w:t>Interested Director</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line="208" w:lineRule="exact"/>
              <w:rPr>
                <w:sz w:val="20"/>
                <w:szCs w:val="20"/>
                <w:color w:val="auto"/>
              </w:rPr>
            </w:pPr>
            <w:r>
              <w:rPr>
                <w:rFonts w:ascii="Arial" w:cs="Arial" w:eastAsia="Arial" w:hAnsi="Arial"/>
                <w:sz w:val="18"/>
                <w:szCs w:val="18"/>
                <w:color w:val="auto"/>
                <w:w w:val="88"/>
              </w:rPr>
              <w:t>Arthur H. Penn (45)</w:t>
            </w:r>
            <w:r>
              <w:rPr>
                <w:rFonts w:ascii="Arial" w:cs="Arial" w:eastAsia="Arial" w:hAnsi="Arial"/>
                <w:sz w:val="22"/>
                <w:szCs w:val="22"/>
                <w:color w:val="auto"/>
                <w:w w:val="88"/>
                <w:vertAlign w:val="superscript"/>
              </w:rPr>
              <w:t>(3)</w:t>
            </w:r>
          </w:p>
        </w:tc>
        <w:tc>
          <w:tcPr>
            <w:tcW w:w="26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89"/>
              </w:rPr>
              <w:t>Chief Executive</w:t>
            </w: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Class III</w:t>
            </w: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3"/>
              </w:rPr>
              <w:t>Chief Executive Officer of PennantPark Investment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Officer and</w:t>
            </w: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Director since</w:t>
            </w: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0"/>
              </w:rPr>
              <w:t>Corporation since inception in 2007. Mr. Penn also is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87"/>
              </w:rPr>
              <w:t>Chairman of the</w:t>
            </w: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February 2007;</w:t>
            </w: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2"/>
              </w:rPr>
              <w:t>the founder and Managing Member of PennantPark</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Board of</w:t>
            </w: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Term Expires</w:t>
            </w: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Investment Advisers, LLC. Before founding the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Directors</w:t>
            </w: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2010</w:t>
            </w: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Company, Mr. Penn was the co-founder of Apollo</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Investment Management, where he was a Managing</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2"/>
              </w:rPr>
              <w:t>Partner from 2004 to 2007. He also served as Chief</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4"/>
              </w:rPr>
              <w:t>Operating Officer of Apollo Investment Corporation</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from inception in 2004 to 2006 and served as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5"/>
              </w:rPr>
              <w:t>President and Chief Operating Officer in 2006. He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7"/>
              </w:rPr>
              <w:t>was formerly a Managing Partner of Apollo Value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Fund L.P. (formerly Apollo Distressed Investment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Fund, L.P.) from 2003 to 2006.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1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the director nominees and other directors is c/o PennantPark Investment Corporation,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Governance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maintaining the highest standards of corporate governance is a crucial part of our business, and the Company is committed to ensuring that it has in place the necessary controls and procedures to ensure compliance with applicable laws, rules and regulations, as well as our own ethical standards of conduct.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NASDAQ rules require listed companies to have a board of directors with at least a majority of independent directors. Under NASDAQ rules, in order for a director to be deemed independent, our Board must determine that the individual does not have a relationship that would interfere with the director’s exercise of independent judgment in carrying out his or her responsibilities. On an annual basis, each member of our Board is required to complete an independence questionnaire designed to provide information to assist the Board in determining whether the director is independent under NASDAQ rules and our corporate governance guidelines. Our Board has determined that each of our directors, other than Mr. Penn, is independent under the listing standards of the NASDAQ Global Select Market. The Board limits membership on the Audit Committee and the Nominating and Corporate Governance Committee to independent directors.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Board of Directors has established an Audit Committee and a Nominating and Corporate Governance Committee. For the fiscal year ended September 30, 2008, the Board of Directors of the Company held six board meetings, four Audit Committee meetings and one Nominating and Corporate Governance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Annual Meeting of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Global Market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that are not publicly traded or for which current market values are not readily available. The Board of Directors and Audit Committee use the services of nationally recognized independent valuation firms to help them determine the fair value of these securities. The Company’s Board of Directors has determined that Mr. Flug is our “Audit Committee financial expert” as that term is defined under Item 401 of Regulation S-K under the Securities Exchange Act of 1934, as amended (the Exchange Act”). The Audit Committee Charter is available on the Company’s website (http://www.pennantpark.com).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Nominating and Corporate Governance Committee</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(http://www.pennantpark.com).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the Company’s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Stockholders with questions about the Company are encouraged to contact PennantPark Investment Corporation’s Investor Relations Department. However, if stockholders believe that their questions have not been addressed, they may communicate with the Company’s Board of Directors by sending their communications to Thomas Friedmann, Secretary, c/o PennantPark Investment Corporation, 590 Madison Avenue, 15th Floor, New York, New York 10022. All stockholder communications received in this manner will be delivered to one or more members of the Board of Directors.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about Executive Officers Who Are Not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officers who are not directors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20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Position(s) held</w:t>
            </w:r>
          </w:p>
        </w:tc>
        <w:tc>
          <w:tcPr>
            <w:tcW w:w="1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5"/>
                <w:szCs w:val="15"/>
                <w:color w:val="auto"/>
              </w:rPr>
            </w:pPr>
          </w:p>
        </w:tc>
        <w:tc>
          <w:tcPr>
            <w:tcW w:w="6720" w:type="dxa"/>
            <w:vAlign w:val="bottom"/>
          </w:tcPr>
          <w:p>
            <w:pPr>
              <w:ind w:left="196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Aviv Efrat (44)</w:t>
            </w:r>
          </w:p>
        </w:tc>
        <w:tc>
          <w:tcPr>
            <w:tcW w:w="1200" w:type="dxa"/>
            <w:vAlign w:val="bottom"/>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17"/>
                <w:szCs w:val="17"/>
                <w:color w:val="auto"/>
              </w:rPr>
            </w:pPr>
          </w:p>
        </w:tc>
        <w:tc>
          <w:tcPr>
            <w:tcW w:w="67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0"/>
              </w:rPr>
              <w:t>Chief Financial Officer and Treasurer of PennantPark Investment Corporation since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and Treasurer</w:t>
            </w:r>
          </w:p>
        </w:tc>
        <w:tc>
          <w:tcPr>
            <w:tcW w:w="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0"/>
              </w:rPr>
              <w:t>in 2007. Managing Director of PennantPark Investment Administration, LLC since inception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0"/>
              </w:rPr>
              <w:t>2007. A Director at BlackRock, Inc. from 1997 to 2007 where he was responsible for a variety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2"/>
              </w:rPr>
              <w:t>of administrative, operational, and financial aspects of closed-end and open-end registered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investment companies.</w:t>
            </w:r>
          </w:p>
        </w:tc>
        <w:tc>
          <w:tcPr>
            <w:tcW w:w="0" w:type="dxa"/>
            <w:vAlign w:val="bottom"/>
          </w:tcPr>
          <w:p>
            <w:pPr>
              <w:spacing w:after="0"/>
              <w:rPr>
                <w:sz w:val="1"/>
                <w:szCs w:val="1"/>
                <w:color w:val="auto"/>
              </w:rPr>
            </w:pPr>
          </w:p>
        </w:tc>
      </w:tr>
      <w:tr>
        <w:trPr>
          <w:trHeight w:val="316"/>
        </w:trPr>
        <w:tc>
          <w:tcPr>
            <w:tcW w:w="1560" w:type="dxa"/>
            <w:vAlign w:val="bottom"/>
            <w:gridSpan w:val="2"/>
          </w:tcPr>
          <w:p>
            <w:pPr>
              <w:spacing w:after="0"/>
              <w:rPr>
                <w:sz w:val="20"/>
                <w:szCs w:val="20"/>
                <w:color w:val="auto"/>
              </w:rPr>
            </w:pPr>
            <w:r>
              <w:rPr>
                <w:rFonts w:ascii="Arial" w:cs="Arial" w:eastAsia="Arial" w:hAnsi="Arial"/>
                <w:sz w:val="18"/>
                <w:szCs w:val="18"/>
                <w:color w:val="auto"/>
              </w:rPr>
              <w:t>Guy Talarico (51)</w:t>
            </w:r>
          </w:p>
        </w:tc>
        <w:tc>
          <w:tcPr>
            <w:tcW w:w="1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Chief Compliance</w:t>
            </w:r>
          </w:p>
        </w:tc>
        <w:tc>
          <w:tcPr>
            <w:tcW w:w="1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7"/>
              </w:rPr>
              <w:t>Chief Compliance Officer of PennantPark Investment Corporation since May 2008.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2"/>
              </w:rPr>
              <w:t>Talarico has served as Chief Compliance Officer for investment advisers, private funds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4"/>
              </w:rPr>
              <w:t>investment companies since 2004. From 2001 to 2004 Mr. Talarico was senior director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1"/>
              </w:rPr>
              <w:t>Investors Bank &amp; Trust Company where he was servicing investment advisers, mutual funds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5"/>
              </w:rPr>
              <w:t>and institutions. From 1986 to 2001 Mr. Talarico was a division executive with JPMorgan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Chase Bank,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business address of each executive officer is c/o PennantPark Investment Corporation, 590 Madison Avenue, 15th Floor, New York, New York 10022.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 which is posted on the Company’s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The Code of Conduct applies to the Company’s executive officers, directors and staff.</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As required by the 1940 Act, we maintain a Joint Code of Ethics with PennantPark Investment Advisers, LLC that establishes procedures that apply to our Chief Executive Officer and our Chief Financial Officer and the employees of PennantPark Investment Advisers, LLC with respect to their personal investments and investment transactions. Our Joint Code of Ethics generally does not permit investments by our directors, officers or any other covered person in securities that may be purchased or held by us. We filed our Joint Code of Ethics as Exhibit 14.1 to our Annual Report on Form 10-K, filed with the SEC on November 20, 2008, and you may access it via the Internet site of the SEC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or our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We intend to disclose any amendments to or waivers of required provisions of our Code of Conduct or the Joint Code of Ethics on Form 8-K.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Directors and Executive Officers</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2008.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89"/>
              </w:rPr>
              <w:t>Pension or retirement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w w:val="83"/>
              </w:rPr>
              <w:t>Aggregate compensation</w:t>
            </w:r>
          </w:p>
        </w:tc>
        <w:tc>
          <w:tcPr>
            <w:tcW w:w="10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84"/>
              </w:rPr>
              <w:t>benefits accrued as part</w:t>
            </w:r>
          </w:p>
        </w:tc>
        <w:tc>
          <w:tcPr>
            <w:tcW w:w="10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w w:val="98"/>
              </w:rPr>
              <w:t>Total paid to</w:t>
            </w:r>
          </w:p>
        </w:tc>
        <w:tc>
          <w:tcPr>
            <w:tcW w:w="0" w:type="dxa"/>
            <w:vAlign w:val="bottom"/>
          </w:tcPr>
          <w:p>
            <w:pPr>
              <w:spacing w:after="0"/>
              <w:rPr>
                <w:sz w:val="1"/>
                <w:szCs w:val="1"/>
                <w:color w:val="auto"/>
              </w:rPr>
            </w:pPr>
          </w:p>
        </w:tc>
      </w:tr>
      <w:tr>
        <w:trPr>
          <w:trHeight w:val="176"/>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ind w:left="180"/>
              <w:spacing w:after="0"/>
              <w:rPr>
                <w:sz w:val="20"/>
                <w:szCs w:val="20"/>
                <w:color w:val="auto"/>
              </w:rPr>
            </w:pPr>
            <w:r>
              <w:rPr>
                <w:rFonts w:ascii="Arial" w:cs="Arial" w:eastAsia="Arial" w:hAnsi="Arial"/>
                <w:sz w:val="14"/>
                <w:szCs w:val="14"/>
                <w:b w:val="1"/>
                <w:bCs w:val="1"/>
                <w:color w:val="auto"/>
              </w:rPr>
              <w:t>from the Company</w:t>
            </w:r>
          </w:p>
        </w:tc>
        <w:tc>
          <w:tcPr>
            <w:tcW w:w="1000" w:type="dxa"/>
            <w:vAlign w:val="bottom"/>
          </w:tcPr>
          <w:p>
            <w:pPr>
              <w:spacing w:after="0"/>
              <w:rPr>
                <w:sz w:val="15"/>
                <w:szCs w:val="15"/>
                <w:color w:val="auto"/>
              </w:rPr>
            </w:pPr>
          </w:p>
        </w:tc>
        <w:tc>
          <w:tcPr>
            <w:tcW w:w="1380" w:type="dxa"/>
            <w:vAlign w:val="bottom"/>
          </w:tcPr>
          <w:p>
            <w:pPr>
              <w:jc w:val="right"/>
              <w:ind w:right="139"/>
              <w:spacing w:after="0" w:line="176" w:lineRule="exact"/>
              <w:rPr>
                <w:sz w:val="20"/>
                <w:szCs w:val="20"/>
                <w:color w:val="auto"/>
              </w:rPr>
            </w:pPr>
            <w:r>
              <w:rPr>
                <w:rFonts w:ascii="Arial" w:cs="Arial" w:eastAsia="Arial" w:hAnsi="Arial"/>
                <w:sz w:val="13"/>
                <w:szCs w:val="13"/>
                <w:b w:val="1"/>
                <w:bCs w:val="1"/>
                <w:color w:val="auto"/>
              </w:rPr>
              <w:t>of our expense</w:t>
            </w:r>
            <w:r>
              <w:rPr>
                <w:rFonts w:ascii="Arial" w:cs="Arial" w:eastAsia="Arial" w:hAnsi="Arial"/>
                <w:sz w:val="20"/>
                <w:szCs w:val="20"/>
                <w:b w:val="1"/>
                <w:bCs w:val="1"/>
                <w:color w:val="auto"/>
                <w:vertAlign w:val="superscript"/>
              </w:rPr>
              <w:t>(1)</w:t>
            </w:r>
          </w:p>
        </w:tc>
        <w:tc>
          <w:tcPr>
            <w:tcW w:w="10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4"/>
                <w:szCs w:val="14"/>
                <w:b w:val="1"/>
                <w:bCs w:val="1"/>
                <w:color w:val="auto"/>
                <w:w w:val="86"/>
              </w:rPr>
              <w:t>director / 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440" w:type="dxa"/>
            <w:vAlign w:val="bottom"/>
          </w:tcPr>
          <w:p>
            <w:pPr>
              <w:jc w:val="right"/>
              <w:spacing w:after="0"/>
              <w:rPr>
                <w:sz w:val="20"/>
                <w:szCs w:val="20"/>
                <w:color w:val="auto"/>
              </w:rPr>
            </w:pPr>
            <w:r>
              <w:rPr>
                <w:rFonts w:ascii="Arial" w:cs="Arial" w:eastAsia="Arial" w:hAnsi="Arial"/>
                <w:sz w:val="18"/>
                <w:szCs w:val="18"/>
                <w:color w:val="auto"/>
              </w:rPr>
              <w:t>131,250</w:t>
            </w: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None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w:t>
            </w: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440" w:type="dxa"/>
            <w:vAlign w:val="bottom"/>
          </w:tcPr>
          <w:p>
            <w:pPr>
              <w:jc w:val="right"/>
              <w:spacing w:after="0"/>
              <w:rPr>
                <w:sz w:val="20"/>
                <w:szCs w:val="20"/>
                <w:color w:val="auto"/>
              </w:rPr>
            </w:pPr>
            <w:r>
              <w:rPr>
                <w:rFonts w:ascii="Arial" w:cs="Arial" w:eastAsia="Arial" w:hAnsi="Arial"/>
                <w:sz w:val="18"/>
                <w:szCs w:val="18"/>
                <w:color w:val="auto"/>
              </w:rPr>
              <w:t>138,750</w:t>
            </w: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None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0" w:type="dxa"/>
            <w:vAlign w:val="bottom"/>
          </w:tcPr>
          <w:p>
            <w:pPr>
              <w:spacing w:after="0"/>
              <w:rPr>
                <w:sz w:val="1"/>
                <w:szCs w:val="1"/>
                <w:color w:val="auto"/>
              </w:rPr>
            </w:pPr>
          </w:p>
        </w:tc>
      </w:tr>
      <w:tr>
        <w:trPr>
          <w:trHeight w:val="282"/>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82"/>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line="218" w:lineRule="exact"/>
              <w:rPr>
                <w:sz w:val="20"/>
                <w:szCs w:val="20"/>
                <w:color w:val="auto"/>
              </w:rPr>
            </w:pPr>
            <w:r>
              <w:rPr>
                <w:rFonts w:ascii="Arial" w:cs="Arial" w:eastAsia="Arial" w:hAnsi="Arial"/>
                <w:sz w:val="18"/>
                <w:szCs w:val="18"/>
                <w:color w:val="auto"/>
              </w:rPr>
              <w:t>Aviv Efrat</w:t>
            </w:r>
            <w:r>
              <w:rPr>
                <w:rFonts w:ascii="Arial" w:cs="Arial" w:eastAsia="Arial" w:hAnsi="Arial"/>
                <w:sz w:val="22"/>
                <w:szCs w:val="22"/>
                <w:color w:val="auto"/>
                <w:vertAlign w:val="superscript"/>
              </w:rPr>
              <w:t>(2)</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Guy Talarico</w:t>
            </w:r>
          </w:p>
        </w:tc>
        <w:tc>
          <w:tcPr>
            <w:tcW w:w="1440" w:type="dxa"/>
            <w:vAlign w:val="bottom"/>
          </w:tcPr>
          <w:p>
            <w:pPr>
              <w:spacing w:after="0"/>
              <w:rPr>
                <w:sz w:val="20"/>
                <w:szCs w:val="20"/>
                <w:color w:val="auto"/>
              </w:rPr>
            </w:pPr>
            <w:r>
              <w:rPr>
                <w:rFonts w:ascii="Arial" w:cs="Arial" w:eastAsia="Arial" w:hAnsi="Arial"/>
                <w:sz w:val="18"/>
                <w:szCs w:val="18"/>
                <w:color w:val="auto"/>
              </w:rPr>
              <w:t>None</w:t>
            </w:r>
          </w:p>
        </w:tc>
        <w:tc>
          <w:tcPr>
            <w:tcW w:w="10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None</w:t>
            </w:r>
          </w:p>
        </w:tc>
        <w:tc>
          <w:tcPr>
            <w:tcW w:w="100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receives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r>
        <w:rPr>
          <w:rFonts w:ascii="Arial" w:cs="Arial" w:eastAsia="Arial" w:hAnsi="Arial"/>
          <w:sz w:val="22"/>
          <w:szCs w:val="22"/>
          <w:b w:val="1"/>
          <w:bCs w:val="1"/>
          <w:i w:val="1"/>
          <w:iCs w:val="1"/>
          <w:color w:val="auto"/>
          <w:vertAlign w:val="superscript"/>
        </w:rPr>
        <w:t>(1)</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the fiscal year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KPMG LLP (KPMG), the Company’s independent registered public accounting firm, with and without management present. The Audit Committee included in its review results of KPMG’s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Audit Committee also has discussed with KPMG matters relating to KPMG’s judgments about the quality, as well as the acceptability, of the Company’s accounting principles as applied in its financial reporting as required by Statement of Auditing Standards No. 114 (Auditor’s Communication With Those Charged With Governance). In addition, the Audit Committee has discussed with KPMG their independence from management and the Company, as well as the matters in the written disclosures received from KPMG and required by Independence Standards Board Standard No. 1 (Independence Discussions with Audit Committees). The Audit Committee received a letter from KPMG confirming their independence and discussed it with them. The Audit Committee discussed and reviewed with KPMG the Company’s critical accounting policies and practices, internal controls, other material written communications to management, and the scope of KPMG’s audits and all fees paid to KPMG during the fiscal year. The Audit Committee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2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of Directors (and the Board has approved) that the Company’s audited financial statements be included in the Company’s Annual Report on Form 10-K for the fiscal year ended September 30, 2008 for filing with the SEC. In addition, the Audit Committee has engaged KPMG to serve as the Company’s independent registered public accounting firm for the fiscal year ending September 30, 2009, and has directed that the selection of KPMG should be submitted to the Company’s stockholders for ratification.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20, 2008</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Marshall Brozost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18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or the Securities Exchange Act of 1934, whether made before or after the date hereof and irrespective of any general incorporation language in any such filing.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0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Party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Affiliated Persons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activities are managed by PennantPark Investment Advisers, LLC (the “Investment Adviser” or “PennantPark Investment Advisers”) and supervised by our Board, a majority of whose directors are independent of our Investment Adviser and us. We have entered into an investment advisory and management agreement (the “Investment Management Agreement”) with PennantPark Investment Advisers. Under our Investment Management Agreement, we have agreed to pay our Investment Adviser an annual management fee based on our adjusted gross assets as well as an incentive fee based on our investment performance. Arthur H. Penn, our Chief Executive Officer, is the Managing Member of PennantPark Investment Advisers.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also entered into an administration agreement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Aviv Efrat, our Chief Financial Officer, is the Managing Director of PennantPark Investment Administration.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Advisers has agreed to grant us a non-exclusive, royalty-free license to use the name “PennantPark.”</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pursuant to the terms of the Administration Agreement, PennantPark Investment Administration provides us with the office facilities and administrative services necessary to conduct our day-to-day operations. PennantPark Investment Advisers is the sole member of and controls PennantPark Investment Administration.</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Audit Committee, in consultation with the Company’s Chief Executive Officer, Chief Compliance Officer, and legal counsel, has established a written policy to govern the review of potential related party transactions. The Audit committee conducts quarterly reviews of any potential related party transactions and during these reviews, it also considers any conflicts of interest brought to its attention pursuant to the Company’s Code of Conduct or Joint Code of Ethics.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Pursuant to Section 16(a) of the Exchange Act, the Company’s directors and executive officers, and any persons holding more than 10% of its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officers, the Company believes that during the fiscal year ended September 30, 2008, all Section 16(a) filing requirements applicable to such persons were met in a timely manner with one exception. UBS Global Asset Management (Americas), Inc. has not timely filed Form 3 or Form 5 with respect to its acquisition of more than 10% of our stock on September 30, 2007.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II: RATIFICATION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SELECTION OF INDEPENDENT REGISTERED PUBLIC ACCOUNTING FIRM</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KPMG LLP (“KPMG”) has been selected as the independent registered public accounting firm to audit the financial statements of the Company at and during the Company’s fiscal year ending September 30, 2009. KPMG was selected by the Audit Committee of the Company and that selection was ratified by a majority of the Company’s Board, including all of the independent directors, by a vote cast in person. The Company does not know of any direct or indirect financial interest of KPMG in the Company. Representative(s) of KPMG will attend the Annual Meeting and will have the opportunity to make a statement if they desire to do so and will be available to answer questions.</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KPMG in connection with statutory and regulatory filings. Fees billed during the fiscal years ending September 30, 2008 and September 30, 2007 to the Company were $357,269 and $175,000, respectively.</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Fees billed during the fiscal years ending September 30, 2008 and September 30, 2007 to the Company were zero and $50,000, respectively.</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billed for professional services for tax compliance. These services include assistance regarding federal,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Tax fees billed to the Company during the fiscal years ending September 30, 2008 and September 30, 2007 were $111,000 and $89,000, respectively, which represented work related to our regulated investment company qualification and excise tax distribution requirements.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 Fees billed during fiscal years ending</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2008 and September 30, 2007, were $41,338 and zero, respectively.</w:t>
      </w:r>
    </w:p>
    <w:p>
      <w:pPr>
        <w:spacing w:after="0" w:line="132"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the Company’s independent auditor. The policy requires that the Audit Committee pre-approve the audit and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Any requests for audit, audit-related, tax and other services that have not received general pre-approval must be submitted to the Audit Committee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10"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THE BOARD OF DIRECTORS UNANIMOUSLY RECOMMENDS THAT YOU VOTE FOR RATIFICATION OF KPMG LLP AS INDEPENDENT REGISTERED PUBLIC ACCOUNTING FIRM TO THE COMPANY FOR THE FISCAL YEAR ENDING SEPTEMBER 30, 2009.</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OTHER BUSINESS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action at the Meeting. If any matters do come before the Meeting on which action can properly be taken, it is intended that the proxies shall vote in accordance with their judgment.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SUBMISSION OF STOCKHOLDER PROPOSALS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submission of a proposal does not guarantee its inclusion in the Company’s proxy statement or presentation at the Meeting unless certain securities law requirements are met. The Company expects that the 2010 Annual Meeting of Stockholders will be held in February 2010, but the exact date, time, and location of such Meeting have yet to be determined. A stockholder who intends to present a proposal at our 2010 Annual Meeting of Stockholders, including nomination of a director, must submit a notice of intention to bring a proposal at the Annual Meeting to the Company at its address in New York, New York in order for the proposal to be considered for inclusion in the Company’s proxy statement for that Meeting. Such notices should be in writing and addressed to Thomas Friedmann, Secretary, c/o PennantPark Investment Corporation, 590 Madison Avenue, 15th Floor, New York, New York 10022 and must be received by the Company on or after July 17, 2009 and on or before August 17, 2009 and in accordance with all applicable provisions of the Company’s by-laws. The Company reserves the right to reject, rule out of order, or take other appropriate action with respect to any proposal that does not comply with these and other applicable requirements.</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Company’s Audit Committee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Company’s Chief Compliance Officer (“CCO”). Persons who are uncomfortable submitting complaints to the CCO, including complaints involving the CCO, may submit complaints directly to the Company’s Audit Committee Chair. Complaints may be submitted on an anonymous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Mr. Guy Talarico</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Chair may be contacted at: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Mr. Jeffrey Flug</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You are cordially invited to attend our Annual Meeting of Stockholders in person. Whether or not you plan to attend the Meeting, you are requested to complete, date, sign and promptly return the accompanying proxy card in the enclosed postage-paid envelope or to vote by telephone or through the Internet.</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1414780"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9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7"/>
              </w:rPr>
              <w:t>EVERY STOCKHOLDER’S VOTE IS IMPORTANT!</w:t>
            </w: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9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7"/>
              </w:rPr>
              <w:t>VOTE THIS PROXY CARD TODAY!</w:t>
            </w:r>
          </w:p>
        </w:tc>
        <w:tc>
          <w:tcPr>
            <w:tcW w:w="0" w:type="dxa"/>
            <w:vAlign w:val="bottom"/>
          </w:tcPr>
          <w:p>
            <w:pPr>
              <w:spacing w:after="0"/>
              <w:rPr>
                <w:sz w:val="1"/>
                <w:szCs w:val="1"/>
                <w:color w:val="auto"/>
              </w:rPr>
            </w:pPr>
          </w:p>
        </w:tc>
      </w:tr>
      <w:tr>
        <w:trPr>
          <w:trHeight w:val="352"/>
        </w:trPr>
        <w:tc>
          <w:tcPr>
            <w:tcW w:w="3960" w:type="dxa"/>
            <w:vAlign w:val="bottom"/>
          </w:tcPr>
          <w:p>
            <w:pPr>
              <w:spacing w:after="0"/>
              <w:rPr>
                <w:sz w:val="20"/>
                <w:szCs w:val="20"/>
                <w:color w:val="auto"/>
              </w:rPr>
            </w:pPr>
            <w:r>
              <w:rPr>
                <w:rFonts w:ascii="Arial" w:cs="Arial" w:eastAsia="Arial" w:hAnsi="Arial"/>
                <w:sz w:val="14"/>
                <w:szCs w:val="14"/>
                <w:b w:val="1"/>
                <w:bCs w:val="1"/>
                <w:i w:val="1"/>
                <w:iCs w:val="1"/>
                <w:color w:val="auto"/>
              </w:rPr>
              <w:t>PENNANTPARK INVESTMENT CORPORATION</w:t>
            </w:r>
          </w:p>
        </w:tc>
        <w:tc>
          <w:tcPr>
            <w:tcW w:w="7420" w:type="dxa"/>
            <w:vAlign w:val="bottom"/>
            <w:gridSpan w:val="3"/>
          </w:tcPr>
          <w:p>
            <w:pPr>
              <w:ind w:left="108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line="151" w:lineRule="exact"/>
              <w:rPr>
                <w:sz w:val="20"/>
                <w:szCs w:val="20"/>
                <w:color w:val="auto"/>
              </w:rPr>
            </w:pPr>
            <w:r>
              <w:rPr>
                <w:rFonts w:ascii="Arial" w:cs="Arial" w:eastAsia="Arial" w:hAnsi="Arial"/>
                <w:sz w:val="14"/>
                <w:szCs w:val="14"/>
                <w:b w:val="1"/>
                <w:bCs w:val="1"/>
                <w:i w:val="1"/>
                <w:iCs w:val="1"/>
                <w:color w:val="auto"/>
              </w:rPr>
              <w:t>590 MADISON AVENUE</w:t>
            </w:r>
          </w:p>
        </w:tc>
        <w:tc>
          <w:tcPr>
            <w:tcW w:w="2520" w:type="dxa"/>
            <w:vAlign w:val="bottom"/>
            <w:vMerge w:val="restart"/>
          </w:tcPr>
          <w:p>
            <w:pPr>
              <w:ind w:left="1080"/>
              <w:spacing w:after="0" w:line="151" w:lineRule="exact"/>
              <w:rPr>
                <w:sz w:val="20"/>
                <w:szCs w:val="20"/>
                <w:color w:val="auto"/>
              </w:rPr>
            </w:pPr>
            <w:r>
              <w:rPr>
                <w:rFonts w:ascii="Arial" w:cs="Arial" w:eastAsia="Arial" w:hAnsi="Arial"/>
                <w:sz w:val="14"/>
                <w:szCs w:val="14"/>
                <w:color w:val="auto"/>
                <w:w w:val="84"/>
              </w:rPr>
              <w:t>Use the Internet to transmit</w:t>
            </w:r>
          </w:p>
        </w:tc>
        <w:tc>
          <w:tcPr>
            <w:tcW w:w="11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60" w:type="dxa"/>
            <w:vAlign w:val="bottom"/>
            <w:vMerge w:val="continue"/>
          </w:tcPr>
          <w:p>
            <w:pPr>
              <w:spacing w:after="0"/>
              <w:rPr>
                <w:sz w:val="11"/>
                <w:szCs w:val="11"/>
                <w:color w:val="auto"/>
              </w:rPr>
            </w:pPr>
          </w:p>
        </w:tc>
        <w:tc>
          <w:tcPr>
            <w:tcW w:w="2520" w:type="dxa"/>
            <w:vAlign w:val="bottom"/>
            <w:vMerge w:val="continue"/>
          </w:tcPr>
          <w:p>
            <w:pPr>
              <w:spacing w:after="0"/>
              <w:rPr>
                <w:sz w:val="11"/>
                <w:szCs w:val="11"/>
                <w:color w:val="auto"/>
              </w:rPr>
            </w:pPr>
          </w:p>
        </w:tc>
        <w:tc>
          <w:tcPr>
            <w:tcW w:w="490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3"/>
              </w:rPr>
              <w:t>your voting instructions and for electronic delivery of information up until 11:59 P.M.</w:t>
            </w: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15th FLOOR</w:t>
            </w: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86"/>
              </w:rPr>
              <w:t>Eastern Time the day before the cut-off date or meeting date. Have your proxy card in hand when you access the web</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20"/>
                <w:szCs w:val="20"/>
                <w:color w:val="auto"/>
              </w:rPr>
            </w:pPr>
            <w:r>
              <w:rPr>
                <w:rFonts w:ascii="Arial" w:cs="Arial" w:eastAsia="Arial" w:hAnsi="Arial"/>
                <w:sz w:val="14"/>
                <w:szCs w:val="14"/>
                <w:b w:val="1"/>
                <w:bCs w:val="1"/>
                <w:i w:val="1"/>
                <w:iCs w:val="1"/>
                <w:color w:val="auto"/>
              </w:rPr>
              <w:t>NEW YORK, NY 10022</w:t>
            </w:r>
          </w:p>
        </w:tc>
        <w:tc>
          <w:tcPr>
            <w:tcW w:w="7420" w:type="dxa"/>
            <w:vAlign w:val="bottom"/>
            <w:gridSpan w:val="3"/>
          </w:tcPr>
          <w:p>
            <w:pPr>
              <w:ind w:left="1080"/>
              <w:spacing w:after="0"/>
              <w:rPr>
                <w:sz w:val="20"/>
                <w:szCs w:val="20"/>
                <w:color w:val="auto"/>
              </w:rPr>
            </w:pPr>
            <w:r>
              <w:rPr>
                <w:rFonts w:ascii="Arial" w:cs="Arial" w:eastAsia="Arial" w:hAnsi="Arial"/>
                <w:sz w:val="14"/>
                <w:szCs w:val="14"/>
                <w:color w:val="auto"/>
                <w:w w:val="98"/>
              </w:rPr>
              <w:t>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354"/>
        </w:trPr>
        <w:tc>
          <w:tcPr>
            <w:tcW w:w="3960" w:type="dxa"/>
            <w:vAlign w:val="bottom"/>
          </w:tcPr>
          <w:p>
            <w:pPr>
              <w:spacing w:after="0"/>
              <w:rPr>
                <w:sz w:val="24"/>
                <w:szCs w:val="2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 can consent to</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87"/>
              </w:rPr>
              <w:t>receiving all future proxy statements, proxy cards and annual reports electronically via e-mail or the Internet. To sign</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93"/>
              </w:rPr>
              <w:t>up for electronic delivery, please follow the instructions above to vote using the Internet and, when prompted,</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color w:val="auto"/>
              </w:rPr>
              <w:t>indicate that you agree to receive or access proxy materials electronically in future years.</w:t>
            </w:r>
          </w:p>
        </w:tc>
        <w:tc>
          <w:tcPr>
            <w:tcW w:w="0" w:type="dxa"/>
            <w:vAlign w:val="bottom"/>
          </w:tcPr>
          <w:p>
            <w:pPr>
              <w:spacing w:after="0"/>
              <w:rPr>
                <w:sz w:val="1"/>
                <w:szCs w:val="1"/>
                <w:color w:val="auto"/>
              </w:rPr>
            </w:pPr>
          </w:p>
        </w:tc>
      </w:tr>
      <w:tr>
        <w:trPr>
          <w:trHeight w:val="354"/>
        </w:trPr>
        <w:tc>
          <w:tcPr>
            <w:tcW w:w="3960" w:type="dxa"/>
            <w:vAlign w:val="bottom"/>
          </w:tcPr>
          <w:p>
            <w:pPr>
              <w:spacing w:after="0"/>
              <w:rPr>
                <w:sz w:val="24"/>
                <w:szCs w:val="2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88"/>
              </w:rPr>
              <w:t>Mark, sign and date your proxy card and return it in the postage-paid envelope we have provided or return it to Vote</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color w:val="auto"/>
              </w:rPr>
              <w:t>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160905" cy="488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1609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190" w:lineRule="exact"/>
        <w:rPr>
          <w:sz w:val="20"/>
          <w:szCs w:val="20"/>
          <w:color w:val="auto"/>
        </w:rPr>
      </w:pPr>
    </w:p>
    <w:p>
      <w:pPr>
        <w:jc w:val="both"/>
        <w:ind w:left="7160"/>
        <w:spacing w:after="0"/>
        <w:tabs>
          <w:tab w:leader="none" w:pos="8740" w:val="left"/>
        </w:tabs>
        <w:rPr>
          <w:sz w:val="20"/>
          <w:szCs w:val="20"/>
          <w:color w:val="auto"/>
        </w:rPr>
      </w:pPr>
      <w:r>
        <w:rPr>
          <w:rFonts w:ascii="Arial" w:cs="Arial" w:eastAsia="Arial" w:hAnsi="Arial"/>
          <w:sz w:val="14"/>
          <w:szCs w:val="14"/>
          <w:color w:val="auto"/>
        </w:rPr>
        <w:t>PNTPK1</w:t>
      </w:r>
      <w:r>
        <w:rPr>
          <w:sz w:val="20"/>
          <w:szCs w:val="20"/>
          <w:color w:val="auto"/>
        </w:rPr>
        <w:tab/>
      </w:r>
      <w:r>
        <w:rPr>
          <w:rFonts w:ascii="Arial" w:cs="Arial" w:eastAsia="Arial" w:hAnsi="Arial"/>
          <w:sz w:val="14"/>
          <w:szCs w:val="14"/>
          <w:color w:val="auto"/>
        </w:rPr>
        <w:t>KEEP THIS PORTION FOR YOUR RECORDS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 - - - - - - - - - - - - - - - - - - - - - - - - - - - - - - - - - - - - - - - - - - - - - - - - - - - - - - - - - - - - -</w:t>
      </w:r>
    </w:p>
    <w:p>
      <w:pPr>
        <w:spacing w:after="0" w:line="4" w:lineRule="exact"/>
        <w:rPr>
          <w:sz w:val="20"/>
          <w:szCs w:val="20"/>
          <w:color w:val="auto"/>
        </w:rPr>
      </w:pPr>
    </w:p>
    <w:p>
      <w:pPr>
        <w:jc w:val="right"/>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756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756025"/>
                    </a:xfrm>
                    <a:prstGeom prst="rect">
                      <a:avLst/>
                    </a:prstGeom>
                    <a:noFill/>
                  </pic:spPr>
                </pic:pic>
              </a:graphicData>
            </a:graphic>
          </wp:anchor>
        </w:drawing>
      </w:r>
    </w:p>
    <w:p>
      <w:pPr>
        <w:sectPr>
          <w:pgSz w:w="11900" w:h="16838" w:orient="portrait"/>
          <w:cols w:equalWidth="0" w:num="1">
            <w:col w:w="11420"/>
          </w:cols>
          <w:pgMar w:left="240" w:top="722" w:right="239" w:bottom="1440" w:gutter="0" w:footer="0" w:header="0"/>
        </w:sectPr>
      </w:pP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tcPr>
          <w:p>
            <w:pPr>
              <w:spacing w:after="0"/>
              <w:rPr>
                <w:sz w:val="20"/>
                <w:szCs w:val="20"/>
                <w:color w:val="auto"/>
              </w:rPr>
            </w:pPr>
            <w:r>
              <w:rPr>
                <w:rFonts w:ascii="Arial" w:cs="Arial" w:eastAsia="Arial" w:hAnsi="Arial"/>
                <w:sz w:val="14"/>
                <w:szCs w:val="14"/>
                <w:b w:val="1"/>
                <w:bCs w:val="1"/>
                <w:color w:val="auto"/>
              </w:rPr>
              <w:t>PENNANTPARK INVESTMENT CORPORATION</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4440" w:type="dxa"/>
            <w:vAlign w:val="bottom"/>
          </w:tcPr>
          <w:p>
            <w:pPr>
              <w:ind w:left="60"/>
              <w:spacing w:after="0"/>
              <w:rPr>
                <w:sz w:val="20"/>
                <w:szCs w:val="20"/>
                <w:color w:val="auto"/>
              </w:rPr>
            </w:pPr>
            <w:r>
              <w:rPr>
                <w:rFonts w:ascii="Arial" w:cs="Arial" w:eastAsia="Arial" w:hAnsi="Arial"/>
                <w:sz w:val="14"/>
                <w:szCs w:val="14"/>
                <w:b w:val="1"/>
                <w:bCs w:val="1"/>
                <w:color w:val="auto"/>
                <w:w w:val="91"/>
              </w:rPr>
              <w:t xml:space="preserve">For All  </w:t>
            </w:r>
            <w:r>
              <w:rPr>
                <w:rFonts w:ascii="Arial" w:cs="Arial" w:eastAsia="Arial" w:hAnsi="Arial"/>
                <w:sz w:val="14"/>
                <w:szCs w:val="14"/>
                <w:color w:val="auto"/>
                <w:w w:val="91"/>
              </w:rPr>
              <w:t>To withhold authority to vote for any individual nominee(s), mark “For</w:t>
            </w:r>
          </w:p>
        </w:tc>
        <w:tc>
          <w:tcPr>
            <w:tcW w:w="0" w:type="dxa"/>
            <w:vAlign w:val="bottom"/>
          </w:tcPr>
          <w:p>
            <w:pPr>
              <w:spacing w:after="0"/>
              <w:rPr>
                <w:sz w:val="1"/>
                <w:szCs w:val="1"/>
                <w:color w:val="auto"/>
              </w:rPr>
            </w:pPr>
          </w:p>
        </w:tc>
      </w:tr>
      <w:tr>
        <w:trPr>
          <w:trHeight w:val="151"/>
        </w:trPr>
        <w:tc>
          <w:tcPr>
            <w:tcW w:w="41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9"/>
              </w:rPr>
              <w:t>The Board of Directors recommends a vote FOR proposals 1 &amp; 2.</w:t>
            </w:r>
          </w:p>
        </w:tc>
        <w:tc>
          <w:tcPr>
            <w:tcW w:w="4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All</w:t>
            </w:r>
          </w:p>
        </w:tc>
        <w:tc>
          <w:tcPr>
            <w:tcW w:w="6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All</w:t>
            </w:r>
          </w:p>
        </w:tc>
        <w:tc>
          <w:tcPr>
            <w:tcW w:w="444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96"/>
              </w:rPr>
              <w:t xml:space="preserve">Except  </w:t>
            </w:r>
            <w:r>
              <w:rPr>
                <w:rFonts w:ascii="Arial" w:cs="Arial" w:eastAsia="Arial" w:hAnsi="Arial"/>
                <w:sz w:val="14"/>
                <w:szCs w:val="14"/>
                <w:color w:val="auto"/>
                <w:w w:val="96"/>
              </w:rPr>
              <w:t>All Except” and write the number(s) of the nominee(s) on the line</w:t>
            </w:r>
          </w:p>
        </w:tc>
        <w:tc>
          <w:tcPr>
            <w:tcW w:w="0" w:type="dxa"/>
            <w:vAlign w:val="bottom"/>
          </w:tcPr>
          <w:p>
            <w:pPr>
              <w:spacing w:after="0"/>
              <w:rPr>
                <w:sz w:val="1"/>
                <w:szCs w:val="1"/>
                <w:color w:val="auto"/>
              </w:rPr>
            </w:pPr>
          </w:p>
        </w:tc>
      </w:tr>
      <w:tr>
        <w:trPr>
          <w:trHeight w:val="132"/>
        </w:trPr>
        <w:tc>
          <w:tcPr>
            <w:tcW w:w="4100" w:type="dxa"/>
            <w:vAlign w:val="bottom"/>
            <w:vMerge w:val="continue"/>
          </w:tcPr>
          <w:p>
            <w:pPr>
              <w:spacing w:after="0"/>
              <w:rPr>
                <w:sz w:val="11"/>
                <w:szCs w:val="11"/>
                <w:color w:val="auto"/>
              </w:rPr>
            </w:pP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4440" w:type="dxa"/>
            <w:vAlign w:val="bottom"/>
          </w:tcPr>
          <w:p>
            <w:pPr>
              <w:ind w:left="5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11"/>
        </w:trPr>
        <w:tc>
          <w:tcPr>
            <w:tcW w:w="4100" w:type="dxa"/>
            <w:vAlign w:val="bottom"/>
          </w:tcPr>
          <w:p>
            <w:pPr>
              <w:ind w:left="200"/>
              <w:spacing w:after="0"/>
              <w:rPr>
                <w:sz w:val="20"/>
                <w:szCs w:val="20"/>
                <w:color w:val="auto"/>
              </w:rPr>
            </w:pPr>
            <w:r>
              <w:rPr>
                <w:rFonts w:ascii="Arial" w:cs="Arial" w:eastAsia="Arial" w:hAnsi="Arial"/>
                <w:sz w:val="14"/>
                <w:szCs w:val="14"/>
                <w:b w:val="1"/>
                <w:bCs w:val="1"/>
                <w:color w:val="auto"/>
              </w:rPr>
              <w:t>Vote on Directors</w:t>
            </w:r>
          </w:p>
        </w:tc>
        <w:tc>
          <w:tcPr>
            <w:tcW w:w="4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44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r>
        <w:trPr>
          <w:trHeight w:val="197"/>
        </w:trPr>
        <w:tc>
          <w:tcPr>
            <w:tcW w:w="4100" w:type="dxa"/>
            <w:vAlign w:val="bottom"/>
          </w:tcPr>
          <w:p>
            <w:pPr>
              <w:ind w:left="200"/>
              <w:spacing w:after="0"/>
              <w:rPr>
                <w:sz w:val="20"/>
                <w:szCs w:val="20"/>
                <w:color w:val="auto"/>
              </w:rPr>
            </w:pPr>
            <w:r>
              <w:rPr>
                <w:rFonts w:ascii="Arial" w:cs="Arial" w:eastAsia="Arial" w:hAnsi="Arial"/>
                <w:sz w:val="14"/>
                <w:szCs w:val="14"/>
                <w:color w:val="auto"/>
                <w:w w:val="99"/>
              </w:rPr>
              <w:t>1.  To elect the following two persons (except as marked to the</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40" w:type="dxa"/>
            <w:vAlign w:val="bottom"/>
          </w:tcPr>
          <w:p>
            <w:pPr>
              <w:ind w:left="580"/>
              <w:spacing w:after="0"/>
              <w:rPr>
                <w:sz w:val="20"/>
                <w:szCs w:val="20"/>
                <w:color w:val="auto"/>
              </w:rPr>
            </w:pPr>
            <w:r>
              <w:rPr>
                <w:rFonts w:ascii="Arial" w:cs="Arial" w:eastAsia="Arial" w:hAnsi="Arial"/>
                <w:sz w:val="14"/>
                <w:szCs w:val="14"/>
                <w:color w:val="auto"/>
              </w:rPr>
              <w:t>________________________________________</w:t>
            </w:r>
          </w:p>
        </w:tc>
        <w:tc>
          <w:tcPr>
            <w:tcW w:w="0" w:type="dxa"/>
            <w:vAlign w:val="bottom"/>
          </w:tcPr>
          <w:p>
            <w:pPr>
              <w:spacing w:after="0"/>
              <w:rPr>
                <w:sz w:val="1"/>
                <w:szCs w:val="1"/>
                <w:color w:val="auto"/>
              </w:rPr>
            </w:pPr>
          </w:p>
        </w:tc>
      </w:tr>
      <w:tr>
        <w:trPr>
          <w:trHeight w:val="149"/>
        </w:trPr>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contrary) as Class II directors of PennantPark Investment</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w w:val="91"/>
              </w:rPr>
              <w:t>Corporation, who will each serve for a term of three years or until</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420"/>
              <w:spacing w:after="0"/>
              <w:rPr>
                <w:sz w:val="20"/>
                <w:szCs w:val="20"/>
                <w:color w:val="auto"/>
              </w:rPr>
            </w:pPr>
            <w:r>
              <w:rPr>
                <w:rFonts w:ascii="Arial" w:cs="Arial" w:eastAsia="Arial" w:hAnsi="Arial"/>
                <w:sz w:val="14"/>
                <w:szCs w:val="14"/>
                <w:color w:val="auto"/>
              </w:rPr>
              <w:t>his successor is duly elected and qualified.</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Nominees:</w:t>
      </w:r>
    </w:p>
    <w:p>
      <w:pPr>
        <w:spacing w:after="0" w:line="3" w:lineRule="exact"/>
        <w:rPr>
          <w:sz w:val="20"/>
          <w:szCs w:val="20"/>
          <w:color w:val="auto"/>
        </w:rPr>
      </w:pPr>
    </w:p>
    <w:p>
      <w:pPr>
        <w:ind w:left="740" w:hanging="205"/>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Adam K. Bernstein</w:t>
      </w:r>
    </w:p>
    <w:p>
      <w:pPr>
        <w:ind w:left="740" w:hanging="205"/>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Jeffrey Flug</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Vote on Proposal</w:t>
      </w:r>
    </w:p>
    <w:p>
      <w:pPr>
        <w:spacing w:after="0" w:line="84" w:lineRule="exact"/>
        <w:rPr>
          <w:sz w:val="20"/>
          <w:szCs w:val="20"/>
          <w:color w:val="auto"/>
        </w:rPr>
      </w:pPr>
    </w:p>
    <w:p>
      <w:pPr>
        <w:ind w:left="540" w:right="240" w:hanging="221"/>
        <w:spacing w:after="0" w:line="239"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ratify the selection of KPMG LLP as PennantPark Investment Corporation’s independent registered public accounting firm for the fiscal year ending September 30, 2009.</w:t>
      </w:r>
    </w:p>
    <w:p>
      <w:pPr>
        <w:spacing w:after="0" w:line="71" w:lineRule="exact"/>
        <w:rPr>
          <w:rFonts w:ascii="Arial" w:cs="Arial" w:eastAsia="Arial" w:hAnsi="Arial"/>
          <w:sz w:val="14"/>
          <w:szCs w:val="14"/>
          <w:color w:val="auto"/>
        </w:rPr>
      </w:pPr>
    </w:p>
    <w:p>
      <w:pPr>
        <w:ind w:left="540" w:hanging="221"/>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w:t>
      </w:r>
    </w:p>
    <w:p>
      <w:pPr>
        <w:spacing w:after="0" w:line="80" w:lineRule="exact"/>
        <w:rPr>
          <w:sz w:val="20"/>
          <w:szCs w:val="20"/>
          <w:color w:val="auto"/>
        </w:rPr>
      </w:pPr>
    </w:p>
    <w:p>
      <w:pPr>
        <w:ind w:left="320" w:right="280"/>
        <w:spacing w:after="0" w:line="241" w:lineRule="auto"/>
        <w:rPr>
          <w:sz w:val="20"/>
          <w:szCs w:val="20"/>
          <w:color w:val="auto"/>
        </w:rPr>
      </w:pPr>
      <w:r>
        <w:rPr>
          <w:rFonts w:ascii="Arial" w:cs="Arial" w:eastAsia="Arial" w:hAnsi="Arial"/>
          <w:sz w:val="14"/>
          <w:szCs w:val="14"/>
          <w:b w:val="1"/>
          <w:bCs w:val="1"/>
          <w:color w:val="auto"/>
        </w:rPr>
        <w:t>THIS PROXY IS REVOCABLE AND WILL BE VOTED AS DIRECTED, BUT IF NO INSTRUCTIONS ARE SPECIFIED, THIS PROXY WILL BE VOTED “FOR” EACH PROPOSAL LISTED.</w:t>
      </w:r>
    </w:p>
    <w:p>
      <w:pPr>
        <w:spacing w:after="0" w:line="70" w:lineRule="exact"/>
        <w:rPr>
          <w:sz w:val="20"/>
          <w:szCs w:val="20"/>
          <w:color w:val="auto"/>
        </w:rPr>
      </w:pPr>
    </w:p>
    <w:p>
      <w:pPr>
        <w:ind w:left="320" w:firstLine="432"/>
        <w:spacing w:after="0" w:line="268" w:lineRule="auto"/>
        <w:rPr>
          <w:sz w:val="20"/>
          <w:szCs w:val="20"/>
          <w:color w:val="auto"/>
        </w:rPr>
      </w:pPr>
      <w:r>
        <w:rPr>
          <w:rFonts w:ascii="Arial" w:cs="Arial" w:eastAsia="Arial" w:hAnsi="Arial"/>
          <w:sz w:val="12"/>
          <w:szCs w:val="12"/>
          <w:color w:val="auto"/>
        </w:rPr>
        <w:t>If any other business is presented at the meeting, this proxy will be voted by the proxies in their discretion, including a motion to adjourn or postpone the meeting to another time and/or place for the purpose of soliciting additional proxies. At the present time, the Board of Directors knows of no other business to be presented at the meeting.</w:t>
      </w:r>
    </w:p>
    <w:p>
      <w:pPr>
        <w:spacing w:after="0" w:line="1" w:lineRule="exact"/>
        <w:rPr>
          <w:sz w:val="20"/>
          <w:szCs w:val="20"/>
          <w:color w:val="auto"/>
        </w:rPr>
      </w:pPr>
    </w:p>
    <w:p>
      <w:pPr>
        <w:ind w:left="320" w:right="380"/>
        <w:spacing w:after="0" w:line="230" w:lineRule="auto"/>
        <w:rPr>
          <w:sz w:val="20"/>
          <w:szCs w:val="20"/>
          <w:color w:val="auto"/>
        </w:rPr>
      </w:pPr>
      <w:r>
        <w:rPr>
          <w:rFonts w:ascii="Arial" w:cs="Arial" w:eastAsia="Arial" w:hAnsi="Arial"/>
          <w:sz w:val="14"/>
          <w:szCs w:val="14"/>
          <w:color w:val="auto"/>
        </w:rPr>
        <w:t>THE UNDERSIGNED ACKNOWLEDGES RECEIPT FROM THE COMPANY PRIOR TO THE EXECUTION OF THIS PROXY OF THE COMPANY’S ANNUAL REPORT, A NOTICE OF ANNUAL MEETING OF STOCKHOLDERS AND A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00" w:val="left"/>
          <w:tab w:leader="none" w:pos="8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40" w:lineRule="exact"/>
        <w:rPr>
          <w:sz w:val="20"/>
          <w:szCs w:val="20"/>
          <w:color w:val="auto"/>
        </w:rPr>
      </w:pPr>
    </w:p>
    <w:p>
      <w:pPr>
        <w:ind w:left="40"/>
        <w:spacing w:after="0" w:line="141" w:lineRule="exact"/>
        <w:tabs>
          <w:tab w:leader="none" w:pos="460" w:val="left"/>
          <w:tab w:leader="none" w:pos="102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575" w:lineRule="exact"/>
        <w:rPr>
          <w:sz w:val="20"/>
          <w:szCs w:val="20"/>
          <w:color w:val="auto"/>
        </w:rPr>
      </w:pPr>
    </w:p>
    <w:p>
      <w:pPr>
        <w:sectPr>
          <w:pgSz w:w="11900" w:h="16838" w:orient="portrait"/>
          <w:cols w:equalWidth="0" w:num="2">
            <w:col w:w="9800" w:space="160"/>
            <w:col w:w="1460"/>
          </w:cols>
          <w:pgMar w:left="240" w:top="722" w:right="239" w:bottom="1440" w:gutter="0" w:footer="0" w:header="0"/>
          <w:type w:val="continuous"/>
        </w:sectPr>
      </w:pPr>
    </w:p>
    <w:p>
      <w:pPr>
        <w:ind w:left="320"/>
        <w:spacing w:after="0" w:line="138" w:lineRule="exact"/>
        <w:tabs>
          <w:tab w:leader="none" w:pos="5520" w:val="left"/>
        </w:tabs>
        <w:rPr>
          <w:sz w:val="20"/>
          <w:szCs w:val="20"/>
          <w:color w:val="auto"/>
        </w:rPr>
      </w:pPr>
      <w:r>
        <w:rPr>
          <w:rFonts w:ascii="Arial" w:cs="Arial" w:eastAsia="Arial" w:hAnsi="Arial"/>
          <w:sz w:val="12"/>
          <w:szCs w:val="12"/>
          <w:color w:val="auto"/>
        </w:rPr>
        <w:t>For address changes and/or comments, please check this box and write them on the back</w:t>
      </w:r>
      <w:r>
        <w:rPr>
          <w:sz w:val="20"/>
          <w:szCs w:val="20"/>
          <w:color w:val="auto"/>
        </w:rPr>
        <w:tab/>
      </w:r>
      <w:r>
        <w:rPr>
          <w:rFonts w:ascii="MS PGothic" w:cs="MS PGothic" w:eastAsia="MS PGothic" w:hAnsi="MS PGothic"/>
          <w:sz w:val="12"/>
          <w:szCs w:val="12"/>
          <w:color w:val="auto"/>
          <w:highlight w:val="black"/>
        </w:rPr>
        <w:t>☐</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where indicated.</w:t>
      </w:r>
    </w:p>
    <w:p>
      <w:pPr>
        <w:spacing w:after="0" w:line="46" w:lineRule="exact"/>
        <w:rPr>
          <w:sz w:val="20"/>
          <w:szCs w:val="20"/>
          <w:color w:val="auto"/>
        </w:rPr>
      </w:pPr>
    </w:p>
    <w:p>
      <w:pPr>
        <w:ind w:left="320"/>
        <w:spacing w:after="0" w:line="161" w:lineRule="exact"/>
        <w:tabs>
          <w:tab w:leader="none" w:pos="4380" w:val="left"/>
          <w:tab w:leader="none" w:pos="494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05" w:lineRule="exact"/>
        <w:rPr>
          <w:sz w:val="20"/>
          <w:szCs w:val="20"/>
          <w:color w:val="auto"/>
        </w:rPr>
      </w:pPr>
    </w:p>
    <w:p>
      <w:pPr>
        <w:ind w:left="4360"/>
        <w:spacing w:after="0"/>
        <w:tabs>
          <w:tab w:leader="none" w:pos="490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13" w:lineRule="exact"/>
        <w:rPr>
          <w:sz w:val="20"/>
          <w:szCs w:val="20"/>
          <w:color w:val="auto"/>
        </w:rPr>
      </w:pPr>
    </w:p>
    <w:p>
      <w:pPr>
        <w:jc w:val="both"/>
        <w:ind w:left="320" w:right="1620"/>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NOTE</w:t>
      </w:r>
      <w:r>
        <w:rPr>
          <w:rFonts w:ascii="Arial" w:cs="Arial" w:eastAsia="Arial" w:hAnsi="Arial"/>
          <w:sz w:val="14"/>
          <w:szCs w:val="14"/>
          <w:color w:val="auto"/>
        </w:rPr>
        <w:t>: Please sign exactly as your name(s) appear(s) hereon. All holders must sign. When signing as attorney, executor, administrator, or other fiduciary, please give full title as such. Joint owners should each sign personally. If a corporation, please sign in full corporate name by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tabs>
          <w:tab w:leader="none" w:pos="4260" w:val="left"/>
          <w:tab w:leader="none" w:pos="5900" w:val="left"/>
          <w:tab w:leader="none" w:pos="95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722" w:right="239" w:bottom="1440" w:gutter="0" w:footer="0" w:header="0"/>
          <w:type w:val="continuous"/>
        </w:sectPr>
      </w:pPr>
    </w:p>
    <w:bookmarkStart w:id="20" w:name="page21"/>
    <w:bookmarkEnd w:id="2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INVESTMENT</w:t>
      </w:r>
    </w:p>
    <w:p>
      <w:pPr>
        <w:jc w:val="center"/>
        <w:ind w:right="-99"/>
        <w:spacing w:after="0"/>
        <w:rPr>
          <w:sz w:val="20"/>
          <w:szCs w:val="20"/>
          <w:color w:val="auto"/>
        </w:rPr>
      </w:pPr>
      <w:r>
        <w:rPr>
          <w:rFonts w:ascii="Arial" w:cs="Arial" w:eastAsia="Arial" w:hAnsi="Arial"/>
          <w:sz w:val="32"/>
          <w:szCs w:val="32"/>
          <w:b w:val="1"/>
          <w:bCs w:val="1"/>
          <w:color w:val="auto"/>
        </w:rPr>
        <w:t>CORPORATION</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February 3, 2009</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Please date, sign and mail</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your proxy card in the</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envelope provided as soon</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as possible.</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Annual Meeting:</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Notice and Proxy Statement, Annual Report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40" w:right="880"/>
        <w:spacing w:after="0" w:line="284" w:lineRule="auto"/>
        <w:rPr>
          <w:sz w:val="20"/>
          <w:szCs w:val="20"/>
          <w:color w:val="auto"/>
        </w:rPr>
      </w:pPr>
      <w:r>
        <w:rPr>
          <w:rFonts w:ascii="Arial" w:cs="Arial" w:eastAsia="Arial" w:hAnsi="Arial"/>
          <w:sz w:val="24"/>
          <w:szCs w:val="24"/>
          <w:color w:val="auto"/>
        </w:rPr>
        <w:t xml:space="preserve">À </w:t>
      </w:r>
      <w:r>
        <w:rPr>
          <w:rFonts w:ascii="Arial" w:cs="Arial" w:eastAsia="Arial" w:hAnsi="Arial"/>
          <w:sz w:val="17"/>
          <w:szCs w:val="17"/>
          <w:color w:val="auto"/>
        </w:rPr>
        <w:t>Please detach along perforated line and mail in the envelope provided.</w:t>
      </w:r>
      <w:r>
        <w:rPr>
          <w:rFonts w:ascii="Arial" w:cs="Arial" w:eastAsia="Arial" w:hAnsi="Arial"/>
          <w:sz w:val="24"/>
          <w:szCs w:val="24"/>
          <w:color w:val="auto"/>
        </w:rPr>
        <w:t xml:space="preserve"> À </w:t>
      </w:r>
      <w:r>
        <w:rPr>
          <w:rFonts w:ascii="Arial" w:cs="Arial" w:eastAsia="Arial" w:hAnsi="Arial"/>
          <w:sz w:val="17"/>
          <w:szCs w:val="17"/>
          <w:color w:val="auto"/>
        </w:rPr>
        <w:t>- - - - - - - - - - - - - - - - - - - - - - - - - - - - - - - - - - - - - - - - - - - - - - - - - - - - - - - - - - - - - - - - - - - - - - - - - - - - - - - - - - - - - - - - - - -</w:t>
      </w:r>
    </w:p>
    <w:p>
      <w:pPr>
        <w:spacing w:after="0" w:line="1"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PNTPK2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121920</wp:posOffset>
            </wp:positionV>
            <wp:extent cx="7246620" cy="3747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747770"/>
                    </a:xfrm>
                    <a:prstGeom prst="rect">
                      <a:avLst/>
                    </a:prstGeom>
                    <a:noFill/>
                  </pic:spPr>
                </pic:pic>
              </a:graphicData>
            </a:graphic>
          </wp:anchor>
        </w:drawing>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PENNANTPARK INVESTMENT</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CORPORATION</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ANNUAL MEETING OF STOCKHOLDERS to be held at</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The Omni Berkshire Place</w:t>
      </w:r>
    </w:p>
    <w:p>
      <w:pPr>
        <w:jc w:val="center"/>
        <w:ind w:right="-99"/>
        <w:spacing w:after="0" w:line="238" w:lineRule="auto"/>
        <w:rPr>
          <w:sz w:val="20"/>
          <w:szCs w:val="20"/>
          <w:color w:val="auto"/>
        </w:rPr>
      </w:pPr>
      <w:r>
        <w:rPr>
          <w:rFonts w:ascii="Arial" w:cs="Arial" w:eastAsia="Arial" w:hAnsi="Arial"/>
          <w:sz w:val="22"/>
          <w:szCs w:val="22"/>
          <w:color w:val="auto"/>
        </w:rPr>
        <w:t>21 East 52nd Street</w:t>
      </w:r>
    </w:p>
    <w:p>
      <w:pPr>
        <w:jc w:val="center"/>
        <w:ind w:right="-79"/>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February 3, 2009</w:t>
      </w:r>
    </w:p>
    <w:p>
      <w:pPr>
        <w:spacing w:after="0" w:line="188" w:lineRule="exact"/>
        <w:rPr>
          <w:sz w:val="20"/>
          <w:szCs w:val="20"/>
          <w:color w:val="auto"/>
        </w:rPr>
      </w:pPr>
    </w:p>
    <w:p>
      <w:pPr>
        <w:ind w:firstLine="432"/>
        <w:spacing w:after="0" w:line="298" w:lineRule="auto"/>
        <w:rPr>
          <w:sz w:val="20"/>
          <w:szCs w:val="20"/>
          <w:color w:val="auto"/>
        </w:rPr>
      </w:pPr>
      <w:r>
        <w:rPr>
          <w:rFonts w:ascii="Arial" w:cs="Arial" w:eastAsia="Arial" w:hAnsi="Arial"/>
          <w:sz w:val="16"/>
          <w:szCs w:val="16"/>
          <w:color w:val="auto"/>
        </w:rPr>
        <w:t>The undersigned hereby appoints Marshall Brozost and Samuel L. Katz, or either one of them, and each with full power of substitution, to act as attorneys and proxies for the undersigned to vote all the shares of Common Stock of PennantPark Investment Corporation (the “Company”) which the undersigned is entitled to vote at the Annual Meeting of Stockholders of the Company to be held at the Omni Berkshire Place, 21 East 52nd Street, New York , NY 10022, on February 3, 2009 at 9:30 a.m.., Eastern Time, and at all adjournments thereof, as indicated on this proxy.</w:t>
      </w: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Address Changes/Comments: ______________________________________________________________________</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MARK, SIGN, DATE AND RETURN THIS PROXY PROMPTLY USING THE ENCLOSED ENVELOPE.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1100"/>
      </w:cols>
      <w:pgMar w:left="360" w:top="26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2019-12-11T16:25:10Z</dcterms:created>
  <dcterms:modified xsi:type="dcterms:W3CDTF">2019-12-11T16:25:10Z</dcterms:modified>
</cp:coreProperties>
</file>