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333-172524</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109855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$67,500,000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6.25% Senior Notes due 2025</w:t>
      </w:r>
    </w:p>
    <w:p>
      <w:pPr>
        <w:spacing w:after="0" w:line="63" w:lineRule="exact"/>
        <w:rPr>
          <w:sz w:val="24"/>
          <w:szCs w:val="24"/>
          <w:color w:val="auto"/>
        </w:rPr>
      </w:pPr>
    </w:p>
    <w:p>
      <w:pPr>
        <w:ind w:right="80" w:firstLine="456"/>
        <w:spacing w:after="0" w:line="255" w:lineRule="auto"/>
        <w:rPr>
          <w:sz w:val="20"/>
          <w:szCs w:val="20"/>
          <w:color w:val="auto"/>
        </w:rPr>
      </w:pPr>
      <w:r>
        <w:rPr>
          <w:rFonts w:ascii="Arial" w:cs="Arial" w:eastAsia="Arial" w:hAnsi="Arial"/>
          <w:sz w:val="18"/>
          <w:szCs w:val="18"/>
          <w:color w:val="auto"/>
        </w:rPr>
        <w:t>We are offering for sale $67,500,000 in aggregate principal amount of 6.25% senior notes due 2025, which we refer to as the Notes. The Notes will mature on February 1, 2025. We will pay interest on the Notes on February 1, May 1, August 1 and November 1 of each year, beginning on May 1, 2013. We may redeem the Notes in whole or in part at any time or from time to time on or after February 1, 2016 at the redemption price discussed under the caption “Specific Terms of the Notes and the Offering—Optional redemption” in this prospectus supplement. The Notes will be issued in minimum denominations of $25 and integral multiples of $25 in excess thereof.</w:t>
      </w:r>
    </w:p>
    <w:p>
      <w:pPr>
        <w:spacing w:after="0" w:line="35" w:lineRule="exact"/>
        <w:rPr>
          <w:sz w:val="24"/>
          <w:szCs w:val="24"/>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 xml:space="preserve">The Notes will be our direct senior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future unsecured unsubordinated indebtedness issued by PennantPark Investment Corporation. We intend to list the Notes on the New York Stock Exchange and we expect trading in the Notes on the New York Stock Exchange to begin within 30 days of the original issue date. The Notes are expected to trade “flat.” This means that purchasers will not pay, and sellers will not receive, any accrued and unpaid interest on the Notes that is not included in the trading price. Currently, there is no public market for the Notes.</w:t>
      </w:r>
    </w:p>
    <w:p>
      <w:pPr>
        <w:spacing w:after="0" w:line="5"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8"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560"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leverage. Before buying any of our Notes, you should read the discussion of the material risks of investing in us in “Risk Factors” beginning on page S-16 of the this prospectus supplement and page 8 of the accompanying prospectus.</w:t>
      </w:r>
    </w:p>
    <w:p>
      <w:pPr>
        <w:spacing w:after="0" w:line="24"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Per Note</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67,500,000</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2,025,000</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$300,000)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65,475,000</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The underwriters may also purchase up to an additional $10,125,000 aggregate principal amount of Notes from us at the public offering price, less the underwriting discounts, within 30 days from the date of this prospectus supplement to cover overallotments, if any. If the underwriters exercise this option in full, the total public offering price will be $77,625,000, the total underwriting discount and commissions (sales load) paid by us will be $2,328,750, and total proceeds, before estimated expenses, will be $75,296,250.</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public offering price set forth above does not include accrued interest, if any. Interest on the Notes will accrue from January 22, 2013.</w:t>
      </w:r>
    </w:p>
    <w:p>
      <w:pPr>
        <w:spacing w:after="0" w:line="57" w:lineRule="exact"/>
        <w:rPr>
          <w:sz w:val="24"/>
          <w:szCs w:val="24"/>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pacing w:after="0" w:line="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Delivery of the Notes in book-entry form through The Depository Trust Company, or DTC, will be made on or about January 22, 2013.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w w:val="89"/>
              </w:rPr>
              <w:t>Stifel Nicolaus Weisel</w:t>
            </w:r>
          </w:p>
        </w:tc>
        <w:tc>
          <w:tcPr>
            <w:tcW w:w="9740" w:type="dxa"/>
            <w:vAlign w:val="bottom"/>
          </w:tcPr>
          <w:p>
            <w:pPr>
              <w:ind w:left="8100"/>
              <w:spacing w:after="0"/>
              <w:rPr>
                <w:sz w:val="20"/>
                <w:szCs w:val="20"/>
                <w:color w:val="auto"/>
              </w:rPr>
            </w:pPr>
            <w:r>
              <w:rPr>
                <w:rFonts w:ascii="Arial" w:cs="Arial" w:eastAsia="Arial" w:hAnsi="Arial"/>
                <w:sz w:val="18"/>
                <w:szCs w:val="18"/>
                <w:b w:val="1"/>
                <w:bCs w:val="1"/>
                <w:color w:val="auto"/>
                <w:w w:val="91"/>
              </w:rPr>
              <w:t>RBC Capital Markets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Arial" w:cs="Arial" w:eastAsia="Arial" w:hAnsi="Arial"/>
                <w:sz w:val="18"/>
                <w:szCs w:val="18"/>
                <w:b w:val="1"/>
                <w:bCs w:val="1"/>
                <w:color w:val="auto"/>
              </w:rPr>
              <w:t>Baird</w:t>
            </w:r>
          </w:p>
        </w:tc>
        <w:tc>
          <w:tcPr>
            <w:tcW w:w="97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Credit Suisse</w:t>
            </w:r>
          </w:p>
        </w:tc>
        <w:tc>
          <w:tcPr>
            <w:tcW w:w="0" w:type="dxa"/>
            <w:vAlign w:val="bottom"/>
          </w:tcPr>
          <w:p>
            <w:pPr>
              <w:spacing w:after="0"/>
              <w:rPr>
                <w:sz w:val="1"/>
                <w:szCs w:val="1"/>
                <w:color w:val="auto"/>
              </w:rPr>
            </w:pPr>
          </w:p>
        </w:tc>
      </w:tr>
      <w:tr>
        <w:trPr>
          <w:trHeight w:val="204"/>
        </w:trPr>
        <w:tc>
          <w:tcPr>
            <w:tcW w:w="1680" w:type="dxa"/>
            <w:vAlign w:val="bottom"/>
          </w:tcPr>
          <w:p>
            <w:pPr>
              <w:spacing w:after="0"/>
              <w:rPr>
                <w:sz w:val="17"/>
                <w:szCs w:val="17"/>
                <w:color w:val="auto"/>
              </w:rPr>
            </w:pPr>
          </w:p>
        </w:tc>
        <w:tc>
          <w:tcPr>
            <w:tcW w:w="9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740" w:type="dxa"/>
            <w:vAlign w:val="bottom"/>
          </w:tcPr>
          <w:p>
            <w:pPr>
              <w:ind w:left="2240"/>
              <w:spacing w:after="0"/>
              <w:rPr>
                <w:sz w:val="20"/>
                <w:szCs w:val="20"/>
                <w:color w:val="auto"/>
              </w:rPr>
            </w:pPr>
            <w:r>
              <w:rPr>
                <w:rFonts w:ascii="Arial" w:cs="Arial" w:eastAsia="Arial" w:hAnsi="Arial"/>
                <w:sz w:val="18"/>
                <w:szCs w:val="18"/>
                <w:b w:val="1"/>
                <w:bCs w:val="1"/>
                <w:color w:val="auto"/>
              </w:rPr>
              <w:t>Janney Montgomery Scott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740" w:type="dxa"/>
            <w:vAlign w:val="bottom"/>
          </w:tcPr>
          <w:p>
            <w:pPr>
              <w:ind w:left="4400"/>
              <w:spacing w:after="0"/>
              <w:rPr>
                <w:sz w:val="20"/>
                <w:szCs w:val="20"/>
                <w:color w:val="auto"/>
              </w:rPr>
            </w:pPr>
            <w:r>
              <w:rPr>
                <w:rFonts w:ascii="Arial" w:cs="Arial" w:eastAsia="Arial" w:hAnsi="Arial"/>
                <w:sz w:val="18"/>
                <w:szCs w:val="18"/>
                <w:b w:val="1"/>
                <w:bCs w:val="1"/>
                <w:color w:val="auto"/>
              </w:rPr>
              <w:t>Ladenburg Thalmann &amp; Co. Inc.</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740" w:type="dxa"/>
            <w:vAlign w:val="bottom"/>
          </w:tcPr>
          <w:p>
            <w:pPr>
              <w:ind w:left="6560"/>
              <w:spacing w:after="0"/>
              <w:rPr>
                <w:sz w:val="20"/>
                <w:szCs w:val="20"/>
                <w:color w:val="auto"/>
              </w:rPr>
            </w:pPr>
            <w:r>
              <w:rPr>
                <w:rFonts w:ascii="Arial" w:cs="Arial" w:eastAsia="Arial" w:hAnsi="Arial"/>
                <w:sz w:val="18"/>
                <w:szCs w:val="18"/>
                <w:b w:val="1"/>
                <w:bCs w:val="1"/>
                <w:color w:val="auto"/>
              </w:rPr>
              <w:t>Stephens Inc.</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740" w:type="dxa"/>
            <w:vAlign w:val="bottom"/>
          </w:tcPr>
          <w:p>
            <w:pPr>
              <w:ind w:left="8720"/>
              <w:spacing w:after="0"/>
              <w:rPr>
                <w:sz w:val="20"/>
                <w:szCs w:val="20"/>
                <w:color w:val="auto"/>
              </w:rPr>
            </w:pPr>
            <w:r>
              <w:rPr>
                <w:rFonts w:ascii="Arial" w:cs="Arial" w:eastAsia="Arial" w:hAnsi="Arial"/>
                <w:sz w:val="18"/>
                <w:szCs w:val="18"/>
                <w:b w:val="1"/>
                <w:bCs w:val="1"/>
                <w:color w:val="auto"/>
                <w:w w:val="95"/>
              </w:rPr>
              <w:t>Sterne Agee</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9740" w:type="dxa"/>
            <w:vAlign w:val="bottom"/>
          </w:tcPr>
          <w:p>
            <w:pPr>
              <w:ind w:left="1800"/>
              <w:spacing w:after="0"/>
              <w:rPr>
                <w:sz w:val="20"/>
                <w:szCs w:val="20"/>
                <w:color w:val="auto"/>
              </w:rPr>
            </w:pPr>
            <w:r>
              <w:rPr>
                <w:rFonts w:ascii="Arial" w:cs="Arial" w:eastAsia="Arial" w:hAnsi="Arial"/>
                <w:sz w:val="18"/>
                <w:szCs w:val="18"/>
                <w:b w:val="1"/>
                <w:bCs w:val="1"/>
                <w:color w:val="auto"/>
              </w:rPr>
              <w:t>The date of this prospectus supplement is January 16,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SPECIFIC TERMS OF THE NOTES AND THE OFFERING</w:t>
              </w:r>
            </w:hyperlink>
          </w:p>
        </w:tc>
        <w:tc>
          <w:tcPr>
            <w:tcW w:w="19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SUPPLEMENTAL PROSPECTUS SUMMARY</w:t>
              </w:r>
            </w:hyperlink>
          </w:p>
        </w:tc>
        <w:tc>
          <w:tcPr>
            <w:tcW w:w="1020" w:type="dxa"/>
            <w:vAlign w:val="bottom"/>
            <w:tcBorders>
              <w:top w:val="single" w:sz="8" w:color="0000EE"/>
            </w:tcBorders>
            <w:gridSpan w:val="3"/>
          </w:tcPr>
          <w:p>
            <w:pPr>
              <w:spacing w:after="0"/>
              <w:rPr>
                <w:sz w:val="17"/>
                <w:szCs w:val="17"/>
                <w:color w:val="auto"/>
              </w:rPr>
            </w:pPr>
          </w:p>
        </w:tc>
        <w:tc>
          <w:tcPr>
            <w:tcW w:w="4440" w:type="dxa"/>
            <w:vAlign w:val="bottom"/>
            <w:gridSpan w:val="5"/>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RISK FACTORS</w:t>
              </w:r>
            </w:hyperlink>
          </w:p>
        </w:tc>
        <w:tc>
          <w:tcPr>
            <w:tcW w:w="6040" w:type="dxa"/>
            <w:vAlign w:val="bottom"/>
            <w:gridSpan w:val="1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22">
              <w:r>
                <w:rPr>
                  <w:rFonts w:ascii="Arial" w:cs="Arial" w:eastAsia="Arial" w:hAnsi="Arial"/>
                  <w:sz w:val="18"/>
                  <w:szCs w:val="18"/>
                  <w:b w:val="1"/>
                  <w:bCs w:val="1"/>
                  <w:color w:val="0000EE"/>
                  <w:w w:val="93"/>
                </w:rPr>
                <w:t>USE OF PROCEEDS</w:t>
              </w:r>
            </w:hyperlink>
          </w:p>
        </w:tc>
        <w:tc>
          <w:tcPr>
            <w:tcW w:w="7440" w:type="dxa"/>
            <w:vAlign w:val="bottom"/>
            <w:gridSpan w:val="1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CAPITALIZATION</w:t>
              </w:r>
            </w:hyperlink>
          </w:p>
        </w:tc>
        <w:tc>
          <w:tcPr>
            <w:tcW w:w="7540" w:type="dxa"/>
            <w:vAlign w:val="bottom"/>
            <w:gridSpan w:val="1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RATIO OF EARNINGS TO FIXED CHARGES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SELECTED FINANCIAL DATA</w:t>
              </w:r>
            </w:hyperlink>
          </w:p>
        </w:tc>
        <w:tc>
          <w:tcPr>
            <w:tcW w:w="1120" w:type="dxa"/>
            <w:vAlign w:val="bottom"/>
            <w:tcBorders>
              <w:top w:val="single" w:sz="8" w:color="0000EE"/>
            </w:tcBorders>
            <w:gridSpan w:val="4"/>
          </w:tcPr>
          <w:p>
            <w:pPr>
              <w:spacing w:after="0"/>
              <w:rPr>
                <w:sz w:val="17"/>
                <w:szCs w:val="17"/>
                <w:color w:val="auto"/>
              </w:rPr>
            </w:pPr>
          </w:p>
        </w:tc>
        <w:tc>
          <w:tcPr>
            <w:tcW w:w="5460" w:type="dxa"/>
            <w:vAlign w:val="bottom"/>
            <w:gridSpan w:val="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MANAGEMENT’S DISCUSSION AND ANALYSIS OF FINANCIAL CONDITION AND RESULTS OF OPERATIONS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SENIOR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CERTAIN U.S. FEDERAL INCOME TAX CONSIDERATIONS</w:t>
              </w:r>
            </w:hyperlink>
          </w:p>
        </w:tc>
        <w:tc>
          <w:tcPr>
            <w:tcW w:w="422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S-39</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UNDERWRITING</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LEGAL MATTERS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S-46</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INDEX TO FINANCIAL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CONSENT LETTER OF INDEPENDENT REGISTERED PUBLIC ACCOUNTING FIRM</w:t>
              </w:r>
            </w:hyperlink>
          </w:p>
        </w:tc>
        <w:tc>
          <w:tcPr>
            <w:tcW w:w="218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PROSPECTUS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80" w:type="dxa"/>
            <w:vAlign w:val="bottom"/>
            <w:gridSpan w:val="24"/>
            <w:vMerge w:val="restart"/>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PROSPECTUS SUMMARY</w:t>
              </w:r>
            </w:hyperlink>
          </w:p>
        </w:tc>
        <w:tc>
          <w:tcPr>
            <w:tcW w:w="19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9080" w:type="dxa"/>
            <w:vAlign w:val="bottom"/>
            <w:gridSpan w:val="24"/>
            <w:vMerge w:val="continue"/>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FEES AND EXPENSES</w:t>
              </w:r>
            </w:hyperlink>
          </w:p>
        </w:tc>
        <w:tc>
          <w:tcPr>
            <w:tcW w:w="6940" w:type="dxa"/>
            <w:vAlign w:val="bottom"/>
            <w:gridSpan w:val="14"/>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RISK FACTORS</w:t>
              </w:r>
            </w:hyperlink>
          </w:p>
        </w:tc>
        <w:tc>
          <w:tcPr>
            <w:tcW w:w="7260" w:type="dxa"/>
            <w:vAlign w:val="bottom"/>
            <w:gridSpan w:val="1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20">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6"/>
          </w:tcPr>
          <w:p>
            <w:pPr>
              <w:spacing w:after="0"/>
              <w:rPr>
                <w:sz w:val="17"/>
                <w:szCs w:val="17"/>
                <w:color w:val="auto"/>
              </w:rPr>
            </w:pPr>
          </w:p>
        </w:tc>
        <w:tc>
          <w:tcPr>
            <w:tcW w:w="6040" w:type="dxa"/>
            <w:vAlign w:val="bottom"/>
            <w:gridSpan w:val="1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SELECTED FINANCIAL DATA</w:t>
              </w:r>
            </w:hyperlink>
          </w:p>
        </w:tc>
        <w:tc>
          <w:tcPr>
            <w:tcW w:w="6580" w:type="dxa"/>
            <w:vAlign w:val="bottom"/>
            <w:gridSpan w:val="1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23">
              <w:r>
                <w:rPr>
                  <w:rFonts w:ascii="Arial" w:cs="Arial" w:eastAsia="Arial" w:hAnsi="Arial"/>
                  <w:sz w:val="18"/>
                  <w:szCs w:val="18"/>
                  <w:b w:val="1"/>
                  <w:bCs w:val="1"/>
                  <w:color w:val="0000EE"/>
                  <w:w w:val="97"/>
                </w:rPr>
                <w:t>MANAGEMENT’S DISCUSSION AND ANALYSIS OF FINANCIAL CONDITION AND RESULTS OF OPERATIONS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SENIOR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138">
              <w:r>
                <w:rPr>
                  <w:rFonts w:ascii="Arial" w:cs="Arial" w:eastAsia="Arial" w:hAnsi="Arial"/>
                  <w:sz w:val="18"/>
                  <w:szCs w:val="18"/>
                  <w:b w:val="1"/>
                  <w:bCs w:val="1"/>
                  <w:color w:val="0000EE"/>
                  <w:w w:val="98"/>
                </w:rPr>
                <w:t>PRICE RANGE OF COMMON STOCK</w:t>
              </w:r>
            </w:hyperlink>
          </w:p>
        </w:tc>
        <w:tc>
          <w:tcPr>
            <w:tcW w:w="5960" w:type="dxa"/>
            <w:vAlign w:val="bottom"/>
            <w:gridSpan w:val="1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6"/>
              </w:rPr>
            </w:pPr>
            <w:hyperlink w:anchor="page139">
              <w:r>
                <w:rPr>
                  <w:rFonts w:ascii="Arial" w:cs="Arial" w:eastAsia="Arial" w:hAnsi="Arial"/>
                  <w:sz w:val="18"/>
                  <w:szCs w:val="18"/>
                  <w:b w:val="1"/>
                  <w:bCs w:val="1"/>
                  <w:color w:val="0000EE"/>
                  <w:w w:val="96"/>
                </w:rPr>
                <w:t>SALES OF COMMON STOCK BELOW NET ASSET VALUE</w:t>
              </w:r>
            </w:hyperlink>
          </w:p>
        </w:tc>
        <w:tc>
          <w:tcPr>
            <w:tcW w:w="432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DISTRIBUTIONS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147">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7640" w:type="dxa"/>
            <w:vAlign w:val="bottom"/>
            <w:gridSpan w:val="2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INVESTMENT OBJECTIVES AND POLICIES</w:t>
              </w:r>
            </w:hyperlink>
          </w:p>
        </w:tc>
        <w:tc>
          <w:tcPr>
            <w:tcW w:w="542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158">
              <w:r>
                <w:rPr>
                  <w:rFonts w:ascii="Arial" w:cs="Arial" w:eastAsia="Arial" w:hAnsi="Arial"/>
                  <w:sz w:val="18"/>
                  <w:szCs w:val="18"/>
                  <w:b w:val="1"/>
                  <w:bCs w:val="1"/>
                  <w:color w:val="0000EE"/>
                  <w:w w:val="97"/>
                </w:rPr>
                <w:t>PORTFOLIO COMPANIES</w:t>
              </w:r>
            </w:hyperlink>
          </w:p>
        </w:tc>
        <w:tc>
          <w:tcPr>
            <w:tcW w:w="6920" w:type="dxa"/>
            <w:vAlign w:val="bottom"/>
            <w:gridSpan w:val="1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MANAGEMENT</w:t>
              </w:r>
            </w:hyperlink>
          </w:p>
        </w:tc>
        <w:tc>
          <w:tcPr>
            <w:tcW w:w="7740" w:type="dxa"/>
            <w:vAlign w:val="bottom"/>
            <w:gridSpan w:val="2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6"/>
              </w:rPr>
            </w:pPr>
            <w:hyperlink w:anchor="page170">
              <w:r>
                <w:rPr>
                  <w:rFonts w:ascii="Arial" w:cs="Arial" w:eastAsia="Arial" w:hAnsi="Arial"/>
                  <w:sz w:val="18"/>
                  <w:szCs w:val="18"/>
                  <w:b w:val="1"/>
                  <w:bCs w:val="1"/>
                  <w:color w:val="0000EE"/>
                  <w:w w:val="96"/>
                </w:rPr>
                <w:t>CONTROL PERSONS AND PRINCIPAL STOCKHOLDERS</w:t>
              </w:r>
            </w:hyperlink>
          </w:p>
        </w:tc>
        <w:tc>
          <w:tcPr>
            <w:tcW w:w="4380" w:type="dxa"/>
            <w:vAlign w:val="bottom"/>
            <w:gridSpan w:val="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7"/>
              </w:rPr>
            </w:pPr>
            <w:hyperlink w:anchor="page172">
              <w:r>
                <w:rPr>
                  <w:rFonts w:ascii="Arial" w:cs="Arial" w:eastAsia="Arial" w:hAnsi="Arial"/>
                  <w:sz w:val="18"/>
                  <w:szCs w:val="18"/>
                  <w:b w:val="1"/>
                  <w:bCs w:val="1"/>
                  <w:color w:val="0000EE"/>
                  <w:w w:val="97"/>
                </w:rPr>
                <w:t>CERTAIN RELATIONSHIPS AND TRANSACTIONS</w:t>
              </w:r>
            </w:hyperlink>
          </w:p>
        </w:tc>
        <w:tc>
          <w:tcPr>
            <w:tcW w:w="4940" w:type="dxa"/>
            <w:vAlign w:val="bottom"/>
            <w:gridSpan w:val="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77">
              <w:r>
                <w:rPr>
                  <w:rFonts w:ascii="Arial" w:cs="Arial" w:eastAsia="Arial" w:hAnsi="Arial"/>
                  <w:sz w:val="18"/>
                  <w:szCs w:val="18"/>
                  <w:b w:val="1"/>
                  <w:bCs w:val="1"/>
                  <w:color w:val="0000EE"/>
                </w:rPr>
                <w:t>DETERMINATION OF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15"/>
            <w:vMerge w:val="restart"/>
          </w:tcPr>
          <w:p>
            <w:pPr>
              <w:spacing w:after="0"/>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DIVIDEND REINVESTMENT PLAN</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15"/>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0" w:type="dxa"/>
            <w:vAlign w:val="bottom"/>
            <w:gridSpan w:val="15"/>
          </w:tcPr>
          <w:p>
            <w:pPr>
              <w:spacing w:after="0"/>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DESCRIPTION OF OUR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187">
              <w:r>
                <w:rPr>
                  <w:rFonts w:ascii="Arial" w:cs="Arial" w:eastAsia="Arial" w:hAnsi="Arial"/>
                  <w:sz w:val="18"/>
                  <w:szCs w:val="18"/>
                  <w:b w:val="1"/>
                  <w:bCs w:val="1"/>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188">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4"/>
          </w:tcPr>
          <w:p>
            <w:pPr>
              <w:spacing w:after="0"/>
              <w:rPr>
                <w:sz w:val="17"/>
                <w:szCs w:val="17"/>
                <w:color w:val="auto"/>
              </w:rPr>
            </w:pPr>
          </w:p>
        </w:tc>
        <w:tc>
          <w:tcPr>
            <w:tcW w:w="7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7"/>
              </w:rPr>
            </w:pPr>
            <w:hyperlink w:anchor="page190">
              <w:r>
                <w:rPr>
                  <w:rFonts w:ascii="Arial" w:cs="Arial" w:eastAsia="Arial" w:hAnsi="Arial"/>
                  <w:sz w:val="18"/>
                  <w:szCs w:val="18"/>
                  <w:b w:val="1"/>
                  <w:bCs w:val="1"/>
                  <w:color w:val="0000EE"/>
                  <w:w w:val="97"/>
                </w:rPr>
                <w:t>DESCRIPTION OF OUR SUBSCRIPTION RIGHTS</w:t>
              </w:r>
            </w:hyperlink>
          </w:p>
        </w:tc>
        <w:tc>
          <w:tcPr>
            <w:tcW w:w="69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191">
              <w:r>
                <w:rPr>
                  <w:rFonts w:ascii="Arial" w:cs="Arial" w:eastAsia="Arial" w:hAnsi="Arial"/>
                  <w:sz w:val="18"/>
                  <w:szCs w:val="18"/>
                  <w:b w:val="1"/>
                  <w:bCs w:val="1"/>
                  <w:color w:val="0000EE"/>
                  <w:w w:val="97"/>
                </w:rPr>
                <w:t>DESCRIPTION OF OUR DEBT SECURITIES</w:t>
              </w:r>
            </w:hyperlink>
          </w:p>
        </w:tc>
        <w:tc>
          <w:tcPr>
            <w:tcW w:w="74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205">
              <w:r>
                <w:rPr>
                  <w:rFonts w:ascii="Arial" w:cs="Arial" w:eastAsia="Arial" w:hAnsi="Arial"/>
                  <w:sz w:val="18"/>
                  <w:szCs w:val="18"/>
                  <w:b w:val="1"/>
                  <w:bCs w:val="1"/>
                  <w:color w:val="0000EE"/>
                  <w:w w:val="99"/>
                </w:rPr>
                <w:t>REGULATION</w:t>
              </w:r>
            </w:hyperlink>
          </w:p>
        </w:tc>
        <w:tc>
          <w:tcPr>
            <w:tcW w:w="98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211">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212">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218">
              <w:r>
                <w:rPr>
                  <w:rFonts w:ascii="Arial" w:cs="Arial" w:eastAsia="Arial" w:hAnsi="Arial"/>
                  <w:sz w:val="18"/>
                  <w:szCs w:val="18"/>
                  <w:b w:val="1"/>
                  <w:bCs w:val="1"/>
                  <w:color w:val="0000EE"/>
                  <w:w w:val="99"/>
                </w:rPr>
                <w:t>PLAN OF DISTRIBUTION</w:t>
              </w:r>
            </w:hyperlink>
          </w:p>
        </w:tc>
        <w:tc>
          <w:tcPr>
            <w:tcW w:w="88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7"/>
              </w:rPr>
            </w:pPr>
            <w:hyperlink w:anchor="page220">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21">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ectPr>
          <w:pgSz w:w="11900" w:h="16838" w:orient="portrait"/>
          <w:cols w:equalWidth="0" w:num="1">
            <w:col w:w="11420"/>
          </w:cols>
          <w:pgMar w:left="240" w:top="459"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Corporation, or “we,” “us,” “our” or “Company”</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6.25% Senior Notes due 2025</w:t>
      </w:r>
    </w:p>
    <w:p>
      <w:pPr>
        <w:spacing w:after="0" w:line="1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$67,500,000</w:t>
      </w:r>
    </w:p>
    <w:p>
      <w:pPr>
        <w:spacing w:after="0" w:line="1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500"/>
        <w:spacing w:after="0" w:line="259" w:lineRule="auto"/>
        <w:rPr>
          <w:sz w:val="20"/>
          <w:szCs w:val="20"/>
          <w:color w:val="auto"/>
        </w:rPr>
      </w:pPr>
      <w:r>
        <w:rPr>
          <w:rFonts w:ascii="Arial" w:cs="Arial" w:eastAsia="Arial" w:hAnsi="Arial"/>
          <w:sz w:val="18"/>
          <w:szCs w:val="18"/>
          <w:color w:val="auto"/>
        </w:rPr>
        <w:t>The underwriters may also purchase from us up to an additional $10,125,000 aggregate principal amount of Notes to cover overallotments, if any, within 30 days of the date of this prospectus supplement under the ticker symbol PNTA.</w:t>
      </w:r>
    </w:p>
    <w:p>
      <w:pPr>
        <w:spacing w:after="0" w:line="8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aggregate principal amount</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Principal payable at maturity</w:t>
      </w:r>
    </w:p>
    <w:p>
      <w:pPr>
        <w:spacing w:after="0" w:line="20" w:lineRule="exact"/>
        <w:rPr>
          <w:sz w:val="20"/>
          <w:szCs w:val="20"/>
          <w:color w:val="auto"/>
        </w:rPr>
      </w:pPr>
      <w:r>
        <w:rPr>
          <w:sz w:val="20"/>
          <w:szCs w:val="20"/>
          <w:color w:val="auto"/>
        </w:rPr>
        <w:br w:type="column"/>
      </w:r>
    </w:p>
    <w:p>
      <w:pPr>
        <w:ind w:right="140"/>
        <w:spacing w:after="0" w:line="306" w:lineRule="auto"/>
        <w:rPr>
          <w:sz w:val="20"/>
          <w:szCs w:val="20"/>
          <w:color w:val="auto"/>
        </w:rPr>
      </w:pPr>
      <w:r>
        <w:rPr>
          <w:rFonts w:ascii="Arial" w:cs="Arial" w:eastAsia="Arial" w:hAnsi="Arial"/>
          <w:sz w:val="16"/>
          <w:szCs w:val="16"/>
          <w:color w:val="auto"/>
        </w:rPr>
        <w:t>100% of the aggregate principal amount; the principal amount of each Note will be payable on its stated maturity date at the office of the Paying Agent, Registrar and Transfer Agent for the Notes or at such other office in New York City as we may designate.</w:t>
      </w:r>
    </w:p>
    <w:p>
      <w:pPr>
        <w:spacing w:after="0" w:line="5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Type of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Fixed rate note</w:t>
      </w:r>
    </w:p>
    <w:p>
      <w:pPr>
        <w:spacing w:after="0" w:line="1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intend to list the Notes on the New York Stock Exchange within 30 days of the original issue date.</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6.25% per year</w:t>
      </w:r>
    </w:p>
    <w:p>
      <w:pPr>
        <w:spacing w:after="0" w:line="15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Day count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360-day year of twelve 30-day months</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22, 2013</w:t>
      </w:r>
    </w:p>
    <w:p>
      <w:pPr>
        <w:spacing w:after="0" w:line="15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Stated 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 2025</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interest starts accruing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22, 2013</w:t>
      </w:r>
    </w:p>
    <w:p>
      <w:pPr>
        <w:spacing w:after="0" w:line="15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20"/>
        <w:spacing w:after="0" w:line="306" w:lineRule="auto"/>
        <w:rPr>
          <w:sz w:val="20"/>
          <w:szCs w:val="20"/>
          <w:color w:val="auto"/>
        </w:rPr>
      </w:pPr>
      <w:r>
        <w:rPr>
          <w:rFonts w:ascii="Arial" w:cs="Arial" w:eastAsia="Arial" w:hAnsi="Arial"/>
          <w:sz w:val="16"/>
          <w:szCs w:val="16"/>
          <w:color w:val="auto"/>
        </w:rPr>
        <w:t>Every February 1, May 1, August 1 and November 1, commencing May 1, 2013. If an interest payment date is a non-business day, the applicable interest payment will be made on the next business day, and no additional interest will accrue as a result of such delayed payment.</w:t>
      </w:r>
    </w:p>
    <w:p>
      <w:pPr>
        <w:spacing w:after="0" w:line="5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periods</w:t>
      </w:r>
    </w:p>
    <w:p>
      <w:pPr>
        <w:spacing w:after="0" w:line="20" w:lineRule="exact"/>
        <w:rPr>
          <w:sz w:val="20"/>
          <w:szCs w:val="20"/>
          <w:color w:val="auto"/>
        </w:rPr>
      </w:pPr>
      <w:r>
        <w:rPr>
          <w:sz w:val="20"/>
          <w:szCs w:val="20"/>
          <w:color w:val="auto"/>
        </w:rPr>
        <w:br w:type="column"/>
      </w:r>
    </w:p>
    <w:p>
      <w:pPr>
        <w:jc w:val="both"/>
        <w:spacing w:after="0" w:line="306" w:lineRule="auto"/>
        <w:rPr>
          <w:sz w:val="20"/>
          <w:szCs w:val="20"/>
          <w:color w:val="auto"/>
        </w:rPr>
      </w:pPr>
      <w:r>
        <w:rPr>
          <w:rFonts w:ascii="Arial" w:cs="Arial" w:eastAsia="Arial" w:hAnsi="Arial"/>
          <w:sz w:val="16"/>
          <w:szCs w:val="16"/>
          <w:color w:val="auto"/>
        </w:rPr>
        <w:t>The initial interest period will be the period from and including January 22, 2013 to, but excluding May 1, 2013, and the subsequent interest periods will be the periods from and including an interest payment date to, but excluding, the next interest payment date or the stated maturity date, as the case may be.</w:t>
      </w:r>
    </w:p>
    <w:p>
      <w:pPr>
        <w:spacing w:after="0" w:line="5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Regular record dates for interest</w:t>
      </w:r>
    </w:p>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Every January 15, April 15, July 15 and October 15, commencing April 15, 2013; if a record date for interest is a non-business day, then that record date will be the next business day.</w:t>
      </w:r>
    </w:p>
    <w:p>
      <w:pPr>
        <w:spacing w:after="0" w:line="3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Specified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Dollars</w:t>
      </w:r>
    </w:p>
    <w:p>
      <w:pPr>
        <w:spacing w:after="0" w:line="14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Place of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City of New York</w:t>
      </w:r>
    </w:p>
    <w:p>
      <w:pPr>
        <w:spacing w:after="0" w:line="18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tcPr>
          <w:p>
            <w:pPr>
              <w:spacing w:after="0"/>
              <w:rPr>
                <w:sz w:val="19"/>
                <w:szCs w:val="19"/>
                <w:color w:val="auto"/>
              </w:rPr>
            </w:pPr>
          </w:p>
        </w:tc>
        <w:tc>
          <w:tcPr>
            <w:tcW w:w="9220" w:type="dxa"/>
            <w:vAlign w:val="bottom"/>
            <w:gridSpan w:val="2"/>
          </w:tcPr>
          <w:p>
            <w:pPr>
              <w:ind w:left="74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358"/>
        </w:trPr>
        <w:tc>
          <w:tcPr>
            <w:tcW w:w="2200" w:type="dxa"/>
            <w:vAlign w:val="bottom"/>
          </w:tcPr>
          <w:p>
            <w:pPr>
              <w:spacing w:after="0"/>
              <w:rPr>
                <w:sz w:val="20"/>
                <w:szCs w:val="20"/>
                <w:color w:val="auto"/>
              </w:rPr>
            </w:pPr>
            <w:r>
              <w:rPr>
                <w:rFonts w:ascii="Arial" w:cs="Arial" w:eastAsia="Arial" w:hAnsi="Arial"/>
                <w:sz w:val="18"/>
                <w:szCs w:val="18"/>
                <w:color w:val="auto"/>
              </w:rPr>
              <w:t>Ranking of Notes</w:t>
            </w: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216"/>
        </w:trPr>
        <w:tc>
          <w:tcPr>
            <w:tcW w:w="220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future senior unsecured indebtedness;</w:t>
            </w:r>
          </w:p>
        </w:tc>
      </w:tr>
      <w:tr>
        <w:trPr>
          <w:trHeight w:val="216"/>
        </w:trPr>
        <w:tc>
          <w:tcPr>
            <w:tcW w:w="220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5"/>
              </w:rPr>
              <w:t>senior to any of our future indebtedness that expressly states it is subordinated to the Notes;</w:t>
            </w:r>
          </w:p>
        </w:tc>
      </w:tr>
      <w:tr>
        <w:trPr>
          <w:trHeight w:val="216"/>
        </w:trPr>
        <w:tc>
          <w:tcPr>
            <w:tcW w:w="220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9"/>
              </w:rPr>
              <w:t>effectively subordinated to all of our existing and future secured indebtedness (including</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89"/>
              </w:rPr>
              <w:t>indebtedness that is initially unsecured, but to which we subsequently grant security), to the extent</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0"/>
              </w:rPr>
              <w:t>of the value of the assets securing such indebtedness, including without limitation, approximately</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8"/>
              </w:rPr>
              <w:t>$145.0 million (including a $35.5 million temporary draw) of borrowings outstanding as of</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0"/>
              </w:rPr>
              <w:t>September 30, 2012 under our $380.0 million revolving credit facility, or the Credit Facility, to the</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extent of the value of the assets securing the Credit Facility; and</w:t>
            </w:r>
          </w:p>
        </w:tc>
      </w:tr>
      <w:tr>
        <w:trPr>
          <w:trHeight w:val="216"/>
        </w:trPr>
        <w:tc>
          <w:tcPr>
            <w:tcW w:w="220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89"/>
              </w:rPr>
              <w:t>structurally subordinated to all existing and future indebtedness and other obligations of any of our</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9"/>
              </w:rPr>
              <w:t>subsidiaries, financing vehicles or similar facilities, including our consolidated subsidiary</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5"/>
              </w:rPr>
              <w:t>PennantPark SBIC LP’s U.S. Small Business Administration, or SBA, debentures of $150.0</w:t>
            </w:r>
          </w:p>
        </w:tc>
      </w:tr>
      <w:tr>
        <w:trPr>
          <w:trHeight w:val="222"/>
        </w:trPr>
        <w:tc>
          <w:tcPr>
            <w:tcW w:w="2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million of borrowings outstanding as of September 30, 2012.</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Denominations</w:t>
            </w: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7"/>
              </w:rPr>
              <w:t>We will issue the Notes in denominations of $25 and integral multiples of $25 in excess thereof.</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Business day</w:t>
            </w: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8"/>
              </w:rPr>
              <w:t>Each Monday, Tuesday, Wednesday, Thursday and Friday that is not a day on which banking institutions</w:t>
            </w:r>
          </w:p>
        </w:tc>
      </w:tr>
      <w:tr>
        <w:trPr>
          <w:trHeight w:val="222"/>
        </w:trPr>
        <w:tc>
          <w:tcPr>
            <w:tcW w:w="2200" w:type="dxa"/>
            <w:vAlign w:val="bottom"/>
          </w:tcPr>
          <w:p>
            <w:pPr>
              <w:spacing w:after="0"/>
              <w:rPr>
                <w:sz w:val="19"/>
                <w:szCs w:val="19"/>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in The City of New York are authorized or required by law or executive order to close.</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Optional redemption</w:t>
            </w: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9"/>
              </w:rPr>
              <w:t>The Notes may be redeemed in whole or in part at any time or from time to time at our option on or after</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0"/>
              </w:rPr>
              <w:t>February 1, 2016, upon not less than 30 days’ nor more than 60 days’ written notice by mail prior to the</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8"/>
              </w:rPr>
              <w:t>date fixed for redemption thereof, at a redemption price of $25 per Note plus accrued and unpaid interest</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8"/>
              </w:rPr>
              <w:t>payments otherwise payable for the then-current quarterly interest period accrued to but not including the</w:t>
            </w:r>
          </w:p>
        </w:tc>
      </w:tr>
      <w:tr>
        <w:trPr>
          <w:trHeight w:val="222"/>
        </w:trPr>
        <w:tc>
          <w:tcPr>
            <w:tcW w:w="2200" w:type="dxa"/>
            <w:vAlign w:val="bottom"/>
          </w:tcPr>
          <w:p>
            <w:pPr>
              <w:spacing w:after="0"/>
              <w:rPr>
                <w:sz w:val="19"/>
                <w:szCs w:val="19"/>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date fixed for redemption.</w:t>
            </w:r>
          </w:p>
        </w:tc>
      </w:tr>
      <w:tr>
        <w:trPr>
          <w:trHeight w:val="318"/>
        </w:trPr>
        <w:tc>
          <w:tcPr>
            <w:tcW w:w="2200" w:type="dxa"/>
            <w:vAlign w:val="bottom"/>
          </w:tcPr>
          <w:p>
            <w:pPr>
              <w:spacing w:after="0"/>
              <w:rPr>
                <w:sz w:val="24"/>
                <w:szCs w:val="24"/>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8"/>
              </w:rPr>
              <w:t>You may be prevented from exchanging or transferring the Notes when they are subject to redemption. In</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89"/>
              </w:rPr>
              <w:t>case any Notes are to be redeemed in part only, the redemption notice will provide that, upon surrender</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4"/>
              </w:rPr>
              <w:t>of such Note, you will receive, without a charge, a new Note or Notes of authorized denominations</w:t>
            </w:r>
          </w:p>
        </w:tc>
      </w:tr>
      <w:tr>
        <w:trPr>
          <w:trHeight w:val="222"/>
        </w:trPr>
        <w:tc>
          <w:tcPr>
            <w:tcW w:w="2200" w:type="dxa"/>
            <w:vAlign w:val="bottom"/>
          </w:tcPr>
          <w:p>
            <w:pPr>
              <w:spacing w:after="0"/>
              <w:rPr>
                <w:sz w:val="19"/>
                <w:szCs w:val="19"/>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representing the principal amount of your remaining unredeemed Notes.</w:t>
            </w:r>
          </w:p>
        </w:tc>
      </w:tr>
      <w:tr>
        <w:trPr>
          <w:trHeight w:val="318"/>
        </w:trPr>
        <w:tc>
          <w:tcPr>
            <w:tcW w:w="2200" w:type="dxa"/>
            <w:vAlign w:val="bottom"/>
          </w:tcPr>
          <w:p>
            <w:pPr>
              <w:spacing w:after="0"/>
              <w:rPr>
                <w:sz w:val="24"/>
                <w:szCs w:val="24"/>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2"/>
              </w:rPr>
              <w:t>Any exercise of our option to redeem the Notes will be done in compliance with the 1940 Act and the</w:t>
            </w:r>
          </w:p>
        </w:tc>
      </w:tr>
      <w:tr>
        <w:trPr>
          <w:trHeight w:val="222"/>
        </w:trPr>
        <w:tc>
          <w:tcPr>
            <w:tcW w:w="2200" w:type="dxa"/>
            <w:vAlign w:val="bottom"/>
          </w:tcPr>
          <w:p>
            <w:pPr>
              <w:spacing w:after="0"/>
              <w:rPr>
                <w:sz w:val="19"/>
                <w:szCs w:val="19"/>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related rules, regulations and interpretations, to the extent applicable.</w:t>
            </w:r>
          </w:p>
        </w:tc>
      </w:tr>
      <w:tr>
        <w:trPr>
          <w:trHeight w:val="318"/>
        </w:trPr>
        <w:tc>
          <w:tcPr>
            <w:tcW w:w="2200" w:type="dxa"/>
            <w:vAlign w:val="bottom"/>
          </w:tcPr>
          <w:p>
            <w:pPr>
              <w:spacing w:after="0"/>
              <w:rPr>
                <w:sz w:val="24"/>
                <w:szCs w:val="24"/>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7"/>
              </w:rPr>
              <w:t>If we redeem only some of the Notes, the Trustee will determine the method for selection of the</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1"/>
              </w:rPr>
              <w:t>particular Notes to be redeemed, in accordance with the 1940 Act, to the extent applicable. Unless we</w:t>
            </w:r>
          </w:p>
        </w:tc>
      </w:tr>
      <w:tr>
        <w:trPr>
          <w:trHeight w:val="216"/>
        </w:trPr>
        <w:tc>
          <w:tcPr>
            <w:tcW w:w="2200" w:type="dxa"/>
            <w:vAlign w:val="bottom"/>
          </w:tcPr>
          <w:p>
            <w:pPr>
              <w:spacing w:after="0"/>
              <w:rPr>
                <w:sz w:val="18"/>
                <w:szCs w:val="18"/>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w w:val="93"/>
              </w:rPr>
              <w:t>default in payment of the redemption price, on and after the date of redemption interest will cease to</w:t>
            </w:r>
          </w:p>
        </w:tc>
      </w:tr>
      <w:tr>
        <w:trPr>
          <w:trHeight w:val="222"/>
        </w:trPr>
        <w:tc>
          <w:tcPr>
            <w:tcW w:w="2200" w:type="dxa"/>
            <w:vAlign w:val="bottom"/>
          </w:tcPr>
          <w:p>
            <w:pPr>
              <w:spacing w:after="0"/>
              <w:rPr>
                <w:sz w:val="19"/>
                <w:szCs w:val="19"/>
                <w:color w:val="auto"/>
              </w:rPr>
            </w:pP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accrue on the Notes called for redemption.</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Sinking fund</w:t>
            </w:r>
          </w:p>
        </w:tc>
        <w:tc>
          <w:tcPr>
            <w:tcW w:w="9220" w:type="dxa"/>
            <w:vAlign w:val="bottom"/>
            <w:gridSpan w:val="2"/>
          </w:tcPr>
          <w:p>
            <w:pPr>
              <w:ind w:left="1800"/>
              <w:spacing w:after="0"/>
              <w:rPr>
                <w:sz w:val="20"/>
                <w:szCs w:val="20"/>
                <w:color w:val="auto"/>
              </w:rPr>
            </w:pPr>
            <w:r>
              <w:rPr>
                <w:rFonts w:ascii="Arial" w:cs="Arial" w:eastAsia="Arial" w:hAnsi="Arial"/>
                <w:sz w:val="18"/>
                <w:szCs w:val="18"/>
                <w:color w:val="auto"/>
              </w:rPr>
              <w:t>The Notes will not be subject to any sinking fund.</w:t>
            </w:r>
          </w:p>
        </w:tc>
      </w:tr>
      <w:tr>
        <w:trPr>
          <w:trHeight w:val="365"/>
        </w:trPr>
        <w:tc>
          <w:tcPr>
            <w:tcW w:w="2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180" w:type="dxa"/>
            <w:vAlign w:val="bottom"/>
          </w:tcPr>
          <w:p>
            <w:pPr>
              <w:ind w:left="13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320" w:type="dxa"/>
            <w:vAlign w:val="bottom"/>
            <w:gridSpan w:val="3"/>
          </w:tcPr>
          <w:p>
            <w:pPr>
              <w:ind w:left="294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73"/>
        </w:trPr>
        <w:tc>
          <w:tcPr>
            <w:tcW w:w="3740" w:type="dxa"/>
            <w:vAlign w:val="bottom"/>
          </w:tcPr>
          <w:p>
            <w:pPr>
              <w:spacing w:after="0"/>
              <w:rPr>
                <w:sz w:val="20"/>
                <w:szCs w:val="20"/>
                <w:color w:val="auto"/>
              </w:rPr>
            </w:pPr>
            <w:r>
              <w:rPr>
                <w:rFonts w:ascii="Arial" w:cs="Arial" w:eastAsia="Arial" w:hAnsi="Arial"/>
                <w:sz w:val="18"/>
                <w:szCs w:val="18"/>
                <w:color w:val="auto"/>
              </w:rPr>
              <w:t>Repayment at option of Holders</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Holders will not have the option to have the Notes repaid prior to the stated maturity date.</w:t>
            </w: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Defeasance</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The Notes are subject to defeasance by us.</w:t>
            </w: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Covenant defeasance</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The Notes are subject to covenant defeasance by us.</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Form of Notes</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0"/>
              </w:rPr>
              <w:t>The Notes will be represented by global securities that will be deposited and registered in the name of</w:t>
            </w:r>
          </w:p>
        </w:tc>
      </w:tr>
      <w:tr>
        <w:trPr>
          <w:trHeight w:val="216"/>
        </w:trPr>
        <w:tc>
          <w:tcPr>
            <w:tcW w:w="3740" w:type="dxa"/>
            <w:vAlign w:val="bottom"/>
          </w:tcPr>
          <w:p>
            <w:pPr>
              <w:spacing w:after="0"/>
              <w:rPr>
                <w:sz w:val="18"/>
                <w:szCs w:val="18"/>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0"/>
              </w:rPr>
              <w:t>DTC or its nominee. This means that, except in limited circumstances, you will not receive certificates</w:t>
            </w:r>
          </w:p>
        </w:tc>
      </w:tr>
      <w:tr>
        <w:trPr>
          <w:trHeight w:val="216"/>
        </w:trPr>
        <w:tc>
          <w:tcPr>
            <w:tcW w:w="3740" w:type="dxa"/>
            <w:vAlign w:val="bottom"/>
          </w:tcPr>
          <w:p>
            <w:pPr>
              <w:spacing w:after="0"/>
              <w:rPr>
                <w:sz w:val="18"/>
                <w:szCs w:val="18"/>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4"/>
              </w:rPr>
              <w:t>for the Notes. Beneficial interests in the Notes will be represented through book-entry accounts of</w:t>
            </w:r>
          </w:p>
        </w:tc>
      </w:tr>
      <w:tr>
        <w:trPr>
          <w:trHeight w:val="216"/>
        </w:trPr>
        <w:tc>
          <w:tcPr>
            <w:tcW w:w="3740" w:type="dxa"/>
            <w:vAlign w:val="bottom"/>
          </w:tcPr>
          <w:p>
            <w:pPr>
              <w:spacing w:after="0"/>
              <w:rPr>
                <w:sz w:val="18"/>
                <w:szCs w:val="18"/>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2"/>
              </w:rPr>
              <w:t>financial institutions acting on behalf of beneficial owners as direct and indirect participants in DTC.</w:t>
            </w:r>
          </w:p>
        </w:tc>
      </w:tr>
      <w:tr>
        <w:trPr>
          <w:trHeight w:val="216"/>
        </w:trPr>
        <w:tc>
          <w:tcPr>
            <w:tcW w:w="3740" w:type="dxa"/>
            <w:vAlign w:val="bottom"/>
          </w:tcPr>
          <w:p>
            <w:pPr>
              <w:spacing w:after="0"/>
              <w:rPr>
                <w:sz w:val="18"/>
                <w:szCs w:val="18"/>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5"/>
              </w:rPr>
              <w:t>Investors may elect to hold interests in the Notes through either DTC, if they are a participant, or</w:t>
            </w:r>
          </w:p>
        </w:tc>
      </w:tr>
      <w:tr>
        <w:trPr>
          <w:trHeight w:val="222"/>
        </w:trPr>
        <w:tc>
          <w:tcPr>
            <w:tcW w:w="3740" w:type="dxa"/>
            <w:vAlign w:val="bottom"/>
          </w:tcPr>
          <w:p>
            <w:pPr>
              <w:spacing w:after="0"/>
              <w:rPr>
                <w:sz w:val="19"/>
                <w:szCs w:val="19"/>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indirectly through organizations that are participants in DTC.</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Trustee, Paying Agent, Registrar and Transfer</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American Stock Transfer &amp; Trust Company, LLC</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Agent</w:t>
            </w:r>
          </w:p>
        </w:tc>
        <w:tc>
          <w:tcPr>
            <w:tcW w:w="50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Other covenants</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1"/>
              </w:rPr>
              <w:t>In addition to the covenants described in the prospectus attached to this prospectus supplement, the</w:t>
            </w:r>
          </w:p>
        </w:tc>
      </w:tr>
      <w:tr>
        <w:trPr>
          <w:trHeight w:val="216"/>
        </w:trPr>
        <w:tc>
          <w:tcPr>
            <w:tcW w:w="3740" w:type="dxa"/>
            <w:vAlign w:val="bottom"/>
          </w:tcPr>
          <w:p>
            <w:pPr>
              <w:spacing w:after="0"/>
              <w:rPr>
                <w:sz w:val="18"/>
                <w:szCs w:val="18"/>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following covenants will apply to the Notes:</w:t>
            </w:r>
          </w:p>
        </w:tc>
      </w:tr>
      <w:tr>
        <w:trPr>
          <w:trHeight w:val="216"/>
        </w:trPr>
        <w:tc>
          <w:tcPr>
            <w:tcW w:w="374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7080" w:type="dxa"/>
            <w:vAlign w:val="bottom"/>
          </w:tcPr>
          <w:p>
            <w:pPr>
              <w:ind w:left="180"/>
              <w:spacing w:after="0"/>
              <w:rPr>
                <w:sz w:val="20"/>
                <w:szCs w:val="20"/>
                <w:color w:val="auto"/>
              </w:rPr>
            </w:pPr>
            <w:r>
              <w:rPr>
                <w:rFonts w:ascii="Arial" w:cs="Arial" w:eastAsia="Arial" w:hAnsi="Arial"/>
                <w:sz w:val="18"/>
                <w:szCs w:val="18"/>
                <w:color w:val="auto"/>
                <w:w w:val="91"/>
              </w:rPr>
              <w:t>We agree that for the period of time during which the Notes are outstanding, we will not violate</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89"/>
              </w:rPr>
              <w:t>Section 18(a)(1)(A) as modified by Section 61(a)(1) of the 1940 Act or any successor provisions.</w:t>
            </w:r>
          </w:p>
        </w:tc>
      </w:tr>
      <w:tr>
        <w:trPr>
          <w:trHeight w:val="216"/>
        </w:trPr>
        <w:tc>
          <w:tcPr>
            <w:tcW w:w="374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7080" w:type="dxa"/>
            <w:vAlign w:val="bottom"/>
          </w:tcPr>
          <w:p>
            <w:pPr>
              <w:ind w:left="180"/>
              <w:spacing w:after="0"/>
              <w:rPr>
                <w:sz w:val="20"/>
                <w:szCs w:val="20"/>
                <w:color w:val="auto"/>
              </w:rPr>
            </w:pPr>
            <w:r>
              <w:rPr>
                <w:rFonts w:ascii="Arial" w:cs="Arial" w:eastAsia="Arial" w:hAnsi="Arial"/>
                <w:sz w:val="18"/>
                <w:szCs w:val="18"/>
                <w:color w:val="auto"/>
                <w:w w:val="93"/>
              </w:rPr>
              <w:t>If, at any time, we are not subject to the reporting requirements of Sections 13 or 15(d) of the</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0"/>
              </w:rPr>
              <w:t>Securities Exchange Act of 1934, as amended, or the Exchange Act, to file any periodic reports</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0"/>
              </w:rPr>
              <w:t>with the SEC, we agree to furnish to holders of the Notes and the Trustee, for the period of time</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1"/>
              </w:rPr>
              <w:t>during which the Notes are outstanding, our audited annual consolidated financial statements,</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2"/>
              </w:rPr>
              <w:t>within 90 days of our fiscal year end, and unaudited interim consolidated financial statements,</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2"/>
              </w:rPr>
              <w:t>within 45 days of our fiscal quarter end (other than our fourth fiscal quarter). All such financial</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89"/>
              </w:rPr>
              <w:t>statements will be prepared, in all material respects, in accordance with applicable United States</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generally accepted accounting principles, or GAAP.</w:t>
            </w:r>
          </w:p>
        </w:tc>
      </w:tr>
      <w:tr>
        <w:trPr>
          <w:trHeight w:val="222"/>
        </w:trPr>
        <w:tc>
          <w:tcPr>
            <w:tcW w:w="3740" w:type="dxa"/>
            <w:vAlign w:val="bottom"/>
          </w:tcPr>
          <w:p>
            <w:pPr>
              <w:spacing w:after="0"/>
              <w:rPr>
                <w:sz w:val="19"/>
                <w:szCs w:val="19"/>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The lien covenant included in the form of indenture will not apply to the Notes.</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Modifications to Events of Default</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89"/>
              </w:rPr>
              <w:t>The following Event of Default, as described in the prospectus attached to this prospectus supplement:</w:t>
            </w:r>
          </w:p>
        </w:tc>
      </w:tr>
      <w:tr>
        <w:trPr>
          <w:trHeight w:val="216"/>
        </w:trPr>
        <w:tc>
          <w:tcPr>
            <w:tcW w:w="374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7080" w:type="dxa"/>
            <w:vAlign w:val="bottom"/>
          </w:tcPr>
          <w:p>
            <w:pPr>
              <w:ind w:left="180"/>
              <w:spacing w:after="0"/>
              <w:rPr>
                <w:sz w:val="20"/>
                <w:szCs w:val="20"/>
                <w:color w:val="auto"/>
              </w:rPr>
            </w:pPr>
            <w:r>
              <w:rPr>
                <w:rFonts w:ascii="Arial" w:cs="Arial" w:eastAsia="Arial" w:hAnsi="Arial"/>
                <w:sz w:val="18"/>
                <w:szCs w:val="18"/>
                <w:color w:val="auto"/>
                <w:w w:val="89"/>
              </w:rPr>
              <w:t>we do not pay the principal of, or any premium on, a debt security of the series within five days of</w:t>
            </w:r>
          </w:p>
        </w:tc>
      </w:tr>
      <w:tr>
        <w:trPr>
          <w:trHeight w:val="222"/>
        </w:trPr>
        <w:tc>
          <w:tcPr>
            <w:tcW w:w="3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its due date with respect to the Notes</w:t>
            </w:r>
          </w:p>
        </w:tc>
      </w:tr>
      <w:tr>
        <w:trPr>
          <w:trHeight w:val="318"/>
        </w:trPr>
        <w:tc>
          <w:tcPr>
            <w:tcW w:w="3740" w:type="dxa"/>
            <w:vAlign w:val="bottom"/>
          </w:tcPr>
          <w:p>
            <w:pPr>
              <w:spacing w:after="0"/>
              <w:rPr>
                <w:sz w:val="24"/>
                <w:szCs w:val="24"/>
                <w:color w:val="auto"/>
              </w:rPr>
            </w:pP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has been revised to read as follows:</w:t>
            </w:r>
          </w:p>
        </w:tc>
      </w:tr>
      <w:tr>
        <w:trPr>
          <w:trHeight w:val="222"/>
        </w:trPr>
        <w:tc>
          <w:tcPr>
            <w:tcW w:w="37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7080" w:type="dxa"/>
            <w:vAlign w:val="bottom"/>
          </w:tcPr>
          <w:p>
            <w:pPr>
              <w:ind w:left="180"/>
              <w:spacing w:after="0"/>
              <w:rPr>
                <w:sz w:val="20"/>
                <w:szCs w:val="20"/>
                <w:color w:val="auto"/>
              </w:rPr>
            </w:pPr>
            <w:r>
              <w:rPr>
                <w:rFonts w:ascii="Arial" w:cs="Arial" w:eastAsia="Arial" w:hAnsi="Arial"/>
                <w:sz w:val="18"/>
                <w:szCs w:val="18"/>
                <w:color w:val="auto"/>
              </w:rPr>
              <w:t>we do not pay the principal of, or any premium on, any Note on its due date</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w w:val="97"/>
              </w:rPr>
              <w:t>Modifications to Remedies if an Event of Default</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w w:val="93"/>
              </w:rPr>
              <w:t>The following remedy if an Event of Default occurs, as described in the prospectus attached to this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Occurs</w:t>
            </w:r>
          </w:p>
        </w:tc>
        <w:tc>
          <w:tcPr>
            <w:tcW w:w="7580" w:type="dxa"/>
            <w:vAlign w:val="bottom"/>
            <w:gridSpan w:val="2"/>
          </w:tcPr>
          <w:p>
            <w:pPr>
              <w:ind w:left="260"/>
              <w:spacing w:after="0"/>
              <w:rPr>
                <w:sz w:val="20"/>
                <w:szCs w:val="20"/>
                <w:color w:val="auto"/>
              </w:rPr>
            </w:pPr>
            <w:r>
              <w:rPr>
                <w:rFonts w:ascii="Arial" w:cs="Arial" w:eastAsia="Arial" w:hAnsi="Arial"/>
                <w:sz w:val="18"/>
                <w:szCs w:val="18"/>
                <w:color w:val="auto"/>
              </w:rPr>
              <w:t>prospectus supplement:</w:t>
            </w:r>
          </w:p>
        </w:tc>
      </w:tr>
      <w:tr>
        <w:trPr>
          <w:trHeight w:val="216"/>
        </w:trPr>
        <w:tc>
          <w:tcPr>
            <w:tcW w:w="374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7080" w:type="dxa"/>
            <w:vAlign w:val="bottom"/>
          </w:tcPr>
          <w:p>
            <w:pPr>
              <w:ind w:left="180"/>
              <w:spacing w:after="0"/>
              <w:rPr>
                <w:sz w:val="20"/>
                <w:szCs w:val="20"/>
                <w:color w:val="auto"/>
              </w:rPr>
            </w:pPr>
            <w:r>
              <w:rPr>
                <w:rFonts w:ascii="Arial" w:cs="Arial" w:eastAsia="Arial" w:hAnsi="Arial"/>
                <w:sz w:val="18"/>
                <w:szCs w:val="18"/>
                <w:color w:val="auto"/>
                <w:w w:val="87"/>
              </w:rPr>
              <w:t>If an Event of Default has occurred and has not been cured or waived, the trustee or the holders of</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89"/>
              </w:rPr>
              <w:t>not less than 66.66% in principal amount of the debt securities of the affected series may declare</w:t>
            </w:r>
          </w:p>
        </w:tc>
      </w:tr>
      <w:tr>
        <w:trPr>
          <w:trHeight w:val="216"/>
        </w:trPr>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1"/>
              </w:rPr>
              <w:t>the entire principal amount of all the debt securities of that services to be due and immediately</w:t>
            </w:r>
          </w:p>
        </w:tc>
      </w:tr>
      <w:tr>
        <w:trPr>
          <w:trHeight w:val="222"/>
        </w:trPr>
        <w:tc>
          <w:tcPr>
            <w:tcW w:w="3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payable.</w:t>
            </w:r>
          </w:p>
        </w:tc>
      </w:tr>
      <w:tr>
        <w:trPr>
          <w:trHeight w:val="365"/>
        </w:trPr>
        <w:tc>
          <w:tcPr>
            <w:tcW w:w="3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80" w:type="dxa"/>
            <w:vAlign w:val="bottom"/>
          </w:tcPr>
          <w:p>
            <w:pPr>
              <w:ind w:left="136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SPECIFIC TERMS OF THE NOTES AND THE OFFERING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with respect to the Notes has been revised to read as follows:</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88"/>
              </w:rPr>
              <w:t>If an Event of Default has occurred and has not been cured or waived, the trustee or the holders of</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9"/>
              </w:rPr>
              <w:t>not less than 25% in principal amount of the debt securities of the affected series may declare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6"/>
              </w:rPr>
              <w:t>entire principal amount of all the debt securities of that services to be due and immediately</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payable.</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rPr>
              <w:t>Modifications to Merger or Consolidation</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89"/>
              </w:rPr>
              <w:t>The following conditions that must be met for us to consolidate or merge with another entity or to sell all</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6"/>
              </w:rPr>
              <w:t>or substantially all of our assets to another entity, as described in the prospectus attached to this</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prospectus supplement:</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92"/>
              </w:rPr>
              <w:t>if we do not survive such transaction or we convey, transfer or lease our properties and assets</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8"/>
              </w:rPr>
              <w:t>substantially as an entirety, the acquiring company must be a corporation, limited liability</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7"/>
              </w:rPr>
              <w:t>company, partnership or trust, or other corporate form, organized under the laws of any state of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9"/>
              </w:rPr>
              <w:t>United States or the District of Columbia, any country comprising the European Union, the United</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8"/>
              </w:rPr>
              <w:t>Kingdom or Japan and such company must agree to be legally responsible for our debt securities,</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3"/>
              </w:rPr>
              <w:t>and, if not already subject to the jurisdiction of any state of the United States or the District of</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0"/>
              </w:rPr>
              <w:t>Columbia, the new company must submit to such jurisdiction for all purposes with respect to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debt securities and appoint an agent for service of process;</w:t>
            </w:r>
          </w:p>
        </w:tc>
      </w:tr>
      <w:tr>
        <w:trPr>
          <w:trHeight w:val="222"/>
        </w:trPr>
        <w:tc>
          <w:tcPr>
            <w:tcW w:w="38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rPr>
              <w:t>alternatively, we must be the surviving company;</w:t>
            </w:r>
          </w:p>
        </w:tc>
      </w:tr>
      <w:tr>
        <w:trPr>
          <w:trHeight w:val="318"/>
        </w:trPr>
        <w:tc>
          <w:tcPr>
            <w:tcW w:w="3840" w:type="dxa"/>
            <w:vAlign w:val="bottom"/>
          </w:tcPr>
          <w:p>
            <w:pPr>
              <w:spacing w:after="0"/>
              <w:rPr>
                <w:sz w:val="24"/>
                <w:szCs w:val="24"/>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with respect to the Notes have been revised to read as follows:</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91"/>
              </w:rPr>
              <w:t>where we merge out of existence or sell our assets, the resulting entity must agree to be legally</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responsible for our obligations under the debt securities;</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w w:val="94"/>
              </w:rPr>
              <w:t>Modifications to Changes Requiring Your Approval</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In addition to the changes that cannot be made without your specific approval, as described in the</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0"/>
              </w:rPr>
              <w:t>prospectus attached to this prospectus supplement, the following change cannot be made without your</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specific approval:</w:t>
            </w:r>
          </w:p>
        </w:tc>
      </w:tr>
      <w:tr>
        <w:trPr>
          <w:trHeight w:val="222"/>
        </w:trPr>
        <w:tc>
          <w:tcPr>
            <w:tcW w:w="38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rPr>
              <w:t>adversely affect any right of repayment at the holder’s option.</w:t>
            </w:r>
          </w:p>
        </w:tc>
      </w:tr>
      <w:tr>
        <w:trPr>
          <w:trHeight w:val="318"/>
        </w:trPr>
        <w:tc>
          <w:tcPr>
            <w:tcW w:w="3840" w:type="dxa"/>
            <w:vAlign w:val="bottom"/>
          </w:tcPr>
          <w:p>
            <w:pPr>
              <w:spacing w:after="0"/>
              <w:rPr>
                <w:sz w:val="24"/>
                <w:szCs w:val="24"/>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88"/>
              </w:rPr>
              <w:t>The following change that cannot be made without your specific approval, as described in the prospectus</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attached to this prospectus supplement:</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89"/>
              </w:rPr>
              <w:t>at any time after a change of control has occurred, reduce the premium payable upon a change of</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control</w:t>
            </w:r>
          </w:p>
        </w:tc>
      </w:tr>
      <w:tr>
        <w:trPr>
          <w:trHeight w:val="324"/>
        </w:trPr>
        <w:tc>
          <w:tcPr>
            <w:tcW w:w="3840" w:type="dxa"/>
            <w:vAlign w:val="bottom"/>
          </w:tcPr>
          <w:p>
            <w:pPr>
              <w:spacing w:after="0"/>
              <w:rPr>
                <w:sz w:val="24"/>
                <w:szCs w:val="24"/>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does not apply to the Notes.</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rPr>
              <w:t>Global Clearance and Settlement Procedures</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5"/>
              </w:rPr>
              <w:t>Interests in the Notes will trade in DTC’s Same Day Funds Settlement System, and any permitted</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secondary market trading activity in such Notes will, therefore, be required by DTC to be settled in</w:t>
            </w:r>
          </w:p>
        </w:tc>
      </w:tr>
      <w:tr>
        <w:trPr>
          <w:trHeight w:val="222"/>
        </w:trPr>
        <w:tc>
          <w:tcPr>
            <w:tcW w:w="384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immediately available funds. None of the Company, the Trustee or the Paying Agent will have any</w:t>
            </w:r>
          </w:p>
        </w:tc>
      </w:tr>
    </w:tbl>
    <w:p>
      <w:pPr>
        <w:ind w:left="4000" w:right="160"/>
        <w:spacing w:after="0" w:line="261" w:lineRule="auto"/>
        <w:rPr>
          <w:sz w:val="20"/>
          <w:szCs w:val="20"/>
          <w:color w:val="auto"/>
        </w:rPr>
      </w:pPr>
      <w:r>
        <w:rPr>
          <w:rFonts w:ascii="Arial" w:cs="Arial" w:eastAsia="Arial" w:hAnsi="Arial"/>
          <w:sz w:val="18"/>
          <w:szCs w:val="18"/>
          <w:color w:val="auto"/>
        </w:rPr>
        <w:t>responsibility for the performance by DTC or its participants or indirect participants of their respective obligations under the rules and procedures governing their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both us and our consolidated Small Business Investment Company, or SBIC, subsidiary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“SBIC LP”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six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or the Credit Facility, the Small Business Administration, or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London Interbank Offered Rate, or LIBOR, or prime floor). Our overall portfolio consisted of 54 companies with an average investment size of $18.3 million, a weighted average yield on debt investments of 13.2%, and was invested 30% in senior secured loans, 19% in second lien secured debt, 40% in subordinated debt and 11% in preferred and common equity investments.</w:t>
      </w:r>
    </w:p>
    <w:p>
      <w:pPr>
        <w:spacing w:after="0" w:line="11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left="200" w:right="40" w:firstLine="443"/>
        <w:spacing w:after="0" w:line="323" w:lineRule="auto"/>
        <w:rPr>
          <w:sz w:val="20"/>
          <w:szCs w:val="20"/>
          <w:color w:val="auto"/>
        </w:rPr>
      </w:pPr>
      <w:r>
        <w:rPr>
          <w:rFonts w:ascii="Arial" w:cs="Arial" w:eastAsia="Arial" w:hAnsi="Arial"/>
          <w:sz w:val="15"/>
          <w:szCs w:val="15"/>
          <w:color w:val="auto"/>
        </w:rPr>
        <w:t>For the fiscal year ended September 30, 2012, we purchased $328.3 million of investments issued by 13 new and 17 existing portfolio companies with an overall weighted average yield of 13.3% on debt investments. For the fiscal years ended September 30, 2011 and 2010, we purchased $479.7 million of investments issued by 17 new and 11 existing portfolio companies with an overall average yield of 13.7% on debt investments and purchased $309.5 million of investments, issued by 17 new and 12 existing portfolio companies with an overall average yield of 14.9% on debt investments, respectively.</w:t>
      </w:r>
    </w:p>
    <w:p>
      <w:pPr>
        <w:spacing w:after="0" w:line="98"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For the fiscal year ended September 30, 2012, sales and repayments generated proceeds of $201.7 million. For the fiscal years ended September 30, 2011 and 2010, sales and repayments generated proceeds of $304.0 million and $145.2 million, respectively.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regulated investment company, or RIC, under the Internal Revenue Code of 1986, as amended, or the Code.</w:t>
      </w:r>
    </w:p>
    <w:p>
      <w:pPr>
        <w:spacing w:after="0" w:line="12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Our wholly owned SBIC subsidiary, PennantPark SBIC LP, was organized as a Delaware limited partnership in May 2010 and received a license from the SBA to operate as an SBIC under Section 301(c) of the Small Business Investment Act of 1958, as amended, or the 1958 Act, in July 2010.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should provide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18"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effects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2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20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1060" w:right="540" w:hanging="431"/>
        <w:spacing w:after="0" w:line="338" w:lineRule="auto"/>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on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80" w:hanging="431"/>
        <w:spacing w:after="0" w:line="296"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jc w:val="both"/>
        <w:ind w:left="1060" w:right="14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 financings</w:t>
      </w:r>
      <w:r>
        <w:rPr>
          <w:rFonts w:ascii="Arial" w:cs="Arial" w:eastAsia="Arial" w:hAnsi="Arial"/>
          <w:sz w:val="18"/>
          <w:szCs w:val="18"/>
          <w:b w:val="1"/>
          <w:bCs w:val="1"/>
          <w:color w:val="auto"/>
        </w:rPr>
        <w:t xml:space="preserve"> </w:t>
      </w:r>
      <w:r>
        <w:rPr>
          <w:rFonts w:ascii="Arial" w:cs="Arial" w:eastAsia="Arial" w:hAnsi="Arial"/>
          <w:sz w:val="18"/>
          <w:szCs w:val="18"/>
          <w:color w:val="auto"/>
        </w:rPr>
        <w:t>were completed between the years 2004 and 2007, which will mature in the next few years. This supply of opportunities coupled with a lack of demand offers attractive risk-adjusted returns to investors.</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60" w:firstLine="443"/>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8"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in this prospectus supplement and “Investment Objectives and Policies—Investment Selection Criteria” in the accompanying prospectus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left="200" w:right="340" w:firstLine="443"/>
        <w:spacing w:after="0" w:line="298" w:lineRule="auto"/>
        <w:rPr>
          <w:sz w:val="20"/>
          <w:szCs w:val="20"/>
          <w:color w:val="auto"/>
        </w:rPr>
      </w:pPr>
      <w:r>
        <w:rPr>
          <w:rFonts w:ascii="Arial" w:cs="Arial" w:eastAsia="Arial" w:hAnsi="Arial"/>
          <w:sz w:val="16"/>
          <w:szCs w:val="16"/>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relationships, and access to market information to identify investment candidates and to structure investments efficiently and effectively.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Value orientation and positive cash flow</w:t>
      </w:r>
    </w:p>
    <w:p>
      <w:pPr>
        <w:spacing w:after="0" w:line="9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Experienced management and established financial sponsor relationships</w:t>
      </w:r>
    </w:p>
    <w:p>
      <w:pPr>
        <w:spacing w:after="0" w:line="90"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Strong and defensible competitive market positions</w:t>
      </w:r>
    </w:p>
    <w:p>
      <w:pPr>
        <w:spacing w:after="0" w:line="90"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Viable exit strategy</w:t>
      </w:r>
    </w:p>
    <w:p>
      <w:pPr>
        <w:spacing w:after="0" w:line="90" w:lineRule="exact"/>
        <w:rPr>
          <w:sz w:val="20"/>
          <w:szCs w:val="20"/>
          <w:color w:val="auto"/>
        </w:rPr>
      </w:pPr>
    </w:p>
    <w:p>
      <w:pPr>
        <w:ind w:left="200" w:right="40" w:firstLine="443"/>
        <w:spacing w:after="0" w:line="318" w:lineRule="auto"/>
        <w:rPr>
          <w:sz w:val="20"/>
          <w:szCs w:val="20"/>
          <w:color w:val="auto"/>
        </w:rPr>
      </w:pPr>
      <w:r>
        <w:rPr>
          <w:rFonts w:ascii="Arial" w:cs="Arial" w:eastAsia="Arial" w:hAnsi="Arial"/>
          <w:sz w:val="15"/>
          <w:szCs w:val="15"/>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 transaction.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8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maintain a multi-currency $380.0 million Credit Facility which matures in February 2016 and is secured by substantially all of our investment portfolio assets (excluding the assets of SBIC LP), under which we had $145.0 million (including a $35.5 million temporary draw) and $240.9 million of debt outstanding with a weighted average interest rate of 3.49% and 1.27% at September 30, 2012 and 2011 exclusive of the fee on undrawn commitments of 0.50% and 0.20%, respectively. Pricing of borrowings under our current Credit Facility is set at 275 basis points over LIBOR. As of September 30, 2012 and 2011, we had $235.0 million and $74.1 million, respectively, available to us under our Credit Facility. We believe that our capital resources will provide us with the flexibility to take advantage of market opportunities when they arise. In addition, any future additional debt capital we incur, to the extent it is available under current market conditions, may be issued at a higher cost and on less favorable terms and conditions than our current Credit Facility.</w:t>
      </w:r>
    </w:p>
    <w:p>
      <w:pPr>
        <w:spacing w:after="0" w:line="118"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As of September 30, 2012 and 2011, SBIC LP had drawn $150.0 million,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143"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4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43" w:lineRule="exact"/>
        <w:rPr>
          <w:sz w:val="20"/>
          <w:szCs w:val="20"/>
          <w:color w:val="auto"/>
        </w:rPr>
      </w:pPr>
    </w:p>
    <w:p>
      <w:pPr>
        <w:jc w:val="both"/>
        <w:ind w:left="200" w:right="60" w:firstLine="443"/>
        <w:spacing w:after="0" w:line="306" w:lineRule="auto"/>
        <w:rPr>
          <w:sz w:val="20"/>
          <w:szCs w:val="20"/>
          <w:color w:val="auto"/>
        </w:rPr>
      </w:pPr>
      <w:r>
        <w:rPr>
          <w:rFonts w:ascii="Arial" w:cs="Arial" w:eastAsia="Arial" w:hAnsi="Arial"/>
          <w:sz w:val="16"/>
          <w:szCs w:val="16"/>
          <w:color w:val="auto"/>
        </w:rPr>
        <w:t>Our wholly-owned subsidiary, SBIC LP, received a license from the SBA to operate as an SBIC under Section 301(c) of the 1958 Act and is regulated by the SBA. The SBA regulates, among other matters, SBIC LP’s investing activities and periodically examines their operations. We serve as the investment adviser and administrator to SBIC LP. See “Regulation” in the accompanying prospectus for more information.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September 30, 2012,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On October 25, 2012, we sold an additional 700,000 shares of common stock at a public offering price of $10.82 per share generating gross proceeds of approximately $7.6 million and net proceeds of approximately $7.3 million after underwriting discounts and offering expenses payable by us, from the underwriters’ partial exercise of the option to purchase additional shares we granted to them in connection with the offering of 9,000,000 shares of common stock that closed on September 28, 2012.</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6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564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940" w:firstLine="443"/>
        <w:spacing w:after="0" w:line="268" w:lineRule="auto"/>
        <w:rPr>
          <w:sz w:val="20"/>
          <w:szCs w:val="20"/>
          <w:color w:val="auto"/>
        </w:rPr>
      </w:pPr>
      <w:r>
        <w:rPr>
          <w:rFonts w:ascii="Arial" w:cs="Arial" w:eastAsia="Arial" w:hAnsi="Arial"/>
          <w:sz w:val="18"/>
          <w:szCs w:val="18"/>
          <w:color w:val="auto"/>
        </w:rPr>
        <w:t>For the years ended September 30, 2012, 2011, 2010, 2009 and 2008, our ratios of earnings to fixed charges were 5.4, 1.9, 4.5, 7.7 and (6.5), respectively. See “Ratio of Earnings to Fixed Charges” in this prospectus supplement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20" w:firstLine="443"/>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90"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Aerospace and Defense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Environmental Services</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Auto Sector</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Financial Services</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Beverage, Food and Tobacco</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Grocery</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Healthcare, Education and Childcare</w:t>
            </w:r>
          </w:p>
        </w:tc>
        <w:tc>
          <w:tcPr>
            <w:tcW w:w="0" w:type="dxa"/>
            <w:vAlign w:val="bottom"/>
          </w:tcPr>
          <w:p>
            <w:pPr>
              <w:spacing w:after="0"/>
              <w:rPr>
                <w:sz w:val="1"/>
                <w:szCs w:val="1"/>
                <w:color w:val="auto"/>
              </w:rPr>
            </w:pPr>
          </w:p>
        </w:tc>
      </w:tr>
      <w:tr>
        <w:trPr>
          <w:trHeight w:val="291"/>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Buildings and Real Estate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w w:val="93"/>
              </w:rPr>
              <w:t>Home &amp; Office Furnishings, Housewares &amp; Durable Consumer</w:t>
            </w:r>
          </w:p>
        </w:tc>
        <w:tc>
          <w:tcPr>
            <w:tcW w:w="0" w:type="dxa"/>
            <w:vAlign w:val="bottom"/>
          </w:tcPr>
          <w:p>
            <w:pPr>
              <w:spacing w:after="0"/>
              <w:rPr>
                <w:sz w:val="1"/>
                <w:szCs w:val="1"/>
                <w:color w:val="auto"/>
              </w:rPr>
            </w:pPr>
          </w:p>
        </w:tc>
      </w:tr>
      <w:tr>
        <w:trPr>
          <w:trHeight w:val="222"/>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Business Services</w:t>
            </w:r>
          </w:p>
        </w:tc>
        <w:tc>
          <w:tcPr>
            <w:tcW w:w="130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Hotels, Motels, Inns and Gaming</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Cable Television</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Cargo Transportation</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Leisure, Amusement, Motion Picture, Entertainment</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rPr>
              <w:t>•   Chemicals, Plastics and Rubber</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Logistics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Communications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Manufacturing/Basic Industries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Consumer Products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Media</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rPr>
              <w:t>•   Containers Packaging &amp; Glass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Mining, Steel, Iron and Non-Precious Metals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Distribution</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Oil and Gas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Diversified/Conglomerate Manufacturing</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Other Media</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Diversified/Conglomerate Services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Personal, Food and Miscellaneous Services</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w w:val="93"/>
              </w:rPr>
              <w:t>•   Diversified Natural Resources, Precious Metals and Minerals</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Printing and Publishing</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Education</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Retail Stores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Electronics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Energy/Utilities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8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S-12</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Listed below are our top ten portfolio companies and industries represented as a percentage of our consolidated portfolio assets (excluding cash equivalents)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2012 and 2011:</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4060" w:type="dxa"/>
            <w:vAlign w:val="bottom"/>
          </w:tcPr>
          <w:p>
            <w:pPr>
              <w:spacing w:after="0"/>
              <w:rPr>
                <w:sz w:val="15"/>
                <w:szCs w:val="15"/>
                <w:color w:val="auto"/>
              </w:rPr>
            </w:pPr>
          </w:p>
        </w:tc>
        <w:tc>
          <w:tcPr>
            <w:tcW w:w="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5"/>
                <w:szCs w:val="15"/>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Portfolio Company</w:t>
            </w:r>
          </w:p>
        </w:tc>
        <w:tc>
          <w:tcPr>
            <w:tcW w:w="36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181"/>
        </w:trPr>
        <w:tc>
          <w:tcPr>
            <w:tcW w:w="5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rPr>
              <w:t>Magnum Hunter Resources Corporation</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4"/>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(Eureka Hunter Pipeline, LLC)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8"/>
        </w:trPr>
        <w:tc>
          <w:tcPr>
            <w:tcW w:w="5240" w:type="dxa"/>
            <w:vAlign w:val="bottom"/>
            <w:gridSpan w:val="3"/>
          </w:tcPr>
          <w:p>
            <w:pPr>
              <w:spacing w:after="0"/>
              <w:rPr>
                <w:sz w:val="20"/>
                <w:szCs w:val="20"/>
                <w:color w:val="auto"/>
              </w:rPr>
            </w:pPr>
            <w:r>
              <w:rPr>
                <w:rFonts w:ascii="Arial" w:cs="Arial" w:eastAsia="Arial" w:hAnsi="Arial"/>
                <w:sz w:val="18"/>
                <w:szCs w:val="18"/>
                <w:color w:val="auto"/>
              </w:rPr>
              <w:t>Magnum Hunter Resources Corporation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gridSpan w:val="3"/>
          </w:tcPr>
          <w:p>
            <w:pPr>
              <w:ind w:left="180"/>
              <w:spacing w:after="0"/>
              <w:rPr>
                <w:sz w:val="20"/>
                <w:szCs w:val="20"/>
                <w:color w:val="auto"/>
              </w:rPr>
            </w:pPr>
            <w:r>
              <w:rPr>
                <w:rFonts w:ascii="Arial" w:cs="Arial" w:eastAsia="Arial" w:hAnsi="Arial"/>
                <w:sz w:val="18"/>
                <w:szCs w:val="18"/>
                <w:color w:val="auto"/>
              </w:rPr>
              <w:t>(Eureka Hunter Pipeline, LLC)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Last Mile Funding Corp. (3PD,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7"/>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08"/>
        </w:trPr>
        <w:tc>
          <w:tcPr>
            <w:tcW w:w="5240" w:type="dxa"/>
            <w:vAlign w:val="bottom"/>
            <w:gridSpan w:val="3"/>
          </w:tcPr>
          <w:p>
            <w:pPr>
              <w:spacing w:after="0"/>
              <w:rPr>
                <w:sz w:val="20"/>
                <w:szCs w:val="20"/>
                <w:color w:val="auto"/>
              </w:rPr>
            </w:pPr>
            <w:r>
              <w:rPr>
                <w:rFonts w:ascii="Arial" w:cs="Arial" w:eastAsia="Arial" w:hAnsi="Arial"/>
                <w:sz w:val="18"/>
                <w:szCs w:val="18"/>
                <w:color w:val="auto"/>
              </w:rPr>
              <w:t>New Service Champ Holdings, Inc. (Service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Kadmon Pharmaceuticals LLC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gridSpan w:val="3"/>
          </w:tcPr>
          <w:p>
            <w:pPr>
              <w:ind w:left="180"/>
              <w:spacing w:after="0"/>
              <w:rPr>
                <w:sz w:val="20"/>
                <w:szCs w:val="20"/>
                <w:color w:val="auto"/>
              </w:rPr>
            </w:pPr>
            <w:r>
              <w:rPr>
                <w:rFonts w:ascii="Arial" w:cs="Arial" w:eastAsia="Arial" w:hAnsi="Arial"/>
                <w:sz w:val="18"/>
                <w:szCs w:val="18"/>
                <w:color w:val="auto"/>
              </w:rPr>
              <w:t>Champ Inc.)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(f/k/a Three River Pharmaceuticals LLC)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7"/>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American Gilsonite Company</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LTI Flexible Products,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Learning Care Group, Inc.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Prince Mineral Holdings Corp.</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36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4720" w:type="dxa"/>
            <w:vAlign w:val="bottom"/>
            <w:gridSpan w:val="2"/>
          </w:tcPr>
          <w:p>
            <w:pPr>
              <w:spacing w:after="0"/>
              <w:rPr>
                <w:sz w:val="24"/>
                <w:szCs w:val="24"/>
                <w:color w:val="auto"/>
              </w:rPr>
            </w:pPr>
          </w:p>
        </w:tc>
        <w:tc>
          <w:tcPr>
            <w:tcW w:w="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4300" w:type="dxa"/>
            <w:vAlign w:val="bottom"/>
            <w:gridSpan w:val="2"/>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r>
      <w:tr>
        <w:trPr>
          <w:trHeight w:val="203"/>
        </w:trPr>
        <w:tc>
          <w:tcPr>
            <w:tcW w:w="52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Healthcare, Education &amp; Childcare</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Electronics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10%</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Auto Sector</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147"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PennantPark Credit Opportunities Fund, L.P., a private investment fund. Accordingly, they may have obligations to investors in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 in the accompanying prospectus.</w:t>
      </w:r>
    </w:p>
    <w:p>
      <w:pPr>
        <w:spacing w:after="0" w:line="121" w:lineRule="exact"/>
        <w:rPr>
          <w:sz w:val="20"/>
          <w:szCs w:val="20"/>
          <w:color w:val="auto"/>
        </w:rPr>
      </w:pPr>
    </w:p>
    <w:p>
      <w:pPr>
        <w:ind w:left="200" w:right="760" w:firstLine="443"/>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9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5392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value of our assets, as well as the market price of our securities, will fluctuate. Our investments may be risky, and you may lose all or part of your investment in us. See “Risk Factors” beginning on page S-16 in this prospectus supplement and beginning on page 8 of the accompanying prospectus, and the other information included in the accompanying prospectus, for additional discussion of factors you should carefully consider before deciding to invest in the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supplement, including Management’s Discussion and Analysis of Financial Condition and Results of Operations,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or value of our notes may decline, and you may lose all or part of your investment.</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2012, we had $145.0 million (including a $35.5 million temporary draw) outstanding under the Credit Facility. The Credit Facility is secured by substantially all of the assets in our portfolio (other than assets held by SBIC LP), and the indebtedness under the Credit Facility is therefore effectively senior in right of payment to the Notes to the extent of the value of such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are or act as a guarantor of the Notes and the Notes are not required to be guaranteed by any subsidiaries we may acquire or create in the future. Our secured indebtedness with respect to the SBA debentures is held through our wholly owned subsidiary SBIC LP. The assets of any such subsidiary are not directly available to satisfy the claims of our creditors, including holders of the Notes.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As of September 30, 2012, SBIC LP had $150.0 million of SBA debentures outstanding. All of such indebtedness would be structurally senior to the Notes. In addition, our subsidiaries may incur substantial additional indebtedness in the future, all of which would be structurally senior to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 under which the Notes will be issued will contain limited protection for holders of the Notes.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62" w:lineRule="exact"/>
        <w:rPr>
          <w:sz w:val="20"/>
          <w:szCs w:val="20"/>
          <w:color w:val="auto"/>
        </w:rPr>
      </w:pPr>
    </w:p>
    <w:p>
      <w:pPr>
        <w:ind w:left="900" w:hanging="446"/>
        <w:spacing w:after="0" w:line="290"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37"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“Risk Factors—Risks Relating to Our Business and Structure” including “Risk Factors—Risks Relating to Our Business and Structure—Market developments may adversely affect our business and results of operations by reducing availability under our Credit Facility and SBIC LP’s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An active trading market for the Notes may not develop, which could limit the market price of the Notes or your ability to sell them. If a rating agency assigns the Notes a non-investment grade rating, the Notes may be subject to greater price volatility than similar securities without such a rating.</w:t>
      </w:r>
    </w:p>
    <w:p>
      <w:pPr>
        <w:ind w:firstLine="456"/>
        <w:spacing w:after="0" w:line="288" w:lineRule="auto"/>
        <w:rPr>
          <w:sz w:val="20"/>
          <w:szCs w:val="20"/>
          <w:color w:val="auto"/>
        </w:rPr>
      </w:pPr>
      <w:r>
        <w:rPr>
          <w:rFonts w:ascii="Arial" w:cs="Arial" w:eastAsia="Arial" w:hAnsi="Arial"/>
          <w:sz w:val="16"/>
          <w:szCs w:val="16"/>
          <w:color w:val="auto"/>
        </w:rPr>
        <w:t>The Notes are a new issue of debt securities for which currently there is no trading market. Although we expect to list the Notes on the New York Stock Exchange within 30 days of the original issue date,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If a rating agency assigns the Notes a non-investment grade rating, the Notes may be subject to greater price volatility than securities of similar maturity without such a non-investment grade rating.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Payments made under the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 for more information.</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estimate that net proceeds we will receive from the sale of the $67.5 million aggregate principal amount of the Notes in this offering will be approximately $65.2 million (or approximately $75.0 million if the underwriters fully exercise their overallotments), in each case based on a public offering price of 100% of par, after deducting the underwriting discounts and commissions of approximately $2.0 million (or approximately $2.3 million if the underwriters fully exercise their overallotment option) payable by us and estimated offering expenses of approximately $300,000 payable by us.</w:t>
      </w:r>
    </w:p>
    <w:p>
      <w:pPr>
        <w:spacing w:after="0" w:line="11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September 30, 2012, we had $235.0 million of unused borrowing capacity, subject to maintenance of the applicable ratio of total assets to debt test as defined under the 1940 Act, and $145.0 million (including a $35.5 million temporary draw) in borrowings outstanding under our $380.0 million Credit Facility. Borrowings under our Credit Facility bear interest at an annual rate equal to LIBOR plus 275 basis points. At September 30, 2012, we had a weighted average interest rate on our Credit Facility at the time of 3.49%. The Credit Facility is a revolving facility with a stated maturity date of February 21, 2016 and is secured by substantially all of the assets in our investment portfolio, excluding assets of SBIC LP. Amounts repaid under our Credit Facility remain available for future borrowings. See “Management’s Discussion and Analysis of Financial Condition and Results of Operations” in this prospectus supplement and the accompanying prospectus for more information.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table sets forth our cash and capitalization on September 30, 2012 (1) on an actual basis and (2) on an as-adjusted basis to reflect the effects of the sale of $67,500,000 aggregate principal amount of Notes in this offering based on a public offering price of 100% of par, after deducting the underwriting discounts and commissions of $2,025,000 payable by us and estimated offering expenses of approximately $300,000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784"/>
              <w:spacing w:after="0"/>
              <w:rPr>
                <w:sz w:val="20"/>
                <w:szCs w:val="20"/>
                <w:color w:val="auto"/>
              </w:rPr>
            </w:pPr>
            <w:r>
              <w:rPr>
                <w:rFonts w:ascii="Arial" w:cs="Arial" w:eastAsia="Arial" w:hAnsi="Arial"/>
                <w:sz w:val="14"/>
                <w:szCs w:val="14"/>
                <w:b w:val="1"/>
                <w:bCs w:val="1"/>
                <w:color w:val="auto"/>
              </w:rPr>
              <w:t>As of September 30,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16"/>
              <w:spacing w:after="0" w:line="115" w:lineRule="exact"/>
              <w:rPr>
                <w:sz w:val="20"/>
                <w:szCs w:val="20"/>
                <w:color w:val="auto"/>
              </w:rPr>
            </w:pPr>
            <w:r>
              <w:rPr>
                <w:rFonts w:ascii="Arial" w:cs="Arial" w:eastAsia="Arial" w:hAnsi="Arial"/>
                <w:sz w:val="12"/>
                <w:szCs w:val="12"/>
                <w:b w:val="1"/>
                <w:bCs w:val="1"/>
                <w:color w:val="auto"/>
              </w:rPr>
              <w:t>As adjusted for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5"/>
                <w:szCs w:val="15"/>
                <w:color w:val="auto"/>
              </w:rPr>
            </w:pPr>
          </w:p>
        </w:tc>
        <w:tc>
          <w:tcPr>
            <w:tcW w:w="1200" w:type="dxa"/>
            <w:vAlign w:val="bottom"/>
            <w:gridSpan w:val="2"/>
          </w:tcPr>
          <w:p>
            <w:pPr>
              <w:jc w:val="right"/>
              <w:ind w:right="264"/>
              <w:spacing w:after="0" w:line="176" w:lineRule="exact"/>
              <w:rPr>
                <w:sz w:val="20"/>
                <w:szCs w:val="20"/>
                <w:color w:val="auto"/>
              </w:rPr>
            </w:pPr>
            <w:r>
              <w:rPr>
                <w:rFonts w:ascii="Arial" w:cs="Arial" w:eastAsia="Arial" w:hAnsi="Arial"/>
                <w:sz w:val="13"/>
                <w:szCs w:val="13"/>
                <w:b w:val="1"/>
                <w:bCs w:val="1"/>
                <w:color w:val="auto"/>
                <w:w w:val="97"/>
              </w:rPr>
              <w:t>the offering</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72,734,453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1,018,967,531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w w:val="86"/>
              </w:rPr>
              <w:t>1,018,967,531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(cost—$145,000,000)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144,452,500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99"/>
              </w:rPr>
              <w:t>144,452,500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SBA debentures (cost—$150,000,000)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150,000,000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w w:val="99"/>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Notes (cost—$67,500,000)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67,500,000</w:t>
            </w: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65,514,503 shares are issued and outstanding. Par value is $0.001 per share and 100,000,000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are authorized.</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65,514</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744,704,825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w w:val="99"/>
              </w:rPr>
              <w:t>744,704,825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479,397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(60,273,037)</w:t>
            </w:r>
          </w:p>
        </w:tc>
        <w:tc>
          <w:tcPr>
            <w:tcW w:w="80" w:type="dxa"/>
            <w:vAlign w:val="bottom"/>
          </w:tcPr>
          <w:p>
            <w:pPr>
              <w:spacing w:after="0"/>
              <w:rPr>
                <w:sz w:val="18"/>
                <w:szCs w:val="18"/>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(18,132,152)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547,500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669,717,047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99"/>
              </w:rPr>
              <w:t>667,392,047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capitalization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964,169,547</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4"/>
              <w:spacing w:after="0"/>
              <w:rPr>
                <w:sz w:val="20"/>
                <w:szCs w:val="20"/>
                <w:color w:val="auto"/>
              </w:rPr>
            </w:pPr>
            <w:r>
              <w:rPr>
                <w:rFonts w:ascii="Arial" w:cs="Arial" w:eastAsia="Arial" w:hAnsi="Arial"/>
                <w:sz w:val="18"/>
                <w:szCs w:val="18"/>
                <w:color w:val="auto"/>
                <w:w w:val="86"/>
              </w:rPr>
              <w:t>1,029,344,547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for this offering nor the 700,000 shares issued on October 25, 2012 at the public offering price of $10.82 per share and any shares issued pursuant to our dividend reinvestment plan.</w:t>
      </w:r>
    </w:p>
    <w:p>
      <w:pPr>
        <w:ind w:left="460" w:right="2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net proceeds from this offering are invested in cash equivalents. You should read this table together with “Use of Proceeds” set forth in this prospectus supplement and in the accompanying prospectus for more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September 30, 2012, 2011, 2010, 2009 and 2008, the ratios of earnings to fixed charges of ours computed as set forth below,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88"/>
              </w:rPr>
              <w:t>For the Fiscal Years Ended September 30,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57,069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52,645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32,075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22,719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(losses) gains on investments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(12,798)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19,082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(58,641)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63,353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16,535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(40,703)</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11,681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3,672</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4,629</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38"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and SBA debentures and amortization of debt issuance costs on our SBA debentures.</w:t>
      </w: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would need to generate additional earnings of $47,012 to achieve a coverage ratio of one-to-one for the year ended September 30, 2008.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financial data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2012, 2011, 2010, 2009 and 2008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this prospectus supplement and in the accompanying prospectus.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26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9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9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760" w:type="dxa"/>
            <w:vAlign w:val="bottom"/>
            <w:gridSpan w:val="3"/>
          </w:tcPr>
          <w:p>
            <w:pPr>
              <w:jc w:val="right"/>
              <w:ind w:right="700"/>
              <w:spacing w:after="0"/>
              <w:rPr>
                <w:sz w:val="20"/>
                <w:szCs w:val="20"/>
                <w:color w:val="auto"/>
              </w:rPr>
            </w:pPr>
            <w:r>
              <w:rPr>
                <w:rFonts w:ascii="Arial" w:cs="Arial" w:eastAsia="Arial" w:hAnsi="Arial"/>
                <w:sz w:val="18"/>
                <w:szCs w:val="18"/>
                <w:color w:val="auto"/>
              </w:rPr>
              <w:t>$  113,392</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$ 91,738</w:t>
            </w:r>
          </w:p>
        </w:tc>
        <w:tc>
          <w:tcPr>
            <w:tcW w:w="44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$ 60,140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$ 45,119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28,065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57,069</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52,645</w:t>
            </w:r>
          </w:p>
        </w:tc>
        <w:tc>
          <w:tcPr>
            <w:tcW w:w="44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32,075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(42,382)</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(15,539)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13,083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(59,259)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5"/>
              </w:rPr>
              <w:t>Net increase(decrease) in net assets resulting from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63,353</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10,263</w:t>
            </w:r>
          </w:p>
        </w:tc>
        <w:tc>
          <w:tcPr>
            <w:tcW w:w="440" w:type="dxa"/>
            <w:vAlign w:val="bottom"/>
          </w:tcPr>
          <w:p>
            <w:pPr>
              <w:spacing w:after="0"/>
              <w:rPr>
                <w:sz w:val="19"/>
                <w:szCs w:val="19"/>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16,535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35,802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(40,703)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asset value (at year end)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10.69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7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(0.53)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0.62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increase (decrease) in net assets resulting from operations</w:t>
            </w:r>
            <w:r>
              <w:rPr>
                <w:rFonts w:ascii="Arial" w:cs="Arial" w:eastAsia="Arial" w:hAnsi="Arial"/>
                <w:sz w:val="11"/>
                <w:szCs w:val="11"/>
                <w:color w:val="auto"/>
                <w:w w:val="91"/>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0.56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1,018,968</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928,738</w:t>
            </w:r>
          </w:p>
        </w:tc>
        <w:tc>
          <w:tcPr>
            <w:tcW w:w="44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711,494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512,381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419,811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990,480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827,549</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664,724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469,760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294,452</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388,792</w:t>
            </w:r>
          </w:p>
        </w:tc>
        <w:tc>
          <w:tcPr>
            <w:tcW w:w="44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233,641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175,475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4"/>
              </w:rPr>
              <w:t>Payable for investments purchased and unfunded investments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55,705</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74,988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669,717</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462,657</w:t>
            </w:r>
          </w:p>
        </w:tc>
        <w:tc>
          <w:tcPr>
            <w:tcW w:w="440" w:type="dxa"/>
            <w:vAlign w:val="bottom"/>
          </w:tcPr>
          <w:p>
            <w:pPr>
              <w:spacing w:after="0"/>
              <w:rPr>
                <w:sz w:val="19"/>
                <w:szCs w:val="19"/>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386,575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300,580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210,728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28.71%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(7.37)%</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44.79%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30.39%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1"/>
                <w:szCs w:val="11"/>
                <w:color w:val="auto"/>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1"/>
                <w:szCs w:val="11"/>
                <w:color w:val="auto"/>
              </w:rPr>
              <w:t>(5)</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12.7%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fair value in the case of our Credit Facility (except for 2008).</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$30,806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$ 29,385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$26,362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$26,839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$16,742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7"/>
          </w:tcPr>
          <w:p>
            <w:pPr>
              <w:ind w:left="200"/>
              <w:spacing w:after="0"/>
              <w:rPr>
                <w:sz w:val="20"/>
                <w:szCs w:val="20"/>
                <w:color w:val="auto"/>
              </w:rPr>
            </w:pPr>
            <w:r>
              <w:rPr>
                <w:rFonts w:ascii="Arial" w:cs="Arial" w:eastAsia="Arial" w:hAnsi="Arial"/>
                <w:sz w:val="18"/>
                <w:szCs w:val="18"/>
                <w:color w:val="auto"/>
                <w:w w:val="88"/>
              </w:rPr>
              <w:t>$ 15,571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4"/>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9,759</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$14,997</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ind w:left="200"/>
              <w:spacing w:after="0"/>
              <w:rPr>
                <w:sz w:val="20"/>
                <w:szCs w:val="20"/>
                <w:color w:val="auto"/>
              </w:rPr>
            </w:pPr>
            <w:r>
              <w:rPr>
                <w:rFonts w:ascii="Arial" w:cs="Arial" w:eastAsia="Arial" w:hAnsi="Arial"/>
                <w:sz w:val="18"/>
                <w:szCs w:val="18"/>
                <w:color w:val="auto"/>
              </w:rPr>
              <w:t>$ (12,151)</w:t>
            </w:r>
          </w:p>
        </w:tc>
        <w:tc>
          <w:tcPr>
            <w:tcW w:w="7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w w:val="98"/>
              </w:rPr>
              <w:t>$16,638</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$17,690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7"/>
          </w:tcPr>
          <w:p>
            <w:pPr>
              <w:jc w:val="right"/>
              <w:ind w:right="40"/>
              <w:spacing w:after="0"/>
              <w:rPr>
                <w:sz w:val="20"/>
                <w:szCs w:val="20"/>
                <w:color w:val="auto"/>
              </w:rPr>
            </w:pPr>
            <w:r>
              <w:rPr>
                <w:rFonts w:ascii="Arial" w:cs="Arial" w:eastAsia="Arial" w:hAnsi="Arial"/>
                <w:sz w:val="18"/>
                <w:szCs w:val="18"/>
                <w:color w:val="auto"/>
                <w:w w:val="98"/>
              </w:rPr>
              <w:t>$26,397</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$15,846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4"/>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10.38</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10.19</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10.40</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10.09</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$ 26,139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8"/>
              </w:rPr>
              <w:t>$ 22,908</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$22,712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$19,979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220" w:type="dxa"/>
            <w:vAlign w:val="bottom"/>
            <w:gridSpan w:val="6"/>
          </w:tcPr>
          <w:p>
            <w:pPr>
              <w:jc w:val="right"/>
              <w:ind w:right="220"/>
              <w:spacing w:after="0"/>
              <w:rPr>
                <w:sz w:val="20"/>
                <w:szCs w:val="20"/>
                <w:color w:val="auto"/>
              </w:rPr>
            </w:pPr>
            <w:r>
              <w:rPr>
                <w:rFonts w:ascii="Arial" w:cs="Arial" w:eastAsia="Arial" w:hAnsi="Arial"/>
                <w:sz w:val="18"/>
                <w:szCs w:val="18"/>
                <w:color w:val="auto"/>
              </w:rPr>
              <w:t>$ 15,095</w:t>
            </w:r>
          </w:p>
        </w:tc>
        <w:tc>
          <w:tcPr>
            <w:tcW w:w="860" w:type="dxa"/>
            <w:vAlign w:val="bottom"/>
            <w:gridSpan w:val="8"/>
          </w:tcPr>
          <w:p>
            <w:pPr>
              <w:ind w:left="220"/>
              <w:spacing w:after="0"/>
              <w:rPr>
                <w:sz w:val="20"/>
                <w:szCs w:val="20"/>
                <w:color w:val="auto"/>
              </w:rPr>
            </w:pPr>
            <w:r>
              <w:rPr>
                <w:rFonts w:ascii="Arial" w:cs="Arial" w:eastAsia="Arial" w:hAnsi="Arial"/>
                <w:sz w:val="18"/>
                <w:szCs w:val="18"/>
                <w:color w:val="auto"/>
                <w:w w:val="88"/>
              </w:rPr>
              <w:t>$ 13,220</w:t>
            </w:r>
          </w:p>
        </w:tc>
        <w:tc>
          <w:tcPr>
            <w:tcW w:w="340" w:type="dxa"/>
            <w:vAlign w:val="bottom"/>
          </w:tcPr>
          <w:p>
            <w:pPr>
              <w:spacing w:after="0"/>
              <w:rPr>
                <w:sz w:val="18"/>
                <w:szCs w:val="18"/>
                <w:color w:val="auto"/>
              </w:rPr>
            </w:pP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$13,159</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32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(46,260)</w:t>
            </w:r>
          </w:p>
        </w:tc>
        <w:tc>
          <w:tcPr>
            <w:tcW w:w="1200" w:type="dxa"/>
            <w:vAlign w:val="bottom"/>
            <w:gridSpan w:val="9"/>
            <w:shd w:val="clear" w:color="auto" w:fill="CCEEFF"/>
          </w:tcPr>
          <w:p>
            <w:pPr>
              <w:ind w:left="220"/>
              <w:spacing w:after="0"/>
              <w:rPr>
                <w:sz w:val="20"/>
                <w:szCs w:val="20"/>
                <w:color w:val="auto"/>
              </w:rPr>
            </w:pPr>
            <w:r>
              <w:rPr>
                <w:rFonts w:ascii="Arial" w:cs="Arial" w:eastAsia="Arial" w:hAnsi="Arial"/>
                <w:sz w:val="18"/>
                <w:szCs w:val="18"/>
                <w:color w:val="auto"/>
              </w:rPr>
              <w:t>$ (10,901)</w:t>
            </w: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3220" w:type="dxa"/>
            <w:vAlign w:val="bottom"/>
            <w:gridSpan w:val="6"/>
          </w:tcPr>
          <w:p>
            <w:pPr>
              <w:jc w:val="right"/>
              <w:ind w:right="160"/>
              <w:spacing w:after="0"/>
              <w:rPr>
                <w:sz w:val="20"/>
                <w:szCs w:val="20"/>
                <w:color w:val="auto"/>
              </w:rPr>
            </w:pPr>
            <w:r>
              <w:rPr>
                <w:rFonts w:ascii="Arial" w:cs="Arial" w:eastAsia="Arial" w:hAnsi="Arial"/>
                <w:sz w:val="18"/>
                <w:szCs w:val="18"/>
                <w:color w:val="auto"/>
              </w:rPr>
              <w:t>$ (31,165)</w:t>
            </w:r>
          </w:p>
        </w:tc>
        <w:tc>
          <w:tcPr>
            <w:tcW w:w="340" w:type="dxa"/>
            <w:vAlign w:val="bottom"/>
            <w:gridSpan w:val="4"/>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2,319</w:t>
            </w:r>
          </w:p>
        </w:tc>
        <w:tc>
          <w:tcPr>
            <w:tcW w:w="340" w:type="dxa"/>
            <w:vAlign w:val="bottom"/>
          </w:tcPr>
          <w:p>
            <w:pPr>
              <w:spacing w:after="0"/>
              <w:rPr>
                <w:sz w:val="18"/>
                <w:szCs w:val="18"/>
                <w:color w:val="auto"/>
              </w:rPr>
            </w:pP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$13,587</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$25,522</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3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10.13</w:t>
            </w:r>
          </w:p>
        </w:tc>
        <w:tc>
          <w:tcPr>
            <w:tcW w:w="340" w:type="dxa"/>
            <w:vAlign w:val="bottom"/>
            <w:gridSpan w:val="4"/>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11.08</w:t>
            </w:r>
          </w:p>
        </w:tc>
        <w:tc>
          <w:tcPr>
            <w:tcW w:w="340" w:type="dxa"/>
            <w:vAlign w:val="bottom"/>
          </w:tcPr>
          <w:p>
            <w:pPr>
              <w:spacing w:after="0"/>
              <w:rPr>
                <w:sz w:val="18"/>
                <w:szCs w:val="18"/>
                <w:color w:val="auto"/>
              </w:rPr>
            </w:pPr>
          </w:p>
        </w:tc>
        <w:tc>
          <w:tcPr>
            <w:tcW w:w="200" w:type="dxa"/>
            <w:vAlign w:val="bottom"/>
            <w:gridSpan w:val="4"/>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3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12.25</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$16,681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$13,599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8,821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7,059</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7,238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3220" w:type="dxa"/>
            <w:vAlign w:val="bottom"/>
            <w:gridSpan w:val="6"/>
            <w:shd w:val="clear" w:color="auto" w:fill="CCEEFF"/>
          </w:tcPr>
          <w:p>
            <w:pPr>
              <w:ind w:left="2400"/>
              <w:spacing w:after="0"/>
              <w:rPr>
                <w:sz w:val="20"/>
                <w:szCs w:val="20"/>
                <w:color w:val="auto"/>
              </w:rPr>
            </w:pPr>
            <w:r>
              <w:rPr>
                <w:rFonts w:ascii="Arial" w:cs="Arial" w:eastAsia="Arial" w:hAnsi="Arial"/>
                <w:sz w:val="18"/>
                <w:szCs w:val="18"/>
                <w:color w:val="auto"/>
              </w:rPr>
              <w:t>$ (2,326)</w:t>
            </w:r>
          </w:p>
        </w:tc>
        <w:tc>
          <w:tcPr>
            <w:tcW w:w="84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5"/>
              </w:rPr>
              <w:t>$ (4,561)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w w:val="85"/>
              </w:rPr>
              <w:t>$ (10,090)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1,438</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6,630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4,260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(3,031)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8,676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10.94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11.07</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10.37</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$11,847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$10,770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6"/>
              </w:rPr>
              <w:t>$10,425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93"/>
              </w:rPr>
              <w:t>$ 5,267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980" w:type="dxa"/>
            <w:vAlign w:val="bottom"/>
            <w:gridSpan w:val="4"/>
            <w:shd w:val="clear" w:color="auto" w:fill="CCEEFF"/>
          </w:tcPr>
          <w:p>
            <w:pPr>
              <w:ind w:left="2400"/>
              <w:spacing w:after="0"/>
              <w:rPr>
                <w:sz w:val="20"/>
                <w:szCs w:val="20"/>
                <w:color w:val="auto"/>
              </w:rPr>
            </w:pPr>
            <w:r>
              <w:rPr>
                <w:rFonts w:ascii="Arial" w:cs="Arial" w:eastAsia="Arial" w:hAnsi="Arial"/>
                <w:sz w:val="18"/>
                <w:szCs w:val="18"/>
                <w:color w:val="auto"/>
                <w:w w:val="86"/>
              </w:rPr>
              <w:t>$20,162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(6,486)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6"/>
              </w:rPr>
              <w:t>$36,932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$26,180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86"/>
              </w:rPr>
              <w:t>$42,199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(0.04)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93"/>
              </w:rPr>
              <w:t>$ 12.00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63"/>
        </w:trPr>
        <w:tc>
          <w:tcPr>
            <w:tcW w:w="5240" w:type="dxa"/>
            <w:vAlign w:val="bottom"/>
          </w:tcPr>
          <w:p>
            <w:pPr>
              <w:spacing w:after="0"/>
              <w:rPr>
                <w:sz w:val="24"/>
                <w:szCs w:val="24"/>
                <w:color w:val="auto"/>
              </w:rPr>
            </w:pPr>
          </w:p>
        </w:tc>
        <w:tc>
          <w:tcPr>
            <w:tcW w:w="2540" w:type="dxa"/>
            <w:vAlign w:val="bottom"/>
            <w:gridSpan w:val="3"/>
          </w:tcPr>
          <w:p>
            <w:pPr>
              <w:jc w:val="right"/>
              <w:ind w:right="1812"/>
              <w:spacing w:after="0"/>
              <w:rPr>
                <w:sz w:val="20"/>
                <w:szCs w:val="20"/>
                <w:color w:val="auto"/>
              </w:rPr>
            </w:pPr>
            <w:r>
              <w:rPr>
                <w:rFonts w:ascii="Arial" w:cs="Arial" w:eastAsia="Arial" w:hAnsi="Arial"/>
                <w:sz w:val="18"/>
                <w:szCs w:val="18"/>
                <w:color w:val="auto"/>
              </w:rPr>
              <w:t>S-23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(37,778)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15,204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(33,329)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3"/>
        </w:trPr>
        <w:tc>
          <w:tcPr>
            <w:tcW w:w="5240" w:type="dxa"/>
            <w:vAlign w:val="bottom"/>
          </w:tcPr>
          <w:p>
            <w:pPr>
              <w:spacing w:after="0"/>
              <w:rPr>
                <w:sz w:val="24"/>
                <w:szCs w:val="24"/>
                <w:color w:val="auto"/>
              </w:rPr>
            </w:pPr>
          </w:p>
        </w:tc>
        <w:tc>
          <w:tcPr>
            <w:tcW w:w="2340" w:type="dxa"/>
            <w:vAlign w:val="bottom"/>
            <w:gridSpan w:val="2"/>
          </w:tcPr>
          <w:p>
            <w:pPr>
              <w:jc w:val="right"/>
              <w:ind w:right="1623"/>
              <w:spacing w:after="0"/>
              <w:rPr>
                <w:sz w:val="20"/>
                <w:szCs w:val="20"/>
                <w:color w:val="auto"/>
              </w:rPr>
            </w:pPr>
            <w:r>
              <w:rPr>
                <w:rFonts w:ascii="Arial" w:cs="Arial" w:eastAsia="Arial" w:hAnsi="Arial"/>
                <w:sz w:val="18"/>
                <w:szCs w:val="18"/>
                <w:color w:val="auto"/>
              </w:rPr>
              <w:t>S-24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several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and qualify annually as a RIC under the Code.</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wholly owned subsidiary, SBIC LP, was organized as a Delaware limited partnership in May 2010 and received a license from the SBA to operate as an SBIC under Section 301(c) of the 1958 Act in July 2010. SBIC LP’s objective is to generate both current income and capital appreciation through debt and equity investments generally, investing with us in SBA eligible businesses that meet the investment criteria used by PennantPark Investment.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activities are managed by the Investment Adviser. Under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LP under its investment management agreement. SBIC LP’s investment management agreement does not affect the management and incentive fees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 consolidated basis. We have also entered into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on investments held in our portfolio.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original issue discount, or OID, origination, structuring or diligence fees, fees for providing managerial assistance and possibly consulting fees.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basis and fair value,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For the fiscal year ended September 30, 2012, we purchased $328.3 million of investments in 13 new and 17 existing portfolio companies with a weighted average yield of 13.3% on debt investments. This compares to purchasing $479.7 million in 17 new and 11 existing portfolio companies with an overall weighted average yield of 13.7% on debt investments, and purchasing $309.5 million in 17 new and 12 existing portfolio companies with an overall weighted average yield of 14.9% on debt investments for the fiscal years ended September 30, 2011 and 2010, respectively.</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fiscal year ended September 30, 2012, sales and repayments generated proceeds of $201.7 million. For the fiscal years ended September 30, 2011 and 2010, sales and repayments generated proceeds of $304.0 million and $145.2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fiscal year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on our debt are capitalized, and we then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firstLine="8"/>
        <w:spacing w:after="0" w:line="253"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4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2012,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8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Investment income for the fiscal year ended September 30, 2010 was $60.1 million and was primarily attributable to $19.5 million from senior secured loan investments, $14.1 million from second lien secured debt investments, and $26.5 million from subordinated debt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performance-based incentive fee totaled $14.2 million, Credit Facility and SBA debentures related expenses totaled $17.1 million (including the $5.4 million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Expenses for the fiscal year ended September 30, 2010 totaled $28.0 million. Base management fees for the same period totaled $11.6 million, performance-based incentive fee totaled $8.0 million, Credit Facility and SBA debentures related expenses totaled $3.7 million, general and administrative expenses totaled $4.6 million and an excise tax of $0.1 million was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investment income totaled $57.1 million, or $1.08 per share, $52.6 million, or $1.25 per share and $32.1 million, or $1.09 per share, for the fiscal years ended September 30, 2012, 2011 and 2010, respectively. The increase in net investment income from 2011 to 2012 was the result of the growth of our portfolio, while the per share net investment income decrease was the result of share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2012, 2011 and 2010 totaled $201.7 million, $304.0 million and $145.2 million, respectively, and net realized gains (losses) totaled $(12.8) million, $16.3 million and $(15.4) million, respectively. Net realized losses increased over the prior year due to sales, restructurings, and repayments of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 and Credit Facility</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$20.6 million, $(46.8) million and $35.5 million for the fiscal years ended September 30, 2012, 2011 and 2010, respectively. Net change in unrealized (appreciation) depreciation on our Credit Facility totaled $(1.6) million, $(11.9) million and $(35.7) million for the same periods, respectively. Net change in unrealized depreciation on investments increased over the prior year due to the overall changes in the leveraged finance markets. Net change in unrealized depreciation on our Credit Facility over the prior year is the result of amending and restating the terms of our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increase in net assets resulting from operations totaled $63.4 million, or $1.20 per share, $10.3 million, or $0.24 per share, and $16.5 million, or $0.56 per share for the fiscal years ended September 30, 2012, 2011 and 2010, respectively. The net increase in net assets from operations was higher than the prior year due to the continued growth in net investment income as a result of growing our portfolio and unrealized gains offset by realized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security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amended and restated our multi-currency Credit Facility, which increased the size of the Credit Facility to $380 million, with certain lenders and SunTrust Bank, acting as administrative agent and JPMorgan Chase Bank, N.A., acting as syndication agent for the lenders. As of September 30, 2012 and 2011, there were $145.0 million (including a temporary draw of $35.5 million) and $240.9 million, respectively, in outstanding borrowings under the Credit Facility, with a weighted average interest rate at the time of 3.49% and 1.27%, exclusive of the fee on undrawn commitments of 0.50% and 0.20%, respectively. The Credit Facility is a four-year revolving facility with a stated maturity date of February 2016, and a one-year term-out period following its third year. Borrowings under the Credit Facility bear interest at 275 basis points over LIBOR. As of September 30, 2012 and 2011, we had $235.0 million and $74.1 million of unused borrowing capacity, respectively, subject to the regulatory restrictions that the 1940 Act imposes on us as a BDC. The Credit Facility is secured by substantially all of our assets excluding assets held by our SBIC LP.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140" w:firstLine="8"/>
        <w:spacing w:after="0" w:line="288" w:lineRule="auto"/>
        <w:tabs>
          <w:tab w:leader="none" w:pos="2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2012, we were in compliance with the terms of our Credit Facility.</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 exemptive relief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fiscal year ended September 30, 2012 we sold 19.4 million shares of common stock, resulting in net proceeds of $198.9 million. On September 28, 2012, we raised net proceeds of $93.6 million from selling 9.0 million shares. This compares to selling 9.2 million shares of our common stock resulting in net proceeds of $108.3 million for the fiscal year ended September 30, 2011.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2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SBIC LP has borrowed funds from the SBA against regulatory capital (which approximates equity capital) that is paid-in and is subject to customary regulatory requirements including but not limited to an examination by the SBA. As of September 30, 2012, we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date, at a market-driven spread over 10-year U.S. Treasury Notes. SBA current regulations limit the amount that SBIC LP may borrow to a maximum of $150.0 million, which is up to twice its potential regulatory capital. SBIC LP has accessed the maximum borrowing permitted by the SBA with its $75.0 million in regulatory capital.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September 30, 2012 and 2011, our $150.0 million in debt commitments were fully drawn with a weighted average interest rate of 3.70% exclusive of the 3.43% in upfront fees (4.04% after upfront fees). The SBA debentures upfront fees of 3.43% consist of a commitment fee of 1.00% and an issuance at a</w:t>
      </w:r>
    </w:p>
    <w:p>
      <w:pPr>
        <w:spacing w:after="0"/>
        <w:rPr>
          <w:sz w:val="20"/>
          <w:szCs w:val="20"/>
          <w:color w:val="auto"/>
        </w:rPr>
      </w:pPr>
      <w:r>
        <w:rPr>
          <w:rFonts w:ascii="Arial" w:cs="Arial" w:eastAsia="Arial" w:hAnsi="Arial"/>
          <w:sz w:val="16"/>
          <w:szCs w:val="16"/>
          <w:color w:val="auto"/>
        </w:rPr>
        <w:t>2.43% discount to face. Both fees will be amortized over the lives of the loans. Our fixed rate SBA debentures as of September 30, 2012 and 2011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All-in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40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Issuance Dates</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3"/>
                <w:szCs w:val="13"/>
                <w:b w:val="1"/>
                <w:bCs w:val="1"/>
                <w:color w:val="auto"/>
                <w:w w:val="98"/>
              </w:rPr>
              <w:t>Coupon Rate</w:t>
            </w:r>
            <w:r>
              <w:rPr>
                <w:rFonts w:ascii="Arial" w:cs="Arial" w:eastAsia="Arial" w:hAnsi="Arial"/>
                <w:sz w:val="20"/>
                <w:szCs w:val="20"/>
                <w:b w:val="1"/>
                <w:bCs w:val="1"/>
                <w:color w:val="auto"/>
                <w:w w:val="98"/>
                <w:vertAlign w:val="superscript"/>
              </w:rPr>
              <w:t>(1)</w:t>
            </w:r>
          </w:p>
        </w:tc>
        <w:tc>
          <w:tcPr>
            <w:tcW w:w="5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Principal Balance</w:t>
            </w:r>
          </w:p>
        </w:tc>
        <w:tc>
          <w:tcPr>
            <w:tcW w:w="120" w:type="dxa"/>
            <w:vAlign w:val="bottom"/>
            <w:tcBorders>
              <w:bottom w:val="single" w:sz="8" w:color="CCEEFF"/>
            </w:tcBorders>
          </w:tcPr>
          <w:p>
            <w:pPr>
              <w:spacing w:after="0"/>
              <w:rPr>
                <w:sz w:val="15"/>
                <w:szCs w:val="15"/>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1, 2020</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March 29, 2011</w:t>
            </w: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March 1, 2021</w:t>
            </w:r>
          </w:p>
        </w:tc>
        <w:tc>
          <w:tcPr>
            <w:tcW w:w="1040" w:type="dxa"/>
            <w:vAlign w:val="bottom"/>
          </w:tcPr>
          <w:p>
            <w:pPr>
              <w:ind w:left="740"/>
              <w:spacing w:after="0"/>
              <w:rPr>
                <w:sz w:val="20"/>
                <w:szCs w:val="20"/>
                <w:color w:val="auto"/>
              </w:rPr>
            </w:pPr>
            <w:r>
              <w:rPr>
                <w:rFonts w:ascii="Arial" w:cs="Arial" w:eastAsia="Arial" w:hAnsi="Arial"/>
                <w:sz w:val="18"/>
                <w:szCs w:val="18"/>
                <w:color w:val="auto"/>
                <w:w w:val="79"/>
              </w:rPr>
              <w:t>4.46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September 1, 2021</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3.38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105,000,000</w:t>
            </w:r>
          </w:p>
        </w:tc>
        <w:tc>
          <w:tcPr>
            <w:tcW w:w="12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Weighted average rate / Total</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3.70%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150,000,000</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September 30, 2012, SBIC LP was in compliance with all SBA regulatory requirements.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asset coverage ratio.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activities used cash of $115.3 million for the fiscal year ended September 30, 2012, and our financing activities provided cash proceeds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$51.3 million for the same period. Our operating activities used cash primarily for investing that was provided primarily from proceeds from our follow-on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offerings of common stock.</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cash proceeds of $95.6 million for the same period, primarily from proceeds from a follow-on public offerings of common stock. Our operating activities used cash primarily for investing that was provided from proceeds from secondary public offerings and draws under our Credit Facility.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2012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4"/>
                <w:szCs w:val="14"/>
                <w:b w:val="1"/>
                <w:bCs w:val="1"/>
                <w:color w:val="auto"/>
                <w:w w:val="91"/>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26.3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2012 was 3.60% exclusive of the fee on the undrawn commitment of 0.50% on the Credit Facility and 3.43% of upfront fees on SBIC LP’s SBA debentures.</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net short-term capital losses), if any, at least annually, out of the assets legally available for such distributions, we may retain such net capital gains or ordinary income to provide us with additional liquidity. For the fiscal years ended September 30, 2012, 2011, and 2010, we elected to retain a portion of our calendar year income and incurred an excise tax of approximately $0.3 million, $0.2 million and $0.1 million, respectively.</w:t>
      </w:r>
    </w:p>
    <w:p>
      <w:pPr>
        <w:spacing w:after="0" w:line="12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fiscal year ended September 30, 2012, 2011 and 2010, we declared dividends of $1.12, $1.07 and $1.03 per share, respectively, for total dividends of $60.1 million, $46.3 million and $32.3 million, respectively. We monitor available net investment income to determine if a return of capital for taxation purposes may occur for the taxable year. To the extent our taxable earnings fall below the total amount of our distributions for any given taxable year, a portion of those distributions may be deemed to be a return of capital to our common stockholders. Tax characteristics of all distributions will be reported to stockholders on Form 1099-DIV after the end of the calendar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25, 2012, we sold an additional 700,000 shares of common stock at a public offering price of $10.82 per share generating gross proceeds of approximately $7.6 million and net proceeds of approximately $7.3 million after underwriting discounts and offering expenses payable by us, from the underwriters’ partial exercise of the option to purchase additional shares we granted to them in connection with the offering of 9,000,000 shares of common stock that closed on September 28,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Biographical Information of Independent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2012, Mr. Marshall Brozost became a partner at Schulte Roth &amp; Zabel LLP, where he practices in the real estate and private equity groups.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2012, our debt portfolio consisted of 69% fixed- rate and 31% variable-rate investments (including 26%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we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2012, 2011, 2010, 2009, and 2008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00" w:type="dxa"/>
            <w:vAlign w:val="bottom"/>
          </w:tcPr>
          <w:p>
            <w:pPr>
              <w:spacing w:after="0"/>
              <w:rPr>
                <w:sz w:val="12"/>
                <w:szCs w:val="12"/>
                <w:color w:val="auto"/>
              </w:rPr>
            </w:pPr>
          </w:p>
        </w:tc>
        <w:tc>
          <w:tcPr>
            <w:tcW w:w="1620" w:type="dxa"/>
            <w:vAlign w:val="bottom"/>
            <w:gridSpan w:val="2"/>
          </w:tcPr>
          <w:p>
            <w:pPr>
              <w:jc w:val="center"/>
              <w:ind w:right="100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700" w:type="dxa"/>
            <w:vAlign w:val="bottom"/>
          </w:tcPr>
          <w:p>
            <w:pPr>
              <w:spacing w:after="0"/>
              <w:rPr>
                <w:sz w:val="15"/>
                <w:szCs w:val="15"/>
                <w:color w:val="auto"/>
              </w:rPr>
            </w:pPr>
          </w:p>
        </w:tc>
        <w:tc>
          <w:tcPr>
            <w:tcW w:w="1820" w:type="dxa"/>
            <w:vAlign w:val="bottom"/>
            <w:gridSpan w:val="3"/>
          </w:tcPr>
          <w:p>
            <w:pPr>
              <w:jc w:val="center"/>
              <w:ind w:right="88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88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66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(4)</w:t>
            </w:r>
          </w:p>
        </w:tc>
      </w:tr>
      <w:tr>
        <w:trPr>
          <w:trHeight w:val="190"/>
        </w:trPr>
        <w:tc>
          <w:tcPr>
            <w:tcW w:w="4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1"/>
                <w:szCs w:val="11"/>
                <w:color w:val="auto"/>
              </w:rPr>
              <w:t>(5)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145,000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5,615</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240,900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2,912</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Fiscal 2010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247,600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2,505</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225,100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2,115</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202,000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2,043</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You should consult your own tax advisor with respect to tax considerations that pertain to your ownership and disposition of our Notes.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Note Holders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u w:val="single" w:color="auto"/>
          <w:color w:val="auto"/>
        </w:rPr>
        <w:t>Taxation of U.S.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or accruals of interest on a Note generally will be taxable to a U.S. holder as ordinary interest income at the time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over the term of the instrument, irrespective of the holder’s regular method of tax accounting. We expect that the Notes will not be issued with original issue discount for U.S. federal income tax purposes.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Newly enacted legislation generally requires certain non-corporate U.S. holders to pay a 3.8% Medicare tax on, among other things, interest on and capital gains from the sale, exchange, redemption or retirement of the Notes. This legislation applies for taxable years beginning after December 31, 2012. U.S. holders should consult their own tax advisors regarding the effect, if any, of this legislation on their ownership and disposition of the Notes.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u w:val="single" w:color="auto"/>
          <w:color w:val="auto"/>
        </w:rPr>
        <w:t>Taxation of Non-U.S. Holders</w:t>
      </w:r>
      <w:r>
        <w:rPr>
          <w:rFonts w:ascii="Arial" w:cs="Arial" w:eastAsia="Arial" w:hAnsi="Arial"/>
          <w:sz w:val="16"/>
          <w:szCs w:val="16"/>
          <w:color w:val="auto"/>
        </w:rPr>
        <w:t>. A non-U.S. holder generally will not be subject to United States federal income or withholding taxes on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Internal Revenue Service, or IRS, Form W-8BEN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w:t>
      </w:r>
    </w:p>
    <w:p>
      <w:pPr>
        <w:spacing w:after="0" w:line="85"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United States federal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estate tax purposes) generally will not be subject to the United States federal estate tax, unless, at the time of death, (i) such individual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actually or constructively, owns ten percent or more of the total combined voting power of all classes of our stock entitled to vote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871(h)(3) of the Code and the Treasury Regulations thereunder or (ii) such individual’s interest in the Notes is effectively connected with the individual’s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conduct of a United States trade or business.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a rate of 28%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 to U.S. source interest payments, in each case to a foreign financial institution (for example, a clearing system, custodian, nominee or broker) or to a non-financial foreign entity, including such an institution or entity acting as an intermediary, unless (a) the foreign financial institution enters into an agreement with the U.S. Treasury under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which it agrees to (i) collect and report to the IRS information regarding such institution’s U.S. “account holders”(which include certain equity and debt holders of such institution, as well as certain account holders that are foreign entities with U.S. owners) and (ii) to withhold on payments to “nonparticipating foreign financial institutions” and certain account holders that do not provide required information, (b) the non-financial foreign entity provides a certification or information relating to its 10% or greater U.S. owners, or (c) the foreign financial institution or non-financial foreign entity otherwise qualifies for an exemption from these rules. Depending on your circumstances, you may be entitled to a refund or credit in respect of some or all of this withholding. However, the refund application process has not yet been finalized.</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administrative guidance issued by the IRS and the U.S. Treasury, FATCA withholding generally will only apply to interest payments made on or after January 1, 2014, and to payments of gross proceeds from a disposition made on or after January 1, 2017. Moreover, proposed U.S. Treasury Regulations state that FATCA withholding will generally apply to notes that are issued on or after January 1, 2013, although the final U.S. Treasury Regulations, when issued, may extend this grandfathering date.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FATCA is complex and its application to the Notes is uncertain at this time. Each prospective purchaser should consult its own tax advisor regarding FATCA and how it may affect such investor in its particular circumstances.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in the table below. Stifel, Nicolaus &amp; Company, Incorporated and RBC Capital Markets,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aggregate principal amount of Notes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8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195"/>
        </w:trPr>
        <w:tc>
          <w:tcPr>
            <w:tcW w:w="9440" w:type="dxa"/>
            <w:vAlign w:val="bottom"/>
            <w:gridSpan w:val="2"/>
          </w:tcPr>
          <w:p>
            <w:pPr>
              <w:spacing w:after="0" w:line="195" w:lineRule="exact"/>
              <w:rPr>
                <w:sz w:val="20"/>
                <w:szCs w:val="20"/>
                <w:color w:val="auto"/>
              </w:rPr>
            </w:pPr>
            <w:r>
              <w:rPr>
                <w:rFonts w:ascii="Arial" w:cs="Arial" w:eastAsia="Arial" w:hAnsi="Arial"/>
                <w:sz w:val="18"/>
                <w:szCs w:val="18"/>
                <w:color w:val="auto"/>
              </w:rPr>
              <w:t>Stifel, Nicolaus &amp; Company, Incorporated</w:t>
            </w: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24,300,000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18,900,000</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Sterne, Agee &amp; Leach, Inc.</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4,050,000</w:t>
            </w:r>
          </w:p>
        </w:tc>
        <w:tc>
          <w:tcPr>
            <w:tcW w:w="0" w:type="dxa"/>
            <w:vAlign w:val="bottom"/>
          </w:tcPr>
          <w:p>
            <w:pPr>
              <w:spacing w:after="0"/>
              <w:rPr>
                <w:sz w:val="1"/>
                <w:szCs w:val="1"/>
                <w:color w:val="auto"/>
              </w:rPr>
            </w:pPr>
          </w:p>
        </w:tc>
      </w:tr>
      <w:tr>
        <w:trPr>
          <w:trHeight w:val="224"/>
        </w:trPr>
        <w:tc>
          <w:tcPr>
            <w:tcW w:w="9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67,500,000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severally, and not jointly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other than those Notes covered by the overallotment option described below, if they purchase any of the Notes. The underwriters reserve the right to withdraw, cancel or modify offers to the public and to reject orders in whole or in part.</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1.50% of the aggregate principal amount of the Notes. The underwriters may allow, and the dealers may reallow, a discount not in excess of 1.00% of the aggregate principal amount of the Notes to other dealers. After the public offering, the public offering price, concession and discount may be changed.</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shows the per Note and total underwriting discounts and commissions we will pay to the underwriters assuming both no exercise and full exercise of the underwriters’ overallotment option to purchase up to an additional $10.125 million aggregate principal amount of Notes.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Without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Overallotment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Per Note</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Option</w:t>
            </w:r>
          </w:p>
        </w:tc>
        <w:tc>
          <w:tcPr>
            <w:tcW w:w="7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With Option</w:t>
            </w:r>
          </w:p>
        </w:tc>
        <w:tc>
          <w:tcPr>
            <w:tcW w:w="10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67,500,000</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77,625,000</w:t>
            </w: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2,328,750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offering expenses of $300,000 )</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65,475,000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75,296,250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granted an option to the underwriters to purchase up to $10.125 million in aggregate principal amount of Notes at the public offering price less the underwriting discount solely to cover any overallotments. The underwriters may exercise this option for 30 days from the date of this prospectus supplement solely to cover any overallotments, if any. If the underwriters exercise this overallotment option, each will be obligated, subject to conditions contained in the underwriting agreement, to purchase the additional Notes approximately proportionate to that underwriter’s initial purchase commitment.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agreed, with exceptions, not to sell or transfer any Notes for 30 days after the date of this prospectus supplement without first obtaining the written consent of Stifel, Nicolaus &amp; Company, Incorporated. This lockup provision applies to the Notes and to securities convertible into or exchangeable for the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Notes are a new issue of securities with no established trading market. We intend to list the Notes on the New York Stock Exchange. We expect trading in the Notes on The New York Stock Exchange to begin within 30 days after the original issue date. Currently there is no public market for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Until the distribution of the Notes is completed, SEC rules may limit the underwriters from bidding for and purchasing the Notes. However, the underwriters may engage in transactions that stabilize the price of the Notes, such as bids or purchases to peg, fix or maintain that price.</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the underwriters create a short position in the Notes in connection with the offering (i.e., if they sell more Notes than are listed on the cover of this prospectus supplement), the underwriters may reduce that short position by purchasing Notes in the open market. The underwriters may also elect to reduce any short position by exercising all or part of the overallotment option as described above. In making this determination, the underwriters will consider, among other things, the price of Notes available for purchase in the open market compared to the price at which the underwriters may purchase Notes through the overallotment option. Purchases of the Notes to stabilize their price or to reduce a short position may cause the price of the Notes to be higher than it might be in the absence of such purchases.</w:t>
      </w:r>
    </w:p>
    <w:p>
      <w:pPr>
        <w:spacing w:after="0" w:line="144"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6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 Notes,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business addresses of the underwriters are: Stifel, Nicolaus &amp; Company, Incorporated is 501 N. Broadway, St. Louis, Missouri 63102 and RBC Capital Markets, LLC is Three World Financial Center, 200 Vesey Street, 8th Floor, New York, New York 10281.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 relating to the offering and the distribution of this prospectus supplement.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0880"/>
          </w:cols>
          <w:pgMar w:left="240" w:top="459" w:right="7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60" w:type="dxa"/>
            <w:vAlign w:val="bottom"/>
            <w:gridSpan w:val="7"/>
          </w:tcPr>
          <w:p>
            <w:pPr>
              <w:jc w:val="center"/>
              <w:ind w:right="1980"/>
              <w:spacing w:after="0"/>
              <w:rPr>
                <w:sz w:val="20"/>
                <w:szCs w:val="20"/>
                <w:color w:val="auto"/>
              </w:rPr>
            </w:pPr>
            <w:r>
              <w:rPr>
                <w:rFonts w:ascii="Arial" w:cs="Arial" w:eastAsia="Arial" w:hAnsi="Arial"/>
                <w:sz w:val="18"/>
                <w:szCs w:val="18"/>
                <w:b w:val="1"/>
                <w:bCs w:val="1"/>
                <w:color w:val="auto"/>
                <w:w w:val="99"/>
              </w:rPr>
              <w:t>FINANCIAL STATEMENTS</w:t>
            </w:r>
          </w:p>
        </w:tc>
        <w:tc>
          <w:tcPr>
            <w:tcW w:w="2040" w:type="dxa"/>
            <w:vAlign w:val="bottom"/>
          </w:tcPr>
          <w:p>
            <w:pPr>
              <w:spacing w:after="0"/>
              <w:rPr>
                <w:sz w:val="19"/>
                <w:szCs w:val="19"/>
                <w:color w:val="auto"/>
              </w:rPr>
            </w:pPr>
          </w:p>
        </w:tc>
      </w:tr>
      <w:tr>
        <w:trPr>
          <w:trHeight w:val="380"/>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Management’s Report on Internal Control over Financial Reporting</w:t>
              </w:r>
            </w:hyperlink>
          </w:p>
        </w:tc>
        <w:tc>
          <w:tcPr>
            <w:tcW w:w="4520" w:type="dxa"/>
            <w:vAlign w:val="bottom"/>
            <w:gridSpan w:val="6"/>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S-48</w:t>
            </w: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S-49</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 On Internal Control Over Financial Reporting</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S-50</w:t>
            </w:r>
          </w:p>
        </w:tc>
      </w:tr>
      <w:tr>
        <w:trPr>
          <w:trHeight w:val="304"/>
        </w:trPr>
        <w:tc>
          <w:tcPr>
            <w:tcW w:w="6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3"/>
          </w:tcPr>
          <w:p>
            <w:pPr>
              <w:spacing w:after="0"/>
              <w:rPr>
                <w:sz w:val="24"/>
                <w:szCs w:val="24"/>
                <w:color w:val="auto"/>
              </w:rPr>
            </w:pPr>
          </w:p>
        </w:tc>
        <w:tc>
          <w:tcPr>
            <w:tcW w:w="1900" w:type="dxa"/>
            <w:vAlign w:val="bottom"/>
            <w:gridSpan w:val="2"/>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S-51</w:t>
            </w:r>
          </w:p>
        </w:tc>
      </w:tr>
      <w:tr>
        <w:trPr>
          <w:trHeight w:val="304"/>
        </w:trPr>
        <w:tc>
          <w:tcPr>
            <w:tcW w:w="67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Consolidated Statements of Operations for the years ended September 30, 2012, 2011 and 2010</w:t>
              </w:r>
            </w:hyperlink>
          </w:p>
        </w:tc>
        <w:tc>
          <w:tcPr>
            <w:tcW w:w="2560" w:type="dxa"/>
            <w:vAlign w:val="bottom"/>
            <w:gridSpan w:val="4"/>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S-52</w:t>
            </w: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Statements of Changes in Net Assets for the years ended September 30, 2012, 2011 and 2010</w:t>
              </w:r>
            </w:hyperlink>
          </w:p>
        </w:tc>
        <w:tc>
          <w:tcPr>
            <w:tcW w:w="1700" w:type="dxa"/>
            <w:vAlign w:val="bottom"/>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S-53</w:t>
            </w: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years ended September 30, 2012, 2011 and 2010</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S-54</w:t>
            </w:r>
          </w:p>
        </w:tc>
      </w:tr>
      <w:tr>
        <w:trPr>
          <w:trHeight w:val="304"/>
        </w:trPr>
        <w:tc>
          <w:tcPr>
            <w:tcW w:w="6760" w:type="dxa"/>
            <w:vAlign w:val="bottom"/>
            <w:tcBorders>
              <w:top w:val="single" w:sz="8" w:color="0000EE"/>
            </w:tcBorders>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Notes to the Consolidated Financial Statements</w:t>
              </w:r>
            </w:hyperlink>
          </w:p>
        </w:tc>
        <w:tc>
          <w:tcPr>
            <w:tcW w:w="2520" w:type="dxa"/>
            <w:vAlign w:val="bottom"/>
            <w:gridSpan w:val="3"/>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S-64</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gridSpan w:val="6"/>
          </w:tcPr>
          <w:p>
            <w:pPr>
              <w:jc w:val="center"/>
              <w:ind w:right="2620"/>
              <w:spacing w:after="0"/>
              <w:rPr>
                <w:sz w:val="20"/>
                <w:szCs w:val="20"/>
                <w:color w:val="auto"/>
              </w:rPr>
            </w:pPr>
            <w:r>
              <w:rPr>
                <w:rFonts w:ascii="Arial" w:cs="Arial" w:eastAsia="Arial" w:hAnsi="Arial"/>
                <w:sz w:val="18"/>
                <w:szCs w:val="18"/>
                <w:color w:val="auto"/>
                <w:w w:val="89"/>
              </w:rPr>
              <w:t>S-47</w:t>
            </w:r>
          </w:p>
        </w:tc>
        <w:tc>
          <w:tcPr>
            <w:tcW w:w="20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2012.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 Based on the assessment management believes that, as of September 30, 2012,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2012. This report appears on page S-50.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2012 and 2011, and the related consolidated statements of operations, changes in net assets, and cash flows for the years ended September 30, 2012, 2011 and 2010.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2012 and 2011, and the results of operations and cash flows for the years ended September 30, 2012, 2011 and 2010,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14, 2012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09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55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2012 and 2011, and the related statements of operations, changes in net assets, and cash flows for the years ended September 30, 2012, 2011 and 2010, and our report dated November 14, 2012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09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(cost—$871,867,953 and $816,078,311,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773,375,381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(cost—$72,576,858 and $36,744,425, respectively)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80,955,257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40,673,133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(cost—$64,167,051 and $13,500,100,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(cost—$1,008,611,862 and $866,322,836, respectively)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827,548,515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14,928,862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10,878,236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5,121,302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928,738,214</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15,824,061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18,572,499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Credit Facility payable (cost—$145,000,000 and $240,900,000, respectively) (See Notes 5 and 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144,452,500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238,792,125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854,725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4,791,913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4,206,989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3,773,829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349,250,484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466,081,018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Common stock, 65,514,503 and 45,689,781 shares are issued and outstanding, respectively. Par value is $0.001 per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share and 100,000,000 shares are authorized.</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65,514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540,603,020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Undistributed net investment income (See Note 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2,804,397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(See Note 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(60,273,037)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(49,651,922)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4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(18,132,152)</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(38,774,321)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669,717,047</w:t>
            </w:r>
          </w:p>
        </w:tc>
        <w:tc>
          <w:tcPr>
            <w:tcW w:w="4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462,657,196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99,663,198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83,632,455</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57,467,862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8,486,387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4,726,387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3,542,583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2,217,320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1,700,222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113,392,390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91,738,495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60,139,757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17,507,262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14,899,983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11,618,773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14,223,777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13,161,597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8,018,309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11,680,634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5,322,231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3,745,741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2,596,756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2,328,210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3,496,326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Expenses before debt issuance costs and excise taxes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50,653,740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27,966,846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307,990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56,323,049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39,093,420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28,065,140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57,069,341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52,645,075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32,074,617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(12,798,035)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16,259,622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42,727,722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(45,350,345)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36,275,341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(22,085,553)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(1,439,878)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Credit Facility appreciation (See Note 5 and 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(1,560,375)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(11,851,000)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(35,665,745)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19,081,794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(58,641,223)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(122,029)</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6,283,759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(42,381,601)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(15,539,126)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63,353,100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10,263,474</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16,535,491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w w:val="92"/>
              </w:rPr>
              <w:t>Net increase in net assets resulting from operations per common share basic and diluted (See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Note 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57,069,341</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52,645,075</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32,074,617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gain on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(12,798,035)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16,259,622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20,642,169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(46,790,223)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35,543,716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(1,560,375)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(11,851,000)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(35,665,745)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10,263,474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16,535,491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(60,137,978)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(46,347,691)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(32,264,036)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Public offerings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206,572,500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114,080,000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107,710,000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Offerings costs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(7,717,300)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(5,743,800)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207,059,851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76,081,973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85,994,955</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462,657,196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386,575,223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300,580,268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End of year</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462,657,196</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386,575,223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1,800,646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88"/>
              </w:rPr>
              <w:t>Years ended 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63,353,100</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10,263,474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Adjustments to reconcile net increase in net assets resulting from operations to net cash</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used for operating activities: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(20,642,169)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46,790,223</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(35,543,716)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1,560,375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11,851,000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12,798,035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(16,259,622)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(10,357,608)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(6,745,834)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(4,203,920)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(328,275,329)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(479,733,669)</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(309,455,078)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(9,065,502)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(10,883,750)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(6,416,075)</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201,656,926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304,008,543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145,237,359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(4,050,626)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1,935,860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(7,275,040)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12,240,763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17,135,807</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(27,528,767)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(18,572,499)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(34,212,501)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(19,242,446)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14,928,717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15,872,049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472,227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466,675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749,017</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(90,927)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fees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721,238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433,160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1,534,818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1,406,285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(368,064)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(500,423)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(115,339,638)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(137,812,516)</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(127,050,830)</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Public offerings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206,572,500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114,080,000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107,710,000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Offerings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(7,717,300)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(5,743,800)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(51,660,628)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(39,582,741)</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(27,919,260)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135,500,000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(4,450,875)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(686,625)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927,900,000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701,900,000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(1,023,800,000)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(694,100,000)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(248,000,000)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51,294,572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(64,045,066)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69,790,068</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(31,433,215)</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71,604,519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10,643,840</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4,149,149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4,989,529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3,829,990</w:t>
            </w: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4"/>
              </w:rPr>
              <w:t>Current</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3"/>
              </w:rPr>
              <w:t>Above</w:t>
            </w:r>
          </w:p>
        </w:tc>
        <w:tc>
          <w:tcPr>
            <w:tcW w:w="18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980" w:type="dxa"/>
            <w:vAlign w:val="bottom"/>
          </w:tcPr>
          <w:p>
            <w:pPr>
              <w:spacing w:after="0"/>
              <w:rPr>
                <w:sz w:val="15"/>
                <w:szCs w:val="15"/>
                <w:color w:val="auto"/>
              </w:rPr>
            </w:pPr>
          </w:p>
        </w:tc>
        <w:tc>
          <w:tcPr>
            <w:tcW w:w="15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Industry</w:t>
            </w:r>
          </w:p>
        </w:tc>
        <w:tc>
          <w:tcPr>
            <w:tcW w:w="16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Coupon</w:t>
            </w:r>
          </w:p>
        </w:tc>
        <w:tc>
          <w:tcPr>
            <w:tcW w:w="72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5"/>
                <w:szCs w:val="15"/>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20" w:type="dxa"/>
            <w:vAlign w:val="bottom"/>
            <w:gridSpan w:val="8"/>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Companies—130.3%</w:t>
            </w:r>
            <w:r>
              <w:rPr>
                <w:rFonts w:ascii="Arial" w:cs="Arial" w:eastAsia="Arial" w:hAnsi="Arial"/>
                <w:sz w:val="16"/>
                <w:szCs w:val="16"/>
                <w:b w:val="1"/>
                <w:bCs w:val="1"/>
                <w:color w:val="auto"/>
                <w:vertAlign w:val="superscript"/>
              </w:rPr>
              <w:t>(1),(2)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06/21/2017</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Communications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$ 14,332,682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$ 14,906,250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03/23/2015</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17,811,828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17,441,366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17,811,828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1340" w:type="dxa"/>
            <w:vAlign w:val="bottom"/>
            <w:gridSpan w:val="3"/>
            <w:shd w:val="clear" w:color="auto" w:fill="CCEEFF"/>
          </w:tcPr>
          <w:p>
            <w:pPr>
              <w:ind w:left="580"/>
              <w:spacing w:after="0" w:line="159" w:lineRule="exact"/>
              <w:rPr>
                <w:sz w:val="20"/>
                <w:szCs w:val="20"/>
                <w:color w:val="auto"/>
              </w:rPr>
            </w:pPr>
            <w:r>
              <w:rPr>
                <w:rFonts w:ascii="Arial" w:cs="Arial" w:eastAsia="Arial" w:hAnsi="Arial"/>
                <w:sz w:val="14"/>
                <w:szCs w:val="14"/>
                <w:color w:val="auto"/>
              </w:rPr>
              <w:t>02/07/2014</w:t>
            </w:r>
          </w:p>
        </w:tc>
        <w:tc>
          <w:tcPr>
            <w:tcW w:w="250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3.68%</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L+325</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2,000,000</w:t>
            </w: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1,757,029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1,973,334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10/01/2016</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7,355,237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04/01/2018</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11/20/2014</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Communications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Good Sam Enterprises, LLC</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12/01/2016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0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11,795,443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01/13/2017</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1,752,896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1,752,896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04/01/2017</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Auto Sector</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0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11,288,165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12,218,750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08/07/2014</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Printing and Publishing</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24,115,645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23,829,738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23,802,142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Interactive Health Solutions,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10/04/2016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18,525,000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18,165,492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18,571,313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3840" w:type="dxa"/>
            <w:vAlign w:val="bottom"/>
            <w:gridSpan w:val="6"/>
          </w:tcPr>
          <w:p>
            <w:pPr>
              <w:ind w:left="580"/>
              <w:spacing w:after="0" w:line="138" w:lineRule="exact"/>
              <w:rPr>
                <w:sz w:val="20"/>
                <w:szCs w:val="20"/>
                <w:color w:val="auto"/>
              </w:rPr>
            </w:pPr>
            <w:r>
              <w:rPr>
                <w:rFonts w:ascii="Arial" w:cs="Arial" w:eastAsia="Arial" w:hAnsi="Arial"/>
                <w:sz w:val="14"/>
                <w:szCs w:val="14"/>
                <w:color w:val="auto"/>
                <w:w w:val="92"/>
              </w:rPr>
              <w:t>02/07/2014   Home and Office Furnishings, Housewares</w:t>
            </w: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2.28%</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9,598,649</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9,598,649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6"/>
              </w:rPr>
              <w:t>and Durable Consumer Products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09/10/2015</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L+775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18,952,500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18,216,865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19,236,788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Kadmon Pharmaceuticals,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10/31/2012</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4,931,494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4,992,740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5,110,409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04/27/2016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25,640,832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25,857,237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5.00%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L+400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340" w:type="dxa"/>
            <w:vAlign w:val="bottom"/>
            <w:gridSpan w:val="3"/>
          </w:tcPr>
          <w:p>
            <w:pPr>
              <w:ind w:left="580"/>
              <w:spacing w:after="0"/>
              <w:rPr>
                <w:sz w:val="20"/>
                <w:szCs w:val="20"/>
                <w:color w:val="auto"/>
              </w:rPr>
            </w:pPr>
            <w:r>
              <w:rPr>
                <w:rFonts w:ascii="Arial" w:cs="Arial" w:eastAsia="Arial" w:hAnsi="Arial"/>
                <w:sz w:val="14"/>
                <w:szCs w:val="14"/>
                <w:color w:val="auto"/>
              </w:rPr>
              <w:t>08/01/2014</w:t>
            </w:r>
          </w:p>
        </w:tc>
        <w:tc>
          <w:tcPr>
            <w:tcW w:w="250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(PIK 1.00%)</w:t>
            </w:r>
          </w:p>
        </w:tc>
        <w:tc>
          <w:tcPr>
            <w:tcW w:w="720" w:type="dxa"/>
            <w:vAlign w:val="bottom"/>
            <w:gridSpan w:val="2"/>
            <w:vMerge w:val="continue"/>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37,775,294</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33,971,917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30,503,550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 Tranche A</w:t>
            </w:r>
          </w:p>
        </w:tc>
        <w:tc>
          <w:tcPr>
            <w:tcW w:w="3840" w:type="dxa"/>
            <w:vAlign w:val="bottom"/>
            <w:gridSpan w:val="6"/>
            <w:shd w:val="clear" w:color="auto" w:fill="CCEEFF"/>
          </w:tcPr>
          <w:p>
            <w:pPr>
              <w:ind w:left="580"/>
              <w:spacing w:after="0" w:line="149" w:lineRule="exact"/>
              <w:rPr>
                <w:sz w:val="20"/>
                <w:szCs w:val="20"/>
                <w:color w:val="auto"/>
              </w:rPr>
            </w:pPr>
            <w:r>
              <w:rPr>
                <w:rFonts w:ascii="Arial" w:cs="Arial" w:eastAsia="Arial" w:hAnsi="Arial"/>
                <w:sz w:val="14"/>
                <w:szCs w:val="14"/>
                <w:color w:val="auto"/>
                <w:w w:val="91"/>
              </w:rPr>
              <w:t>12/30/2016   Personal, Food and Miscellaneous Services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1,552,846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1,533,687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1,556,728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 Tranche B</w:t>
            </w:r>
          </w:p>
        </w:tc>
        <w:tc>
          <w:tcPr>
            <w:tcW w:w="3840" w:type="dxa"/>
            <w:vAlign w:val="bottom"/>
            <w:gridSpan w:val="6"/>
          </w:tcPr>
          <w:p>
            <w:pPr>
              <w:ind w:left="580"/>
              <w:spacing w:after="0" w:line="149" w:lineRule="exact"/>
              <w:rPr>
                <w:sz w:val="20"/>
                <w:szCs w:val="20"/>
                <w:color w:val="auto"/>
              </w:rPr>
            </w:pPr>
            <w:r>
              <w:rPr>
                <w:rFonts w:ascii="Arial" w:cs="Arial" w:eastAsia="Arial" w:hAnsi="Arial"/>
                <w:sz w:val="14"/>
                <w:szCs w:val="14"/>
                <w:color w:val="auto"/>
                <w:w w:val="91"/>
              </w:rPr>
              <w:t>12/30/2016   Personal, Food and Miscellaneous Services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35,000,000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34,118,800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35,350,000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12/16/2012</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01/29/2018</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838,369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01/29/2018</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10,338,450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10,848,126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07/06/2017</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Insurance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L+1,100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14,934,000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14,859,330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07/15/2016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Hotels, Motels, Inns and Gaming</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4,401,515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277,427,564</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278,960,887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340" w:type="dxa"/>
            <w:vAlign w:val="bottom"/>
            <w:gridSpan w:val="3"/>
          </w:tcPr>
          <w:p>
            <w:pPr>
              <w:ind w:left="580"/>
              <w:spacing w:after="0" w:line="138" w:lineRule="exact"/>
              <w:rPr>
                <w:sz w:val="20"/>
                <w:szCs w:val="20"/>
                <w:color w:val="auto"/>
              </w:rPr>
            </w:pPr>
            <w:r>
              <w:rPr>
                <w:rFonts w:ascii="Arial" w:cs="Arial" w:eastAsia="Arial" w:hAnsi="Arial"/>
                <w:sz w:val="14"/>
                <w:szCs w:val="14"/>
                <w:color w:val="auto"/>
              </w:rPr>
              <w:t>09/01/2017</w:t>
            </w:r>
          </w:p>
        </w:tc>
        <w:tc>
          <w:tcPr>
            <w:tcW w:w="250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Diversified Natural Resources, Precious</w:t>
            </w: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w w:val="96"/>
              </w:rPr>
              <w:t>25,400,000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25,400,000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7"/>
              </w:rPr>
              <w:t>Metals and Minerals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02/07/2015</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6.33%</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13,378,432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02/07/2015</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7.36%</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11,866,485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11,232,000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(5),(6)</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02/01/2017</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31,964,822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08/16/2018</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44,543,688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Greatwide Logistics Services, L.L.C.</w:t>
            </w:r>
          </w:p>
        </w:tc>
        <w:tc>
          <w:tcPr>
            <w:tcW w:w="134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03/01/2014</w:t>
            </w:r>
          </w:p>
        </w:tc>
        <w:tc>
          <w:tcPr>
            <w:tcW w:w="25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8"/>
              </w:rPr>
              <w:t>(PIK 11.00%)</w:t>
            </w:r>
          </w:p>
        </w:tc>
        <w:tc>
          <w:tcPr>
            <w:tcW w:w="720" w:type="dxa"/>
            <w:vAlign w:val="bottom"/>
            <w:gridSpan w:val="2"/>
            <w:vMerge w:val="continue"/>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3,184,219</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3,184,222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2,292,640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Paradigm Management Services,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07/31/2017</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L+1,100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20,512,821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20,059,979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12/15/2014</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2,752,666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2,584,753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L+850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3100" w:type="dxa"/>
            <w:vAlign w:val="bottom"/>
            <w:gridSpan w:val="3"/>
          </w:tcPr>
          <w:p>
            <w:pPr>
              <w:spacing w:after="0"/>
              <w:rPr>
                <w:sz w:val="20"/>
                <w:szCs w:val="20"/>
                <w:color w:val="auto"/>
              </w:rPr>
            </w:pPr>
            <w:r>
              <w:rPr>
                <w:rFonts w:ascii="Arial" w:cs="Arial" w:eastAsia="Arial" w:hAnsi="Arial"/>
                <w:sz w:val="14"/>
                <w:szCs w:val="14"/>
                <w:color w:val="auto"/>
              </w:rPr>
              <w:t>Questex Media Group LLC, Term Loan B</w:t>
            </w:r>
          </w:p>
        </w:tc>
        <w:tc>
          <w:tcPr>
            <w:tcW w:w="1340" w:type="dxa"/>
            <w:vAlign w:val="bottom"/>
            <w:gridSpan w:val="3"/>
          </w:tcPr>
          <w:p>
            <w:pPr>
              <w:ind w:left="580"/>
              <w:spacing w:after="0"/>
              <w:rPr>
                <w:sz w:val="20"/>
                <w:szCs w:val="20"/>
                <w:color w:val="auto"/>
              </w:rPr>
            </w:pPr>
            <w:r>
              <w:rPr>
                <w:rFonts w:ascii="Arial" w:cs="Arial" w:eastAsia="Arial" w:hAnsi="Arial"/>
                <w:sz w:val="14"/>
                <w:szCs w:val="14"/>
                <w:color w:val="auto"/>
              </w:rPr>
              <w:t>12/15/2015</w:t>
            </w:r>
          </w:p>
        </w:tc>
        <w:tc>
          <w:tcPr>
            <w:tcW w:w="250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(PIK 11.50%)</w:t>
            </w:r>
          </w:p>
        </w:tc>
        <w:tc>
          <w:tcPr>
            <w:tcW w:w="720" w:type="dxa"/>
            <w:vAlign w:val="bottom"/>
            <w:gridSpan w:val="2"/>
            <w:vMerge w:val="continue"/>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2,230,508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2,230,508</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2,002,996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Maturity</w:t>
            </w:r>
          </w:p>
        </w:tc>
        <w:tc>
          <w:tcPr>
            <w:tcW w:w="880" w:type="dxa"/>
            <w:vAlign w:val="bottom"/>
          </w:tcPr>
          <w:p>
            <w:pPr>
              <w:spacing w:after="0"/>
              <w:rPr>
                <w:sz w:val="15"/>
                <w:szCs w:val="15"/>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5"/>
                <w:szCs w:val="15"/>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10/15/2017</w:t>
            </w:r>
          </w:p>
        </w:tc>
        <w:tc>
          <w:tcPr>
            <w:tcW w:w="22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13.50%</w:t>
            </w:r>
          </w:p>
        </w:tc>
        <w:tc>
          <w:tcPr>
            <w:tcW w:w="58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6"/>
              </w:rPr>
              <w:t>10,000,000</w:t>
            </w:r>
          </w:p>
        </w:tc>
        <w:tc>
          <w:tcPr>
            <w:tcW w:w="9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$ 10,000,000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$ 10,062,500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09/01/2018</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16,000,000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15,752,822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06/15/2015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w:t>
            </w:r>
          </w:p>
        </w:tc>
        <w:tc>
          <w:tcPr>
            <w:tcW w:w="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7,811,488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7,511,344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7,411,149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188,644,968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169,366,959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10/02/2017</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18,563,943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35,552,000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34,172,451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24,175,360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02/15/2019</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8,930,000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8,754,461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8,930,000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03/26/2018</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Electronics</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1.00%)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23,277,586</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22,812,086</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22,812,034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Diversitech Corporation</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01/29/2017</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Manufacturing/ Basic Industry</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(7)</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11,000,000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10,836,901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11,275,000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14.75%</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Escort,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06/01/2016</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Electronics</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2.75%)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25,254,035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24,751,548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25,254,035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13.00%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03/31/2017</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91"/>
              </w:rPr>
              <w:t>Distribution</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21,797,263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21,399,764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21,906,249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JF Acquisition, LLC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06/30/2017</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1"/>
              </w:rPr>
              <w:t>Distribution</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17,171,374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16,748,220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17,377,430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14.50%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Last Mile Funding Corp.</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06/30/2016</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2.50%)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45,597,139</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44,677,474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45,095,570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Learning Care Group (US)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06/30/2016</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Education</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(PIK 15.00%)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5,277,718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4,696,436</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4,815,918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01/19/2019</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30,000,000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01/11/2014</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14.50%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06/15/2017</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9"/>
              </w:rPr>
              <w:t>Printing and Publishing</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15,000,000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14,632,413</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15,210,000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15.02%</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PAS Technologies,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05/12/2017</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3.02%)</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17,123,218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16,783,033</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17,123,218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9"/>
              </w:rPr>
              <w:t>Mining, Steel, Iron and Non-</w:t>
            </w: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13.50%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12/03/2016</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8"/>
              </w:rPr>
              <w:t>Precious Metals</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26,696,517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26,263,685</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26,696,517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04/15/2018</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9,247,298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12/29/2015</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(7)</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12,020,950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11,708,199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14.25%</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06/03/2019</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4"/>
              </w:rPr>
              <w:t>Beverage, Food, and Tobacco</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2.25%)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14,778,578</w:t>
            </w: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14,527,411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14,778,578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(9)</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06/02/2014</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3,920,000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16,200,000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15,916,579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355,236,902</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351,070,859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6.00%</w:t>
            </w: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211</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624,081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Alegeus Technologies Holding</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 Series A</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Financial Services</w:t>
            </w:r>
          </w:p>
        </w:tc>
        <w:tc>
          <w:tcPr>
            <w:tcW w:w="180" w:type="dxa"/>
            <w:vAlign w:val="bottom"/>
          </w:tcPr>
          <w:p>
            <w:pPr>
              <w:spacing w:after="0"/>
              <w:rPr>
                <w:sz w:val="13"/>
                <w:szCs w:val="13"/>
                <w:color w:val="auto"/>
              </w:rPr>
            </w:pPr>
          </w:p>
        </w:tc>
        <w:tc>
          <w:tcPr>
            <w:tcW w:w="9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949</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949,050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1,031,820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CI (IHS) Investment Holdings, LLC (Interactive Health Solutions,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76,357</w:t>
            </w: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765,307</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881,885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Point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0"/>
              </w:rPr>
              <w:t>Current</w:t>
            </w: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11"/>
                <w:szCs w:val="11"/>
                <w:color w:val="auto"/>
              </w:rPr>
            </w:pPr>
          </w:p>
        </w:tc>
        <w:tc>
          <w:tcPr>
            <w:tcW w:w="82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5"/>
                <w:szCs w:val="15"/>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Coupon</w:t>
            </w:r>
          </w:p>
        </w:tc>
        <w:tc>
          <w:tcPr>
            <w:tcW w:w="5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Cost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1"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38,179</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   382,654</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5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2,375,000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2,375,000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24,177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27,916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8.00%</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20,000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1,980,000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823,710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12.00%</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1,099</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984,344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1,111,742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9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4"/>
              </w:rPr>
              <w:t>Insurance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686</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460"/>
              <w:spacing w:after="0" w:line="159" w:lineRule="exact"/>
              <w:rPr>
                <w:sz w:val="20"/>
                <w:szCs w:val="20"/>
                <w:color w:val="auto"/>
              </w:rPr>
            </w:pPr>
            <w:r>
              <w:rPr>
                <w:rFonts w:ascii="Arial" w:cs="Arial" w:eastAsia="Arial" w:hAnsi="Arial"/>
                <w:sz w:val="14"/>
                <w:szCs w:val="14"/>
                <w:color w:val="auto"/>
                <w:w w:val="84"/>
              </w:rPr>
              <w:t>Insurance</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6.50%</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1,312</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1,666,679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jc w:val="center"/>
              <w:ind w:right="480"/>
              <w:spacing w:after="0" w:line="138" w:lineRule="exact"/>
              <w:rPr>
                <w:sz w:val="20"/>
                <w:szCs w:val="20"/>
                <w:color w:val="auto"/>
              </w:rPr>
            </w:pPr>
            <w:r>
              <w:rPr>
                <w:rFonts w:ascii="Arial" w:cs="Arial" w:eastAsia="Arial" w:hAnsi="Arial"/>
                <w:sz w:val="14"/>
                <w:szCs w:val="14"/>
                <w:color w:val="auto"/>
                <w:w w:val="83"/>
              </w:rPr>
              <w:t>Personal</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Transportation</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8.00%</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1,824,167</w:t>
            </w: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96"/>
              </w:rPr>
              <w:t>1,949,629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12,101,421</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11,178,282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Interests—9.2%</w:t>
            </w:r>
            <w:r>
              <w:rPr>
                <w:rFonts w:ascii="Arial" w:cs="Arial" w:eastAsia="Arial" w:hAnsi="Arial"/>
                <w:sz w:val="18"/>
                <w:szCs w:val="18"/>
                <w:b w:val="1"/>
                <w:bCs w:val="1"/>
                <w:color w:val="auto"/>
                <w:vertAlign w:val="superscript"/>
              </w:rPr>
              <w:t>(6)</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1,737,396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 (Warrants)</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11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03/23/2021</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2,063,780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Holding Corp., Class A (Alegeus Technologies,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Autumn Games,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Broadcasting and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1,333,330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(Galls, LLC; Quartermaster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4"/>
              </w:rPr>
              <w:t>Distribution</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1,505,000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1,505,000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1,680,720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23,416</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234,693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270,457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CI (IHS) Investment Holdings, LLC</w:t>
            </w:r>
            <w:r>
              <w:rPr>
                <w:rFonts w:ascii="Arial" w:cs="Arial" w:eastAsia="Arial" w:hAnsi="Arial"/>
                <w:sz w:val="15"/>
                <w:szCs w:val="15"/>
                <w:color w:val="auto"/>
                <w:vertAlign w:val="superscript"/>
              </w:rPr>
              <w:t>(9)</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11,708</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117,346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Convergint Technologies Holdings,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(Convergint Technologies) LLC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2,375</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1,904,033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6,665,183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5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30,000</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348,912</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2,443,050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2,642,438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A</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1,079,920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1,236,832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5"/>
              </w:rPr>
              <w:t>12,013,688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D</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1,079,920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1,028,807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1,028,807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04/27/2020</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Education</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1,267</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(Eureka Hunter Pipeline,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1,221,932</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3,239,999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5,425,378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w w:val="97"/>
              </w:rPr>
              <w:t>Magnum Hunter Resources Corporation (Warrants) (Eureka Hunter Pipeline, LLC)</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10/14/2013</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122,193</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105,697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31,778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MidOcean JF Holdings Corp.</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(JF Acquisition,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4"/>
              </w:rPr>
              <w:t>Distribution</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1,641,575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(Pre-Paid Legal Services,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3,000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4,377,360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Paradigm Acquisition Corp.</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(Paradigm Management Services,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20,000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2,124,491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92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4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5"/>
                <w:szCs w:val="15"/>
                <w:color w:val="auto"/>
              </w:rPr>
            </w:pPr>
          </w:p>
        </w:tc>
        <w:tc>
          <w:tcPr>
            <w:tcW w:w="15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Coupon</w:t>
            </w:r>
          </w:p>
        </w:tc>
        <w:tc>
          <w:tcPr>
            <w:tcW w:w="7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PAS Tech Holdings, Inc.</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1,404,661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172,457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SPG Boyd Holdings Corp.</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(LTI Flexible Products, Inc.)</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6"/>
              </w:rPr>
              <w:t>Chemical, Plastic and Rubber</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300,000</w:t>
            </w: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 – Class A</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2,276,847</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2,274,883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6,182,426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12/29/2019</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Transportation 100 Holdco, L.L.C.</w:t>
            </w:r>
            <w:r>
              <w:rPr>
                <w:rFonts w:ascii="Arial" w:cs="Arial" w:eastAsia="Arial" w:hAnsi="Arial"/>
                <w:sz w:val="15"/>
                <w:szCs w:val="15"/>
                <w:color w:val="auto"/>
                <w:vertAlign w:val="superscript"/>
              </w:rPr>
              <w:t>(13)</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2,111,588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713,718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Personal Transportation</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9,166</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6,941,000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Total Common Equity/Warrants/ Partnership Interests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38,457,098</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2"/>
              </w:rPr>
              <w:t>871,867,953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871,892,745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Affiliated Portfolio Companies—12.0%</w:t>
            </w:r>
            <w:r>
              <w:rPr>
                <w:rFonts w:ascii="Arial" w:cs="Arial" w:eastAsia="Arial" w:hAnsi="Arial"/>
                <w:sz w:val="17"/>
                <w:szCs w:val="17"/>
                <w:b w:val="1"/>
                <w:bCs w:val="1"/>
                <w:color w:val="auto"/>
                <w:vertAlign w:val="superscript"/>
              </w:rPr>
              <w:t>(1),(2)</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Debt—1.1%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L+625</w:t>
            </w:r>
            <w:r>
              <w:rPr>
                <w:rFonts w:ascii="Arial" w:cs="Arial" w:eastAsia="Arial" w:hAnsi="Arial"/>
                <w:sz w:val="22"/>
                <w:szCs w:val="22"/>
                <w:color w:val="auto"/>
                <w:vertAlign w:val="superscript"/>
              </w:rPr>
              <w:t>(8)</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108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01/16/2015</w:t>
            </w:r>
          </w:p>
        </w:tc>
        <w:tc>
          <w:tcPr>
            <w:tcW w:w="236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87"/>
              </w:rPr>
              <w:t>Leisure, Amusement Motion Pictures</w:t>
            </w:r>
          </w:p>
        </w:tc>
        <w:tc>
          <w:tcPr>
            <w:tcW w:w="9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7.25%</w:t>
            </w:r>
          </w:p>
        </w:tc>
        <w:tc>
          <w:tcPr>
            <w:tcW w:w="700" w:type="dxa"/>
            <w:vAlign w:val="bottom"/>
            <w:gridSpan w:val="2"/>
            <w:vMerge w:val="continue"/>
          </w:tcPr>
          <w:p>
            <w:pPr>
              <w:spacing w:after="0"/>
              <w:rPr>
                <w:sz w:val="11"/>
                <w:szCs w:val="11"/>
                <w:color w:val="auto"/>
              </w:rPr>
            </w:pP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66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7,672,000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Subordinated Debt/Corporate Notes—7.1%</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108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07/16/2015</w:t>
            </w:r>
          </w:p>
        </w:tc>
        <w:tc>
          <w:tcPr>
            <w:tcW w:w="236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7"/>
              </w:rPr>
              <w:t>Leisure, Amusement, Motion Pictures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(7)</w:t>
            </w:r>
          </w:p>
        </w:tc>
        <w:tc>
          <w:tcPr>
            <w:tcW w:w="70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7,435,314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7,453,725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10/02/2017</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12.50%</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9"/>
              </w:rPr>
              <w:t>24,000,000</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1"/>
              </w:rPr>
              <w:t>23,495,700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24,000,000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Service Champ, Inc.</w:t>
            </w:r>
            <w:r>
              <w:rPr>
                <w:rFonts w:ascii="Arial" w:cs="Arial" w:eastAsia="Arial" w:hAnsi="Arial"/>
                <w:sz w:val="17"/>
                <w:szCs w:val="17"/>
                <w:color w:val="auto"/>
                <w:vertAlign w:val="superscript"/>
              </w:rPr>
              <w:t>(9)</w:t>
            </w:r>
          </w:p>
        </w:tc>
        <w:tc>
          <w:tcPr>
            <w:tcW w:w="10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10/02/2013</w:t>
            </w:r>
          </w:p>
        </w:tc>
        <w:tc>
          <w:tcPr>
            <w:tcW w:w="23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16,000,000</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15,640,000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w w:val="91"/>
              </w:rPr>
              <w:t>46,571,014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47,453,725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Interest—3.8%</w:t>
            </w:r>
            <w:r>
              <w:rPr>
                <w:rFonts w:ascii="Arial" w:cs="Arial" w:eastAsia="Arial" w:hAnsi="Arial"/>
                <w:sz w:val="17"/>
                <w:szCs w:val="17"/>
                <w:b w:val="1"/>
                <w:bCs w:val="1"/>
                <w:color w:val="auto"/>
                <w:vertAlign w:val="superscript"/>
              </w:rPr>
              <w:t>(6)</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Environmental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1"/>
              </w:rPr>
              <w:t>10,055,844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18,425,519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360" w:type="dxa"/>
            <w:vAlign w:val="bottom"/>
            <w:gridSpan w:val="3"/>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Leisure, Amusement, Motion Pictures</w:t>
            </w: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3,750,000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2,902,355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New Service Champ Holdings, Inc.</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 Champ, Inc.)</w:t>
            </w:r>
          </w:p>
        </w:tc>
        <w:tc>
          <w:tcPr>
            <w:tcW w:w="240" w:type="dxa"/>
            <w:vAlign w:val="bottom"/>
          </w:tcPr>
          <w:p>
            <w:pPr>
              <w:spacing w:after="0"/>
              <w:rPr>
                <w:sz w:val="14"/>
                <w:szCs w:val="14"/>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16,800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4,200,000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4,501,658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18,005,844</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25,829,532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9"/>
              </w:rPr>
              <w:t>Total Investments in Non-Controlled, Affiliated Portfolio Companies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1"/>
              </w:rPr>
              <w:t>72,576,858</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80,955,257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34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Maturity</w:t>
            </w:r>
          </w:p>
        </w:tc>
        <w:tc>
          <w:tcPr>
            <w:tcW w:w="60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Industry</w:t>
            </w:r>
          </w:p>
        </w:tc>
        <w:tc>
          <w:tcPr>
            <w:tcW w:w="4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5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24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2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Controlled, Affiliated Portfolio Companies—5.6%</w:t>
            </w:r>
            <w:r>
              <w:rPr>
                <w:rFonts w:ascii="Arial" w:cs="Arial" w:eastAsia="Arial" w:hAnsi="Arial"/>
                <w:sz w:val="16"/>
                <w:szCs w:val="16"/>
                <w:b w:val="1"/>
                <w:bCs w:val="1"/>
                <w:color w:val="auto"/>
                <w:vertAlign w:val="superscript"/>
              </w:rPr>
              <w:t>(1),(2)</w:t>
            </w: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06/30/2020</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10,800,000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10,800,000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(9)</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1"/>
              </w:rPr>
              <w:t>12/31/2015</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4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743,187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743,187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(9)</w:t>
            </w:r>
          </w:p>
        </w:tc>
        <w:tc>
          <w:tcPr>
            <w:tcW w:w="10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12/31/2015</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1,173,479</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1,173,479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rPr>
              <w:t>12,536,691</w:t>
            </w:r>
          </w:p>
        </w:tc>
        <w:tc>
          <w:tcPr>
            <w:tcW w:w="80" w:type="dxa"/>
            <w:vAlign w:val="bottom"/>
          </w:tcPr>
          <w:p>
            <w:pPr>
              <w:spacing w:after="0"/>
              <w:rPr>
                <w:sz w:val="14"/>
                <w:szCs w:val="14"/>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9"/>
              </w:rPr>
              <w:t>12,716,666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15.00 %</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Arial" w:cs="Arial" w:eastAsia="Arial" w:hAnsi="Arial"/>
                <w:sz w:val="14"/>
                <w:szCs w:val="14"/>
                <w:color w:val="auto"/>
              </w:rPr>
              <w:t>UP Support Services, Inc.</w:t>
            </w:r>
          </w:p>
        </w:tc>
        <w:tc>
          <w:tcPr>
            <w:tcW w:w="1040" w:type="dxa"/>
            <w:vAlign w:val="bottom"/>
            <w:gridSpan w:val="3"/>
          </w:tcPr>
          <w:p>
            <w:pPr>
              <w:jc w:val="right"/>
              <w:ind w:right="380"/>
              <w:spacing w:after="0"/>
              <w:rPr>
                <w:sz w:val="20"/>
                <w:szCs w:val="20"/>
                <w:color w:val="auto"/>
              </w:rPr>
            </w:pPr>
            <w:r>
              <w:rPr>
                <w:rFonts w:ascii="Arial" w:cs="Arial" w:eastAsia="Arial" w:hAnsi="Arial"/>
                <w:sz w:val="14"/>
                <w:szCs w:val="14"/>
                <w:color w:val="auto"/>
                <w:w w:val="91"/>
              </w:rPr>
              <w:t>12/31/2015</w:t>
            </w: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86"/>
              </w:rPr>
              <w:t>Oil and Gas</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(PIK 15.00)%</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w w:val="99"/>
              </w:rPr>
              <w:t>14,300,282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14,300,282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1"/>
              </w:rPr>
              <w:t>06/30/2020</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2,700,000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2,158,053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3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411,988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8,239,760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rPr>
              <w:t>37,120,613</w:t>
            </w:r>
          </w:p>
        </w:tc>
        <w:tc>
          <w:tcPr>
            <w:tcW w:w="8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8,456,707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(6)</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40" w:type="dxa"/>
            <w:vAlign w:val="bottom"/>
          </w:tcPr>
          <w:p>
            <w:pPr>
              <w:spacing w:after="0"/>
              <w:rPr>
                <w:sz w:val="13"/>
                <w:szCs w:val="13"/>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400" w:type="dxa"/>
            <w:vAlign w:val="bottom"/>
          </w:tcPr>
          <w:p>
            <w:pPr>
              <w:spacing w:after="0"/>
              <w:rPr>
                <w:sz w:val="13"/>
                <w:szCs w:val="13"/>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Total Investments in Controlled, Affiliated Portfolio Companies</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37,631,708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w w:val="84"/>
              </w:rPr>
              <w:t>1,008,611,862</w:t>
            </w:r>
          </w:p>
        </w:tc>
        <w:tc>
          <w:tcPr>
            <w:tcW w:w="8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9"/>
              </w:rPr>
              <w:t>990,479,710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Equivalents—1.1%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w w:val="84"/>
              </w:rPr>
              <w:t>1,016,171,315</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998,039,163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4"/>
              </w:rPr>
              <w:t>(328,322,116)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669,717,047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(“L”) or Prime (“P”) rate.</w:t>
      </w:r>
    </w:p>
    <w:p>
      <w:pPr>
        <w:ind w:left="340" w:right="6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Coupon is payable in cash and/or in-kind, or PIK.</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Companies—167.2%</w:t>
            </w:r>
            <w:r>
              <w:rPr>
                <w:rFonts w:ascii="Arial" w:cs="Arial" w:eastAsia="Arial" w:hAnsi="Arial"/>
                <w:sz w:val="14"/>
                <w:szCs w:val="14"/>
                <w:b w:val="1"/>
                <w:bCs w:val="1"/>
                <w:color w:val="auto"/>
                <w:vertAlign w:val="superscript"/>
              </w:rPr>
              <w:t>(1),(2)</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American Surgical Holdings, Inc.</w:t>
            </w:r>
          </w:p>
        </w:tc>
        <w:tc>
          <w:tcPr>
            <w:tcW w:w="74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w w:val="96"/>
              </w:rPr>
              <w:t>03/23/2015</w:t>
            </w:r>
          </w:p>
        </w:tc>
        <w:tc>
          <w:tcPr>
            <w:tcW w:w="156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1020" w:type="dxa"/>
            <w:vAlign w:val="bottom"/>
            <w:gridSpan w:val="3"/>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99"/>
              </w:rPr>
              <w:t>20,300,000</w:t>
            </w:r>
          </w:p>
        </w:tc>
        <w:tc>
          <w:tcPr>
            <w:tcW w:w="820" w:type="dxa"/>
            <w:vAlign w:val="bottom"/>
            <w:gridSpan w:val="4"/>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8"/>
              </w:rPr>
              <w:t>$ 19,748,930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10/01/2016</w:t>
            </w:r>
          </w:p>
        </w:tc>
        <w:tc>
          <w:tcPr>
            <w:tcW w:w="52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1"/>
              </w:rPr>
              <w:t>Logistics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11.63%</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7,328,729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04/01/2018</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91"/>
              </w:rPr>
              <w:t>Logistics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988,872</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07/29/2016</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Hotels, Motels, Inns</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12.38%</w:t>
            </w: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w w:val="99"/>
              </w:rPr>
              <w:t>11,358,254</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22"/>
                <w:szCs w:val="22"/>
                <w:color w:val="auto"/>
                <w:vertAlign w:val="superscript"/>
              </w:rPr>
              <w:t>(5),(10)</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6"/>
              </w:rPr>
              <w:t>and Gaming</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vMerge w:val="continue"/>
          </w:tcPr>
          <w:p>
            <w:pPr>
              <w:spacing w:after="0"/>
              <w:rPr>
                <w:sz w:val="10"/>
                <w:szCs w:val="10"/>
                <w:color w:val="auto"/>
              </w:rPr>
            </w:pP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11/20/2014</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Communications</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11.50%</w:t>
            </w:r>
          </w:p>
        </w:tc>
        <w:tc>
          <w:tcPr>
            <w:tcW w:w="74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w w:val="99"/>
              </w:rPr>
              <w:t>10,000,000</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9,800,000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line="176" w:lineRule="exact"/>
              <w:rPr>
                <w:sz w:val="20"/>
                <w:szCs w:val="20"/>
                <w:color w:val="auto"/>
              </w:rPr>
            </w:pPr>
            <w:r>
              <w:rPr>
                <w:rFonts w:ascii="Arial" w:cs="Arial" w:eastAsia="Arial" w:hAnsi="Arial"/>
                <w:sz w:val="13"/>
                <w:szCs w:val="13"/>
                <w:color w:val="auto"/>
              </w:rPr>
              <w:t>Covad Communications Group, Inc.</w:t>
            </w:r>
            <w:r>
              <w:rPr>
                <w:rFonts w:ascii="Arial" w:cs="Arial" w:eastAsia="Arial" w:hAnsi="Arial"/>
                <w:sz w:val="20"/>
                <w:szCs w:val="20"/>
                <w:color w:val="auto"/>
                <w:vertAlign w:val="superscript"/>
              </w:rPr>
              <w:t>(5)</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11/03/2015</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Telecommunications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L+1,000</w:t>
            </w:r>
            <w:r>
              <w:rPr>
                <w:rFonts w:ascii="Arial" w:cs="Arial" w:eastAsia="Arial" w:hAnsi="Arial"/>
                <w:sz w:val="20"/>
                <w:szCs w:val="20"/>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6,475,000</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6,362,696</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12/01/2016</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Consumer Products</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12,000,000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Hanley-Wood, L.L.C.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03/10/2014</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2.56%</w:t>
            </w: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rPr>
              <w:t>8,662,500</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08/07/2014</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Printing and Publishing</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24,625,000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24,227,464</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Interactive Health Solutions, Inc.</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10/04/2016</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Healthcare,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11.50%</w:t>
            </w:r>
          </w:p>
        </w:tc>
        <w:tc>
          <w:tcPr>
            <w:tcW w:w="74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L+950</w:t>
            </w:r>
            <w:r>
              <w:rPr>
                <w:rFonts w:ascii="Arial" w:cs="Arial" w:eastAsia="Arial" w:hAnsi="Arial"/>
                <w:sz w:val="19"/>
                <w:szCs w:val="19"/>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w w:val="99"/>
              </w:rPr>
              <w:t>19,000,000</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18,572,500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02/07/2014</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Home and Office</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2.51%</w:t>
            </w:r>
          </w:p>
        </w:tc>
        <w:tc>
          <w:tcPr>
            <w:tcW w:w="7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9,671,622</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9,671,622</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6,866,851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Furnishings,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Housewares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Durable Consumer</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3"/>
              </w:rPr>
              <w:t>Products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P+675</w:t>
            </w:r>
            <w:r>
              <w:rPr>
                <w:rFonts w:ascii="Arial" w:cs="Arial" w:eastAsia="Arial" w:hAnsi="Arial"/>
                <w:sz w:val="22"/>
                <w:szCs w:val="22"/>
                <w:color w:val="auto"/>
                <w:vertAlign w:val="superscript"/>
              </w:rPr>
              <w:t>(8)</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09/10/2015</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Chemicals, Plastics</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10.00%</w:t>
            </w:r>
          </w:p>
        </w:tc>
        <w:tc>
          <w:tcPr>
            <w:tcW w:w="740" w:type="dxa"/>
            <w:vAlign w:val="bottom"/>
            <w:gridSpan w:val="2"/>
            <w:vMerge w:val="continue"/>
          </w:tcPr>
          <w:p>
            <w:pPr>
              <w:spacing w:after="0"/>
              <w:rPr>
                <w:sz w:val="11"/>
                <w:szCs w:val="11"/>
                <w:color w:val="auto"/>
              </w:rPr>
            </w:pP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w w:val="99"/>
              </w:rPr>
              <w:t>18,952,500</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18,002,959</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4"/>
              </w:rPr>
              <w:t>and Rubber</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Pharmaceuticals, LLC</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2"/>
              </w:rPr>
              <w:t>L+1,300</w:t>
            </w:r>
            <w:r>
              <w:rPr>
                <w:rFonts w:ascii="Arial" w:cs="Arial" w:eastAsia="Arial" w:hAnsi="Arial"/>
                <w:sz w:val="22"/>
                <w:szCs w:val="22"/>
                <w:color w:val="auto"/>
                <w:w w:val="92"/>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Three Rivers Pharmaceutical, L.L.C.)</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10/22/2011</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15.00%</w:t>
            </w: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29,066,987</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27,940,332</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04/27/2016</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6"/>
              </w:rPr>
              <w:t>Education</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12.00%</w:t>
            </w:r>
          </w:p>
        </w:tc>
        <w:tc>
          <w:tcPr>
            <w:tcW w:w="74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w w:val="99"/>
              </w:rPr>
              <w:t>26,052,632</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25,555,967</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08/01/2014</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5.00%</w:t>
            </w:r>
            <w:r>
              <w:rPr>
                <w:rFonts w:ascii="Arial" w:cs="Arial" w:eastAsia="Arial" w:hAnsi="Arial"/>
                <w:sz w:val="20"/>
                <w:szCs w:val="20"/>
                <w:color w:val="auto"/>
                <w:vertAlign w:val="superscript"/>
              </w:rPr>
              <w:t>(6)</w:t>
            </w:r>
          </w:p>
        </w:tc>
        <w:tc>
          <w:tcPr>
            <w:tcW w:w="74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L+400</w:t>
            </w:r>
            <w:r>
              <w:rPr>
                <w:rFonts w:ascii="Arial" w:cs="Arial" w:eastAsia="Arial" w:hAnsi="Arial"/>
                <w:sz w:val="20"/>
                <w:szCs w:val="20"/>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w w:val="99"/>
              </w:rPr>
              <w:t>37,779,699</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32,241,162</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Prepaid Legal Services, Inc.,</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5"/>
              </w:rPr>
              <w:t>Personal, Food and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7.50%</w:t>
            </w:r>
            <w:r>
              <w:rPr>
                <w:rFonts w:ascii="Arial" w:cs="Arial" w:eastAsia="Arial" w:hAnsi="Arial"/>
                <w:sz w:val="22"/>
                <w:szCs w:val="22"/>
                <w:color w:val="auto"/>
                <w:vertAlign w:val="superscript"/>
              </w:rPr>
              <w:t>(6)</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L+600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Tranche A</w:t>
            </w:r>
          </w:p>
        </w:tc>
        <w:tc>
          <w:tcPr>
            <w:tcW w:w="740" w:type="dxa"/>
            <w:vAlign w:val="bottom"/>
            <w:gridSpan w:val="3"/>
          </w:tcPr>
          <w:p>
            <w:pPr>
              <w:ind w:left="40"/>
              <w:spacing w:after="0" w:line="159" w:lineRule="exact"/>
              <w:rPr>
                <w:sz w:val="20"/>
                <w:szCs w:val="20"/>
                <w:color w:val="auto"/>
              </w:rPr>
            </w:pPr>
            <w:r>
              <w:rPr>
                <w:rFonts w:ascii="Arial" w:cs="Arial" w:eastAsia="Arial" w:hAnsi="Arial"/>
                <w:sz w:val="14"/>
                <w:szCs w:val="14"/>
                <w:color w:val="auto"/>
                <w:w w:val="96"/>
              </w:rPr>
              <w:t>12/30/2016</w:t>
            </w: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6"/>
              </w:rPr>
              <w:t>Miscellaneous Services</w:t>
            </w: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2,000,000</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1,970,966</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Prepaid Legal Services, Inc.,</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Personal, Food and</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Tranche B</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12/30/2016</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Miscellaneous Services</w:t>
            </w:r>
          </w:p>
        </w:tc>
        <w:tc>
          <w:tcPr>
            <w:tcW w:w="8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35,000,000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33,978,263</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33,250,000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Questex Media Group LLC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12/16/2012</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10.50%</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0"/>
                <w:szCs w:val="10"/>
                <w:color w:val="auto"/>
              </w:rPr>
              <w:t>L+550</w:t>
            </w:r>
            <w:r>
              <w:rPr>
                <w:rFonts w:ascii="Arial" w:cs="Arial" w:eastAsia="Arial" w:hAnsi="Arial"/>
                <w:sz w:val="14"/>
                <w:szCs w:val="14"/>
                <w:color w:val="auto"/>
                <w:vertAlign w:val="superscript"/>
              </w:rPr>
              <w:t>(8)</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rPr>
              <w:t>26,721</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line="176" w:lineRule="exact"/>
              <w:rPr>
                <w:sz w:val="20"/>
                <w:szCs w:val="20"/>
                <w:color w:val="auto"/>
              </w:rPr>
            </w:pPr>
            <w:r>
              <w:rPr>
                <w:rFonts w:ascii="Arial" w:cs="Arial" w:eastAsia="Arial" w:hAnsi="Arial"/>
                <w:sz w:val="13"/>
                <w:szCs w:val="13"/>
                <w:color w:val="auto"/>
              </w:rPr>
              <w:t>Questex Media Group LLC</w:t>
            </w:r>
            <w:r>
              <w:rPr>
                <w:rFonts w:ascii="Arial" w:cs="Arial" w:eastAsia="Arial" w:hAnsi="Arial"/>
                <w:sz w:val="20"/>
                <w:szCs w:val="20"/>
                <w:color w:val="auto"/>
                <w:vertAlign w:val="superscript"/>
              </w:rPr>
              <w:t>(9)</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12/16/2012</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240,485</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240,485</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240,485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gridSpan w:val="3"/>
          </w:tcPr>
          <w:p>
            <w:pPr>
              <w:spacing w:after="0" w:line="148" w:lineRule="exact"/>
              <w:rPr>
                <w:sz w:val="20"/>
                <w:szCs w:val="20"/>
                <w:color w:val="auto"/>
              </w:rPr>
            </w:pPr>
            <w:r>
              <w:rPr>
                <w:rFonts w:ascii="Arial" w:cs="Arial" w:eastAsia="Arial" w:hAnsi="Arial"/>
                <w:sz w:val="14"/>
                <w:szCs w:val="14"/>
                <w:color w:val="auto"/>
              </w:rPr>
              <w:t>VPSI, Inc.</w:t>
            </w:r>
          </w:p>
        </w:tc>
        <w:tc>
          <w:tcPr>
            <w:tcW w:w="740" w:type="dxa"/>
            <w:vAlign w:val="bottom"/>
            <w:gridSpan w:val="3"/>
          </w:tcPr>
          <w:p>
            <w:pPr>
              <w:ind w:left="40"/>
              <w:spacing w:after="0" w:line="148" w:lineRule="exact"/>
              <w:rPr>
                <w:sz w:val="20"/>
                <w:szCs w:val="20"/>
                <w:color w:val="auto"/>
              </w:rPr>
            </w:pPr>
            <w:r>
              <w:rPr>
                <w:rFonts w:ascii="Arial" w:cs="Arial" w:eastAsia="Arial" w:hAnsi="Arial"/>
                <w:sz w:val="14"/>
                <w:szCs w:val="14"/>
                <w:color w:val="auto"/>
                <w:w w:val="96"/>
              </w:rPr>
              <w:t>12/23/2015</w:t>
            </w: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4"/>
                <w:szCs w:val="14"/>
                <w:color w:val="auto"/>
                <w:w w:val="86"/>
              </w:rPr>
              <w:t>Personal Transportation</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w w:val="97"/>
              </w:rPr>
              <w:t>L+1,000</w:t>
            </w:r>
          </w:p>
        </w:tc>
        <w:tc>
          <w:tcPr>
            <w:tcW w:w="1020" w:type="dxa"/>
            <w:vAlign w:val="bottom"/>
            <w:gridSpan w:val="3"/>
          </w:tcPr>
          <w:p>
            <w:pPr>
              <w:jc w:val="right"/>
              <w:ind w:right="300"/>
              <w:spacing w:after="0" w:line="148" w:lineRule="exact"/>
              <w:rPr>
                <w:sz w:val="20"/>
                <w:szCs w:val="20"/>
                <w:color w:val="auto"/>
              </w:rPr>
            </w:pPr>
            <w:r>
              <w:rPr>
                <w:rFonts w:ascii="Arial" w:cs="Arial" w:eastAsia="Arial" w:hAnsi="Arial"/>
                <w:sz w:val="14"/>
                <w:szCs w:val="14"/>
                <w:color w:val="auto"/>
                <w:w w:val="99"/>
              </w:rPr>
              <w:t>17,302,083</w:t>
            </w:r>
          </w:p>
        </w:tc>
        <w:tc>
          <w:tcPr>
            <w:tcW w:w="820" w:type="dxa"/>
            <w:vAlign w:val="bottom"/>
            <w:gridSpan w:val="4"/>
          </w:tcPr>
          <w:p>
            <w:pPr>
              <w:jc w:val="right"/>
              <w:ind w:right="80"/>
              <w:spacing w:after="0" w:line="148" w:lineRule="exact"/>
              <w:rPr>
                <w:sz w:val="20"/>
                <w:szCs w:val="20"/>
                <w:color w:val="auto"/>
              </w:rPr>
            </w:pPr>
            <w:r>
              <w:rPr>
                <w:rFonts w:ascii="Arial" w:cs="Arial" w:eastAsia="Arial" w:hAnsi="Arial"/>
                <w:sz w:val="14"/>
                <w:szCs w:val="14"/>
                <w:color w:val="auto"/>
              </w:rPr>
              <w:t>17,047,133</w:t>
            </w: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2300" w:type="dxa"/>
            <w:vAlign w:val="bottom"/>
            <w:gridSpan w:val="6"/>
            <w:shd w:val="clear" w:color="auto" w:fill="CCEEFF"/>
          </w:tcPr>
          <w:p>
            <w:pPr>
              <w:ind w:left="40"/>
              <w:spacing w:after="0" w:line="138" w:lineRule="exact"/>
              <w:rPr>
                <w:sz w:val="20"/>
                <w:szCs w:val="20"/>
                <w:color w:val="auto"/>
              </w:rPr>
            </w:pPr>
            <w:r>
              <w:rPr>
                <w:rFonts w:ascii="Arial" w:cs="Arial" w:eastAsia="Arial" w:hAnsi="Arial"/>
                <w:sz w:val="14"/>
                <w:szCs w:val="14"/>
                <w:color w:val="auto"/>
                <w:w w:val="96"/>
              </w:rPr>
              <w:t>07/15/2016   Hotels, Motels, Inns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11.38%</w:t>
            </w:r>
          </w:p>
        </w:tc>
        <w:tc>
          <w:tcPr>
            <w:tcW w:w="7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4,500,000</w:t>
            </w:r>
          </w:p>
        </w:tc>
        <w:tc>
          <w:tcPr>
            <w:tcW w:w="820" w:type="dxa"/>
            <w:vAlign w:val="bottom"/>
            <w:gridSpan w:val="4"/>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4,391,231</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540"/>
              <w:spacing w:after="0" w:line="159" w:lineRule="exact"/>
              <w:rPr>
                <w:sz w:val="20"/>
                <w:szCs w:val="20"/>
                <w:color w:val="auto"/>
              </w:rPr>
            </w:pPr>
            <w:r>
              <w:rPr>
                <w:rFonts w:ascii="Arial" w:cs="Arial" w:eastAsia="Arial" w:hAnsi="Arial"/>
                <w:sz w:val="14"/>
                <w:szCs w:val="14"/>
                <w:color w:val="auto"/>
                <w:w w:val="85"/>
              </w:rPr>
              <w:t>Gaming</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2"/>
              </w:rPr>
              <w:t>289,742,323</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02/07/2015</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13,600,000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13,300,431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02/07/2015</w:t>
            </w:r>
          </w:p>
        </w:tc>
        <w:tc>
          <w:tcPr>
            <w:tcW w:w="1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7.33%</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L+700</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12,000,000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02/01/2017</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34,000,000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31,944,865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08/16/2018</w:t>
            </w:r>
          </w:p>
        </w:tc>
        <w:tc>
          <w:tcPr>
            <w:tcW w:w="1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 / Utilities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31,000,000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08/15/2012</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 / Utilities</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19,000,000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18,525,000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03/01/2014</w:t>
            </w:r>
          </w:p>
        </w:tc>
        <w:tc>
          <w:tcPr>
            <w:tcW w:w="1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Cargo Transport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2,860,871</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Questex Media Group LLC, Term</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L+650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Loan A</w:t>
            </w:r>
          </w:p>
        </w:tc>
        <w:tc>
          <w:tcPr>
            <w:tcW w:w="740" w:type="dxa"/>
            <w:vAlign w:val="bottom"/>
            <w:gridSpan w:val="3"/>
          </w:tcPr>
          <w:p>
            <w:pPr>
              <w:ind w:left="40"/>
              <w:spacing w:after="0" w:line="159" w:lineRule="exact"/>
              <w:rPr>
                <w:sz w:val="20"/>
                <w:szCs w:val="20"/>
                <w:color w:val="auto"/>
              </w:rPr>
            </w:pPr>
            <w:r>
              <w:rPr>
                <w:rFonts w:ascii="Arial" w:cs="Arial" w:eastAsia="Arial" w:hAnsi="Arial"/>
                <w:sz w:val="14"/>
                <w:szCs w:val="14"/>
                <w:color w:val="auto"/>
                <w:w w:val="96"/>
              </w:rPr>
              <w:t>12/15/2014</w:t>
            </w: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9.50%</w:t>
            </w:r>
          </w:p>
        </w:tc>
        <w:tc>
          <w:tcPr>
            <w:tcW w:w="740" w:type="dxa"/>
            <w:vAlign w:val="bottom"/>
            <w:gridSpan w:val="2"/>
            <w:vMerge w:val="continue"/>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2,971,450</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Questex Media Group LLC, Term</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11.50%</w:t>
            </w:r>
            <w:r>
              <w:rPr>
                <w:rFonts w:ascii="Arial" w:cs="Arial" w:eastAsia="Arial" w:hAnsi="Arial"/>
                <w:sz w:val="22"/>
                <w:szCs w:val="22"/>
                <w:color w:val="auto"/>
                <w:vertAlign w:val="superscript"/>
              </w:rPr>
              <w:t>(6)</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L+750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Loan B</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12/15/2015</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1,990,370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09/13/2016</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Oil and Gas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17,000,000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16,672,749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23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10/15/2017  Buildings and Real Estate</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13.50%</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10,000,000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-3524250</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Point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Spread</w:t>
            </w:r>
          </w:p>
        </w:tc>
        <w:tc>
          <w:tcPr>
            <w:tcW w:w="24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86"/>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4"/>
                <w:szCs w:val="14"/>
                <w:color w:val="auto"/>
              </w:rPr>
            </w:pPr>
          </w:p>
        </w:tc>
        <w:tc>
          <w:tcPr>
            <w:tcW w:w="1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Coupon</w:t>
            </w:r>
          </w:p>
        </w:tc>
        <w:tc>
          <w:tcPr>
            <w:tcW w:w="62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ROC Finance LLC and ROC Finance 1 Corp.</w:t>
            </w:r>
          </w:p>
        </w:tc>
        <w:tc>
          <w:tcPr>
            <w:tcW w:w="118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09/01/2018</w:t>
            </w:r>
          </w:p>
        </w:tc>
        <w:tc>
          <w:tcPr>
            <w:tcW w:w="2480" w:type="dxa"/>
            <w:vAlign w:val="bottom"/>
            <w:gridSpan w:val="3"/>
            <w:shd w:val="clear" w:color="auto" w:fill="CCEEFF"/>
          </w:tcPr>
          <w:p>
            <w:pPr>
              <w:jc w:val="center"/>
              <w:ind w:right="140"/>
              <w:spacing w:after="0" w:line="136" w:lineRule="exact"/>
              <w:rPr>
                <w:sz w:val="20"/>
                <w:szCs w:val="20"/>
                <w:color w:val="auto"/>
              </w:rPr>
            </w:pPr>
            <w:r>
              <w:rPr>
                <w:rFonts w:ascii="Arial" w:cs="Arial" w:eastAsia="Arial" w:hAnsi="Arial"/>
                <w:sz w:val="14"/>
                <w:szCs w:val="14"/>
                <w:color w:val="auto"/>
                <w:w w:val="87"/>
              </w:rPr>
              <w:t>Hotels, Motels, Inns and Gaming</w:t>
            </w:r>
          </w:p>
        </w:tc>
        <w:tc>
          <w:tcPr>
            <w:tcW w:w="9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4"/>
                <w:szCs w:val="14"/>
                <w:color w:val="auto"/>
              </w:rPr>
              <w:t>12.13%</w:t>
            </w:r>
          </w:p>
        </w:tc>
        <w:tc>
          <w:tcPr>
            <w:tcW w:w="480" w:type="dxa"/>
            <w:vAlign w:val="bottom"/>
            <w:shd w:val="clear" w:color="auto" w:fill="CCEEFF"/>
          </w:tcPr>
          <w:p>
            <w:pPr>
              <w:ind w:left="280"/>
              <w:spacing w:after="0" w:line="13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4"/>
                <w:szCs w:val="14"/>
                <w:color w:val="auto"/>
              </w:rPr>
              <w:t>16,000,000</w:t>
            </w:r>
          </w:p>
        </w:tc>
        <w:tc>
          <w:tcPr>
            <w:tcW w:w="96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4"/>
                <w:szCs w:val="14"/>
                <w:color w:val="auto"/>
              </w:rPr>
              <w:t>$ 15,726,668</w:t>
            </w:r>
          </w:p>
        </w:tc>
        <w:tc>
          <w:tcPr>
            <w:tcW w:w="100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4"/>
                <w:szCs w:val="14"/>
                <w:color w:val="auto"/>
              </w:rPr>
              <w:t>$ 16,160,000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Sheridan Holdings,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13,500,000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11,856,253</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Financial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L+600</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7,811,488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7,422,480</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176,092,412</w:t>
            </w: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152,065,785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Notes—65.0%</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11/15/2015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Consumer Products</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26,345,000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26,391,240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12/15/2016</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11.13%</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18,885,000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18,440,262</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04/17/2015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8,109,468</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7,997,216</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Diversitech Corporation</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01/29/2017</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Manufacturing / Basic Industry</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10,783,491</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06/01/2016</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0"/>
              </w:rPr>
              <w:t>Electronics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24,560,142</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Last Mile Funding,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Cargo Transport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44,456,391</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43,380,579</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Education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4,566,982</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01/26/2017</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Chemical, Plastic and Rubber</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13.88%</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33,937,985</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33,119,280</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06/15/2017</w:t>
            </w:r>
          </w:p>
        </w:tc>
        <w:tc>
          <w:tcPr>
            <w:tcW w:w="24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Printing and Publishing</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15,000,000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14,579,991</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10/14/2016</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PAS Technologies,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05/12/2017</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16,785,000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16,400,403</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118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12/03/2016</w:t>
            </w:r>
          </w:p>
        </w:tc>
        <w:tc>
          <w:tcPr>
            <w:tcW w:w="248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0"/>
              </w:rPr>
              <w:t>Mining, Steel, Iron and Non-</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(6)</w:t>
            </w:r>
          </w:p>
        </w:tc>
        <w:tc>
          <w:tcPr>
            <w:tcW w:w="6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26,169,195</w:t>
            </w:r>
          </w:p>
        </w:tc>
        <w:tc>
          <w:tcPr>
            <w:tcW w:w="9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25,667,843</w:t>
            </w:r>
          </w:p>
        </w:tc>
        <w:tc>
          <w:tcPr>
            <w:tcW w:w="10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Precious Metals</w:t>
            </w: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04/15/2018</w:t>
            </w:r>
          </w:p>
        </w:tc>
        <w:tc>
          <w:tcPr>
            <w:tcW w:w="24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Buildings and Real Estate</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11.00%</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9,159,259</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12/29/2015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12,020,950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11,683,548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02/08/2015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Oil and Gas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26,276,070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12/31/2015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12/31/2012</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24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316,401,098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 —1.7%</w:t>
            </w:r>
            <w:r>
              <w:rPr>
                <w:rFonts w:ascii="Arial" w:cs="Arial" w:eastAsia="Arial" w:hAnsi="Arial"/>
                <w:sz w:val="18"/>
                <w:szCs w:val="18"/>
                <w:b w:val="1"/>
                <w:bCs w:val="1"/>
                <w:color w:val="auto"/>
                <w:vertAlign w:val="superscript"/>
              </w:rPr>
              <w:t>(7)</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6.00%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211</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90"/>
              </w:rPr>
              <w:t>Other Media</w:t>
            </w:r>
          </w:p>
        </w:tc>
        <w:tc>
          <w:tcPr>
            <w:tcW w:w="9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7505</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909</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909,248</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20,000</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1,980,000</w:t>
            </w:r>
          </w:p>
        </w:tc>
        <w:tc>
          <w:tcPr>
            <w:tcW w:w="10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020"/>
              <w:spacing w:after="0" w:line="159" w:lineRule="exact"/>
              <w:rPr>
                <w:sz w:val="20"/>
                <w:szCs w:val="20"/>
                <w:color w:val="auto"/>
              </w:rPr>
            </w:pPr>
            <w:r>
              <w:rPr>
                <w:rFonts w:ascii="Arial" w:cs="Arial" w:eastAsia="Arial" w:hAnsi="Arial"/>
                <w:sz w:val="14"/>
                <w:szCs w:val="14"/>
                <w:color w:val="auto"/>
                <w:w w:val="84"/>
              </w:rPr>
              <w:t>Insurance</w:t>
            </w:r>
          </w:p>
        </w:tc>
        <w:tc>
          <w:tcPr>
            <w:tcW w:w="92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686</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1580" w:type="dxa"/>
            <w:vAlign w:val="bottom"/>
            <w:gridSpan w:val="2"/>
          </w:tcPr>
          <w:p>
            <w:pPr>
              <w:jc w:val="center"/>
              <w:ind w:right="1020"/>
              <w:spacing w:after="0" w:line="159" w:lineRule="exact"/>
              <w:rPr>
                <w:sz w:val="20"/>
                <w:szCs w:val="20"/>
                <w:color w:val="auto"/>
              </w:rPr>
            </w:pPr>
            <w:r>
              <w:rPr>
                <w:rFonts w:ascii="Arial" w:cs="Arial" w:eastAsia="Arial" w:hAnsi="Arial"/>
                <w:sz w:val="14"/>
                <w:szCs w:val="14"/>
                <w:color w:val="auto"/>
                <w:w w:val="84"/>
              </w:rPr>
              <w:t>Insurance</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6.50%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1,312</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10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9"/>
              </w:rPr>
              <w:t>Oil and Gas</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101,175</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Personal Transportation</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1,824,167</w:t>
            </w:r>
          </w:p>
        </w:tc>
        <w:tc>
          <w:tcPr>
            <w:tcW w:w="22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24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10,268,187</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8,024,938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4"/>
                <w:szCs w:val="14"/>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72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Common Equity/Warrants/Partnership Interests—7.0%</w:t>
            </w:r>
            <w:r>
              <w:rPr>
                <w:rFonts w:ascii="Arial" w:cs="Arial" w:eastAsia="Arial" w:hAnsi="Arial"/>
                <w:sz w:val="14"/>
                <w:szCs w:val="14"/>
                <w:b w:val="1"/>
                <w:bCs w:val="1"/>
                <w:color w:val="auto"/>
                <w:vertAlign w:val="superscript"/>
              </w:rPr>
              <w:t>(7)</w:t>
            </w: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 (Warrants)</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03/23/2021</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753</w:t>
            </w: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Broadcasting and Entertainment</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1,856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18,556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5,556</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2,277,209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1,079,920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1,236,832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1,079,920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04/27/2020</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Education</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1,221,932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3,239,999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10/14/2013</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122,193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105,697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5"/>
              </w:rPr>
              <w:t>Personal, Food and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(Pre-Paid LegalServices,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Miscellaneous Services</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3,000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4,325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12/29/2019</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6"/>
              </w:rPr>
              <w:t>Cargo Transport</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137,923</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2,111,588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5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110,742</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35,526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23,574,291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Total Investments in Non-Controlled, Non-Affiliated Portfolio Companies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816,078,311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5"/>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Companies—8.8%</w:t>
            </w:r>
            <w:r>
              <w:rPr>
                <w:rFonts w:ascii="Arial" w:cs="Arial" w:eastAsia="Arial" w:hAnsi="Arial"/>
                <w:sz w:val="18"/>
                <w:szCs w:val="18"/>
                <w:b w:val="1"/>
                <w:bCs w:val="1"/>
                <w:color w:val="auto"/>
                <w:vertAlign w:val="superscript"/>
              </w:rPr>
              <w:t>(1),(2)</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07/29/2013</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6,666,666</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2"/>
          </w:tcPr>
          <w:p>
            <w:pPr>
              <w:spacing w:after="0" w:line="122" w:lineRule="exact"/>
              <w:rPr>
                <w:sz w:val="20"/>
                <w:szCs w:val="20"/>
                <w:color w:val="auto"/>
              </w:rPr>
            </w:pPr>
            <w:r>
              <w:rPr>
                <w:rFonts w:ascii="Arial" w:cs="Arial" w:eastAsia="Arial" w:hAnsi="Arial"/>
                <w:sz w:val="14"/>
                <w:szCs w:val="14"/>
                <w:color w:val="auto"/>
              </w:rPr>
              <w:t>EnviroSolutions, Inc.</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4"/>
                <w:szCs w:val="14"/>
                <w:color w:val="auto"/>
              </w:rPr>
              <w:t>07/29/2014</w:t>
            </w:r>
          </w:p>
        </w:tc>
        <w:tc>
          <w:tcPr>
            <w:tcW w:w="2420" w:type="dxa"/>
            <w:vAlign w:val="bottom"/>
            <w:gridSpan w:val="3"/>
          </w:tcPr>
          <w:p>
            <w:pPr>
              <w:jc w:val="center"/>
              <w:ind w:right="100"/>
              <w:spacing w:after="0" w:line="122" w:lineRule="exact"/>
              <w:rPr>
                <w:sz w:val="20"/>
                <w:szCs w:val="20"/>
                <w:color w:val="auto"/>
              </w:rPr>
            </w:pPr>
            <w:r>
              <w:rPr>
                <w:rFonts w:ascii="Arial" w:cs="Arial" w:eastAsia="Arial" w:hAnsi="Arial"/>
                <w:sz w:val="14"/>
                <w:szCs w:val="14"/>
                <w:color w:val="auto"/>
                <w:w w:val="87"/>
              </w:rPr>
              <w:t>Environmental Services</w:t>
            </w:r>
          </w:p>
        </w:tc>
        <w:tc>
          <w:tcPr>
            <w:tcW w:w="780" w:type="dxa"/>
            <w:vAlign w:val="bottom"/>
            <w:gridSpan w:val="2"/>
          </w:tcPr>
          <w:p>
            <w:pPr>
              <w:ind w:left="240"/>
              <w:spacing w:after="0" w:line="122" w:lineRule="exact"/>
              <w:rPr>
                <w:sz w:val="20"/>
                <w:szCs w:val="20"/>
                <w:color w:val="auto"/>
              </w:rPr>
            </w:pPr>
            <w:r>
              <w:rPr>
                <w:rFonts w:ascii="Arial" w:cs="Arial" w:eastAsia="Arial" w:hAnsi="Arial"/>
                <w:sz w:val="14"/>
                <w:szCs w:val="14"/>
                <w:color w:val="auto"/>
              </w:rPr>
              <w:t>8.00%</w:t>
            </w:r>
          </w:p>
        </w:tc>
        <w:tc>
          <w:tcPr>
            <w:tcW w:w="720" w:type="dxa"/>
            <w:vAlign w:val="bottom"/>
            <w:gridSpan w:val="2"/>
          </w:tcPr>
          <w:p>
            <w:pPr>
              <w:ind w:left="120"/>
              <w:spacing w:after="0" w:line="122" w:lineRule="exact"/>
              <w:rPr>
                <w:sz w:val="20"/>
                <w:szCs w:val="20"/>
                <w:color w:val="auto"/>
              </w:rPr>
            </w:pPr>
            <w:r>
              <w:rPr>
                <w:rFonts w:ascii="Arial" w:cs="Arial" w:eastAsia="Arial" w:hAnsi="Arial"/>
                <w:sz w:val="10"/>
                <w:szCs w:val="10"/>
                <w:color w:val="auto"/>
              </w:rPr>
              <w:t>L+600</w:t>
            </w:r>
            <w:r>
              <w:rPr>
                <w:rFonts w:ascii="Arial" w:cs="Arial" w:eastAsia="Arial" w:hAnsi="Arial"/>
                <w:sz w:val="14"/>
                <w:szCs w:val="14"/>
                <w:color w:val="auto"/>
                <w:vertAlign w:val="superscript"/>
              </w:rPr>
              <w:t>(8)</w:t>
            </w:r>
          </w:p>
        </w:tc>
        <w:tc>
          <w:tcPr>
            <w:tcW w:w="860" w:type="dxa"/>
            <w:vAlign w:val="bottom"/>
            <w:gridSpan w:val="3"/>
          </w:tcPr>
          <w:p>
            <w:pPr>
              <w:jc w:val="right"/>
              <w:ind w:right="200"/>
              <w:spacing w:after="0" w:line="122" w:lineRule="exact"/>
              <w:rPr>
                <w:sz w:val="20"/>
                <w:szCs w:val="20"/>
                <w:color w:val="auto"/>
              </w:rPr>
            </w:pPr>
            <w:r>
              <w:rPr>
                <w:rFonts w:ascii="Arial" w:cs="Arial" w:eastAsia="Arial" w:hAnsi="Arial"/>
                <w:sz w:val="14"/>
                <w:szCs w:val="14"/>
                <w:color w:val="auto"/>
              </w:rPr>
              <w:t>5,870,416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5,870,416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5,870,416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01/16/2015</w:t>
            </w:r>
          </w:p>
        </w:tc>
        <w:tc>
          <w:tcPr>
            <w:tcW w:w="242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Leisure, Amusement Motion Pictures</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7.25%</w:t>
            </w:r>
          </w:p>
        </w:tc>
        <w:tc>
          <w:tcPr>
            <w:tcW w:w="720" w:type="dxa"/>
            <w:vAlign w:val="bottom"/>
            <w:gridSpan w:val="2"/>
          </w:tcPr>
          <w:p>
            <w:pPr>
              <w:ind w:left="120"/>
              <w:spacing w:after="0" w:line="165" w:lineRule="exact"/>
              <w:rPr>
                <w:sz w:val="20"/>
                <w:szCs w:val="20"/>
                <w:color w:val="auto"/>
              </w:rPr>
            </w:pPr>
            <w:r>
              <w:rPr>
                <w:rFonts w:ascii="Arial" w:cs="Arial" w:eastAsia="Arial" w:hAnsi="Arial"/>
                <w:sz w:val="12"/>
                <w:szCs w:val="12"/>
                <w:color w:val="auto"/>
              </w:rPr>
              <w:t>L+625</w:t>
            </w:r>
            <w:r>
              <w:rPr>
                <w:rFonts w:ascii="Arial" w:cs="Arial" w:eastAsia="Arial" w:hAnsi="Arial"/>
                <w:sz w:val="19"/>
                <w:szCs w:val="19"/>
                <w:color w:val="auto"/>
                <w:vertAlign w:val="superscript"/>
              </w:rPr>
              <w:t>(8)</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8,000,000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13,870,416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4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6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Subordinated Debt/Corporate Notes—1.4%</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Leisure, Amusement,</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color w:val="auto"/>
              </w:rPr>
              <w:t>15.00%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80" w:type="dxa"/>
            <w:vAlign w:val="bottom"/>
            <w:gridSpan w:val="3"/>
          </w:tcPr>
          <w:p>
            <w:pPr>
              <w:spacing w:after="0" w:line="159" w:lineRule="exact"/>
              <w:rPr>
                <w:sz w:val="20"/>
                <w:szCs w:val="20"/>
                <w:color w:val="auto"/>
              </w:rPr>
            </w:pPr>
            <w:r>
              <w:rPr>
                <w:rFonts w:ascii="Arial" w:cs="Arial" w:eastAsia="Arial" w:hAnsi="Arial"/>
                <w:sz w:val="14"/>
                <w:szCs w:val="14"/>
                <w:color w:val="auto"/>
              </w:rPr>
              <w:t>Performance Holdings, Inc.</w:t>
            </w:r>
          </w:p>
        </w:tc>
        <w:tc>
          <w:tcPr>
            <w:tcW w:w="7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5"/>
              </w:rPr>
              <w:t>07/16/2015</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8"/>
              </w:rPr>
              <w:t>Motion Pictures and Entertainment</w:t>
            </w:r>
          </w:p>
        </w:tc>
        <w:tc>
          <w:tcPr>
            <w:tcW w:w="900" w:type="dxa"/>
            <w:vAlign w:val="bottom"/>
            <w:gridSpan w:val="2"/>
            <w:vMerge w:val="continue"/>
          </w:tcPr>
          <w:p>
            <w:pPr>
              <w:spacing w:after="0"/>
              <w:rPr>
                <w:sz w:val="14"/>
                <w:szCs w:val="14"/>
                <w:color w:val="auto"/>
              </w:rPr>
            </w:pP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6,775,991</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6,617,860</w:t>
            </w:r>
          </w:p>
        </w:tc>
        <w:tc>
          <w:tcPr>
            <w:tcW w:w="4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37,382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2,710,036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9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3,129,447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8"/>
              </w:rPr>
              <w:t>Leisure, Amusement, Motion</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6"/>
              </w:rPr>
              <w:t>Pictures and Entertainment</w:t>
            </w:r>
          </w:p>
        </w:tc>
        <w:tc>
          <w:tcPr>
            <w:tcW w:w="9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3,750,000</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8"/>
              </w:rPr>
              <w:t>Total Investments in Non-Controlled, Affiliated Portfolio Companies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36,744,425</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06/30/2020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9,200,000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06/30/2020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2,300,,000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7"/>
              </w:rPr>
              <w:t>Total Investments in Controlled, Affiliated Portfolio Companies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4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866,322,836</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Equivalents—15.5%</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71,604,519</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937,927,355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20"/>
              <w:spacing w:after="0" w:line="143" w:lineRule="exact"/>
              <w:rPr>
                <w:sz w:val="20"/>
                <w:szCs w:val="20"/>
                <w:color w:val="auto"/>
              </w:rPr>
            </w:pPr>
            <w:r>
              <w:rPr>
                <w:rFonts w:ascii="Arial" w:cs="Arial" w:eastAsia="Arial" w:hAnsi="Arial"/>
                <w:sz w:val="14"/>
                <w:szCs w:val="14"/>
                <w:color w:val="auto"/>
                <w:w w:val="87"/>
              </w:rPr>
              <w:t>(436,495,838)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189"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21"/>
          <w:szCs w:val="21"/>
          <w:color w:val="auto"/>
          <w:vertAlign w:val="superscript"/>
        </w:rPr>
      </w:pPr>
    </w:p>
    <w:p>
      <w:pPr>
        <w:ind w:left="340" w:right="120" w:hanging="332"/>
        <w:spacing w:after="0" w:line="182"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Valued based on our accounting policy (see Note 2).</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Prime rate.</w:t>
      </w:r>
    </w:p>
    <w:p>
      <w:pPr>
        <w:ind w:left="340" w:right="160" w:hanging="332"/>
        <w:spacing w:after="0" w:line="182"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usually to qualified institutional buyers.</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Coupon is payable in cash and/or through PIK.</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Non-income producing securities.</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Coupon is subject to a LIBOR or Prime rate floor.</w:t>
      </w:r>
    </w:p>
    <w:p>
      <w:pPr>
        <w:ind w:left="340" w:hanging="332"/>
        <w:spacing w:after="0" w:line="182"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Represents the purchase of a security with delayed settlement (unfunded investment). This security does not have a basis point spread above an index.</w:t>
      </w:r>
    </w:p>
    <w:p>
      <w:pPr>
        <w:ind w:left="340" w:hanging="332"/>
        <w:spacing w:after="0" w:line="185" w:lineRule="auto"/>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Non-U.S. company or principal place of business outside the United States.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65" w:lineRule="exact"/>
        <w:rPr>
          <w:sz w:val="20"/>
          <w:szCs w:val="20"/>
          <w:color w:val="auto"/>
        </w:rPr>
      </w:pPr>
    </w:p>
    <w:p>
      <w:pPr>
        <w:jc w:val="both"/>
        <w:ind w:right="840" w:firstLine="456"/>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refers to our wholly owned, consolidated small business investment company, or SBIC, PennantPark SBIC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as amended, or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43.6 million shares of common stock through follow-on public offerings, resulting in net proceeds of $441.4 million. During the fiscal year September 30, 2012, we sold 19.4 million shares in follow-on public offerings, resulting in net proceeds of $198.9 million, after estimated offering costs. On September 28, 2012, we completed an offering of 9.0 million shares of common stock at a public offering price of $10.82 per share for gross proceeds of $97.4 million and net proceeds of $93.6 million after underwriting discounts and offering expenses. See Note 14.</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externally managed by PennantPark Investment Advisers. PennantPark Investment Administration provides the administrative services necessary for us to operate. 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satisfy the requirements of regulated investment companies, or RICs, under the Internal Revenue Code of 1986, as amended, or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 InvestmentValuations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116"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record prepayment penalties on loans and debt investments as income. Dividend income, if any, is recognized on an accrual basis on the ex-dividend date to the extent that we expect to collect such amounts.</w:t>
      </w:r>
    </w:p>
    <w:p>
      <w:pPr>
        <w:spacing w:after="0" w:line="13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1480" w:hanging="567"/>
        <w:spacing w:after="0"/>
        <w:tabs>
          <w:tab w:leader="none" w:pos="14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$0.3 million, $0.2 million and $0.1 million for the fiscal years ended September 30, 2012, 2011 and 2010,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35"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Investment’s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base management fee is calculated at an annual rate of 2.00% of our gross assets (net of temporary draws under our Credit Facility and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adjusted for any share issuances or repurchases during the current calendar quarter. For the fiscal years ended September 30, 2012, 2011 and 2010, the Investment Adviser earned base management fees of $17.5 million, $14.9 million and $11.6 million, respectively, from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fiscal years ended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2011 and 2010, the Investment Adviser received an incentive fee of $14.2 million, $13.2 million and $8.0 million, respectively, from us.</w:t>
      </w:r>
    </w:p>
    <w:p>
      <w:pPr>
        <w:spacing w:after="0" w:line="1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fiscal years ended September 30, 2012, 2011 and 2010, resulted in no accrual.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2012, 2011 and 2010, our unrealized and realized capital gains did not exceed our cumulative realized and unrealized losses and resulted in no accrual under GAAP.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2012, 2011 and 2010, the Investment Adviser and Administrator, collectively, were reimbursed $3.6 million, $2.6 million and $2.1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fiscal years ended September 30, 2012, 2011 and 2010, PennantPark Investment was reimbursed $0.7 million,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2012, 2011 and 2010 totaled $337.3 million, $490.6 million and $315.8 million, respectively. Sales and repayments of long-term investments for the fiscal years ended September 30, 2012, 2011 and 2010 totaled $201.7 million, $304.0 million and $145.2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600"/>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4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Fair Value</w:t>
            </w: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4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291,677,553</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305,608,989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296,488,131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191,339,241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189,962,828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165,272,201</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400,682,637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325,318,958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309,329,169</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49,222,034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19,634,989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12,268,187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9,762,932</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87,145,290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120" w:type="dxa"/>
            <w:vAlign w:val="bottom"/>
            <w:shd w:val="clear" w:color="auto" w:fill="CCEEFF"/>
          </w:tcPr>
          <w:p>
            <w:pPr>
              <w:spacing w:after="0"/>
              <w:rPr>
                <w:sz w:val="18"/>
                <w:szCs w:val="18"/>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8"/>
                <w:szCs w:val="18"/>
                <w:color w:val="auto"/>
              </w:rPr>
              <w:t>Total investments</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1,008,611,862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990,479,710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866,322,836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827,548,515</w:t>
            </w:r>
          </w:p>
        </w:tc>
        <w:tc>
          <w:tcPr>
            <w:tcW w:w="120" w:type="dxa"/>
            <w:vAlign w:val="bottom"/>
          </w:tcPr>
          <w:p>
            <w:pPr>
              <w:spacing w:after="0"/>
              <w:rPr>
                <w:sz w:val="19"/>
                <w:szCs w:val="19"/>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2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4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1,016,171,315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998,039,163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937,927,355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899,153,034</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2640" w:type="dxa"/>
            <w:vAlign w:val="bottom"/>
            <w:gridSpan w:val="4"/>
          </w:tcPr>
          <w:p>
            <w:pPr>
              <w:jc w:val="right"/>
              <w:ind w:right="816"/>
              <w:spacing w:after="0"/>
              <w:rPr>
                <w:sz w:val="20"/>
                <w:szCs w:val="20"/>
                <w:color w:val="auto"/>
              </w:rPr>
            </w:pPr>
            <w:r>
              <w:rPr>
                <w:rFonts w:ascii="Arial" w:cs="Arial" w:eastAsia="Arial" w:hAnsi="Arial"/>
                <w:sz w:val="18"/>
                <w:szCs w:val="18"/>
                <w:color w:val="auto"/>
              </w:rPr>
              <w:t>S-69</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4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2012</w:t>
            </w:r>
          </w:p>
        </w:tc>
        <w:tc>
          <w:tcPr>
            <w:tcW w:w="1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148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Personal Transportation</w:t>
            </w:r>
          </w:p>
        </w:tc>
        <w:tc>
          <w:tcPr>
            <w:tcW w:w="14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w w:val="95"/>
              </w:rPr>
              <w:t>100%</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our ability to observe valuation inputs has resulted in no reclassification of assets between Levels 1, 2 and 3. During the fiscal year ended December 31, 2011 there was a transfer out of Level 3 to Level 2.</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5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 at</w:t>
            </w: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24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Valuation Technique</w:t>
            </w:r>
          </w:p>
        </w:tc>
        <w:tc>
          <w:tcPr>
            <w:tcW w:w="18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Unobservable Input</w:t>
            </w:r>
          </w:p>
        </w:tc>
        <w:tc>
          <w:tcPr>
            <w:tcW w:w="2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34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w:t>
            </w:r>
          </w:p>
        </w:tc>
        <w:tc>
          <w:tcPr>
            <w:tcW w:w="2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258,617,082</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Dealer bid quotes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5</w:t>
            </w: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589,806,989</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8.4% –19.0% (14.1%)</w:t>
            </w: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101,323,123</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EBITDA multiple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4.3x –15.5x (8.5x)</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949,747,194</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144,452,500</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investments and our Credit Facility were categorized as follows in the fair value hierarchy for ASC 820 purposes: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Fair Value at September 30, 2012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$ 883,669,431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35,275,360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848,424,071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106,780,279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5,425,378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101,323,123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990,449,710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5,425,378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35,307,138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949,747,194</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7,559,453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$ 998,009,163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12,984,831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35,307,138</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$ 144,452,500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144,452,500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S-72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Fair Value at September 30, 2011</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$ 771,089,501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38,395,050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38,456,141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785,047,779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$ 899,153,034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75,649,114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38,456,141</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$ 238,792,125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238,792,125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6"/>
              </w:rPr>
              <w:t>Year ended September 30, 2012</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Loan and debt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80"/>
              <w:spacing w:after="0" w:line="148" w:lineRule="exact"/>
              <w:rPr>
                <w:sz w:val="20"/>
                <w:szCs w:val="20"/>
                <w:color w:val="auto"/>
              </w:rPr>
            </w:pPr>
            <w:r>
              <w:rPr>
                <w:rFonts w:ascii="Arial" w:cs="Arial" w:eastAsia="Arial" w:hAnsi="Arial"/>
                <w:sz w:val="14"/>
                <w:szCs w:val="14"/>
                <w:b w:val="1"/>
                <w:bCs w:val="1"/>
                <w:color w:val="auto"/>
              </w:rPr>
              <w:t>investments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732,694,451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52,353,328</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785,047,779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(1,893,297)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23,034,558</w:t>
            </w:r>
          </w:p>
        </w:tc>
        <w:tc>
          <w:tcPr>
            <w:tcW w:w="6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(11,283,219)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288,868,017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66,892,499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(194,279,658)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(5,773,713)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848,424,071</w:t>
            </w: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$ 101,323,123</w:t>
            </w:r>
          </w:p>
        </w:tc>
        <w:tc>
          <w:tcPr>
            <w:tcW w:w="4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949,747,194</w:t>
            </w: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 the net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8"/>
              </w:rPr>
              <w:t>change in unrealized appreciation (depreciation) on investments in our Consolidated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25,864,375</w:t>
            </w: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(9,858,219)</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Year ended September 30, 2011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5"/>
              </w:rPr>
              <w:t>Loan and debt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46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615,236,138</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$ 45,137,828</w:t>
            </w:r>
          </w:p>
        </w:tc>
        <w:tc>
          <w:tcPr>
            <w:tcW w:w="46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660,373,966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10,194,422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6,065,196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16,259,618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(48,568,848)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2,904,075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(45,664,773)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1"/>
              </w:rPr>
              <w:t>486,512,694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9,969,861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496,482,555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(292,284,905)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(11,723,632)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(304,008,537)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(38,395,050)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(38,395,050)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732,694,451</w:t>
            </w: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$ 52,353,328</w:t>
            </w:r>
          </w:p>
        </w:tc>
        <w:tc>
          <w:tcPr>
            <w:tcW w:w="4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785,047,779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 the net</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8"/>
              </w:rPr>
              <w:t>change in unrealized appreciation (depreciation) on investments in our Consolidated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(24,916,057)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2,186,601</w:t>
            </w:r>
          </w:p>
        </w:tc>
        <w:tc>
          <w:tcPr>
            <w:tcW w:w="4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(22,729,456)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vMerge w:val="restart"/>
          </w:tcPr>
          <w:p>
            <w:pPr>
              <w:ind w:left="4820"/>
              <w:spacing w:after="0"/>
              <w:rPr>
                <w:sz w:val="20"/>
                <w:szCs w:val="20"/>
                <w:color w:val="auto"/>
              </w:rPr>
            </w:pPr>
            <w:r>
              <w:rPr>
                <w:rFonts w:ascii="Arial" w:cs="Arial" w:eastAsia="Arial" w:hAnsi="Arial"/>
                <w:sz w:val="18"/>
                <w:szCs w:val="18"/>
                <w:color w:val="auto"/>
              </w:rPr>
              <w:t>S-73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Carrying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Credit Facility</w:t>
            </w:r>
          </w:p>
        </w:tc>
        <w:tc>
          <w:tcPr>
            <w:tcW w:w="56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right"/>
              <w:ind w:right="812"/>
              <w:spacing w:after="0" w:line="12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1"/>
                <w:szCs w:val="11"/>
                <w:color w:val="auto"/>
              </w:rPr>
            </w:pPr>
          </w:p>
        </w:tc>
        <w:tc>
          <w:tcPr>
            <w:tcW w:w="98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180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5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Beginning Balance (Cost—$240,900,000 and $227,900,000, respectively)</w:t>
            </w:r>
          </w:p>
        </w:tc>
        <w:tc>
          <w:tcPr>
            <w:tcW w:w="1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238,792,125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213,941,125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gridSpan w:val="2"/>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1,560,375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556,800,000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gridSpan w:val="2"/>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w w:val="90"/>
              </w:rPr>
              <w:t>(688,200,000)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(394,500,000)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Ending Balance (Cost—$109,500,000 and $240,900,000, respectively)</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108,952,500</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Ending Balance (Cost—$145,000,000 and 240,900,000, respectively)</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144,452,500</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and expensed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An affiliated company is a company in which the PennantPark Investment has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purchases and sales. Transactions with affiliates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Purchase of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Sales of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Investment</w:t>
            </w:r>
          </w:p>
        </w:tc>
        <w:tc>
          <w:tcPr>
            <w:tcW w:w="33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3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Advances to</w:t>
            </w:r>
          </w:p>
        </w:tc>
        <w:tc>
          <w:tcPr>
            <w:tcW w:w="2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4"/>
              </w:rPr>
              <w:t>September 30, 2011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w w:val="91"/>
              </w:rPr>
              <w:t>Affiliates</w:t>
            </w:r>
          </w:p>
        </w:tc>
        <w:tc>
          <w:tcPr>
            <w:tcW w:w="280" w:type="dxa"/>
            <w:vAlign w:val="bottom"/>
          </w:tcPr>
          <w:p>
            <w:pPr>
              <w:spacing w:after="0"/>
              <w:rPr>
                <w:sz w:val="14"/>
                <w:szCs w:val="14"/>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7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4"/>
              </w:rPr>
              <w:t>Received</w:t>
            </w:r>
          </w:p>
        </w:tc>
        <w:tc>
          <w:tcPr>
            <w:tcW w:w="140" w:type="dxa"/>
            <w:vAlign w:val="bottom"/>
          </w:tcPr>
          <w:p>
            <w:pPr>
              <w:spacing w:after="0"/>
              <w:rPr>
                <w:sz w:val="14"/>
                <w:szCs w:val="14"/>
                <w:color w:val="auto"/>
              </w:rPr>
            </w:pPr>
          </w:p>
        </w:tc>
        <w:tc>
          <w:tcPr>
            <w:tcW w:w="134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20" w:type="dxa"/>
            <w:vAlign w:val="bottom"/>
          </w:tcPr>
          <w:p>
            <w:pPr>
              <w:spacing w:after="0"/>
              <w:rPr>
                <w:sz w:val="14"/>
                <w:szCs w:val="14"/>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8"/>
              </w:rPr>
              <w:t>Capital Loss</w:t>
            </w:r>
          </w:p>
        </w:tc>
        <w:tc>
          <w:tcPr>
            <w:tcW w:w="0" w:type="dxa"/>
            <w:vAlign w:val="bottom"/>
          </w:tcPr>
          <w:p>
            <w:pPr>
              <w:spacing w:after="0"/>
              <w:rPr>
                <w:sz w:val="1"/>
                <w:szCs w:val="1"/>
                <w:color w:val="auto"/>
              </w:rPr>
            </w:pPr>
          </w:p>
        </w:tc>
      </w:tr>
      <w:tr>
        <w:trPr>
          <w:trHeight w:val="190"/>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13,500,001</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5,500,000</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3,500,000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2,078,611</w:t>
            </w: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13,175,000</w:t>
            </w:r>
          </w:p>
        </w:tc>
        <w:tc>
          <w:tcPr>
            <w:tcW w:w="160" w:type="dxa"/>
            <w:vAlign w:val="bottom"/>
          </w:tcPr>
          <w:p>
            <w:pPr>
              <w:spacing w:after="0"/>
              <w:rPr>
                <w:sz w:val="18"/>
                <w:szCs w:val="18"/>
                <w:color w:val="auto"/>
              </w:rPr>
            </w:pPr>
          </w:p>
        </w:tc>
        <w:tc>
          <w:tcPr>
            <w:tcW w:w="32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24,173,984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4"/>
                <w:szCs w:val="14"/>
                <w:color w:val="auto"/>
              </w:rPr>
              <w:t>24,456,708</w:t>
            </w:r>
            <w:r>
              <w:rPr>
                <w:rFonts w:ascii="Arial" w:cs="Arial" w:eastAsia="Arial" w:hAnsi="Arial"/>
                <w:sz w:val="22"/>
                <w:szCs w:val="22"/>
                <w:color w:val="auto"/>
                <w:vertAlign w:val="superscript"/>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25,740,212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6,815,433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13,657,543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18,425,519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(11,007)</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14,932,921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863,771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18,028,080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27,660,000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758,333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44,501,658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78,347,118</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39,975,433</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17,157,543</w:t>
            </w: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4,067,651</w:t>
            </w:r>
          </w:p>
        </w:tc>
        <w:tc>
          <w:tcPr>
            <w:tcW w:w="14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118,586,965</w:t>
            </w:r>
          </w:p>
        </w:tc>
        <w:tc>
          <w:tcPr>
            <w:tcW w:w="160" w:type="dxa"/>
            <w:vAlign w:val="bottom"/>
          </w:tcPr>
          <w:p>
            <w:pPr>
              <w:spacing w:after="0"/>
              <w:rPr>
                <w:sz w:val="18"/>
                <w:szCs w:val="18"/>
                <w:color w:val="auto"/>
              </w:rPr>
            </w:pPr>
          </w:p>
        </w:tc>
        <w:tc>
          <w:tcPr>
            <w:tcW w:w="32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w w:val="91"/>
              </w:rPr>
              <w:t>(11,007)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Became a controlled affiliate on September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5"/>
              </w:rPr>
              <w:t>Class and Year</w:t>
            </w:r>
          </w:p>
        </w:tc>
        <w:tc>
          <w:tcPr>
            <w:tcW w:w="558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Years ended September 30,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63,353,100</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16,535,491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52,969,278</w:t>
            </w:r>
            <w:r>
              <w:rPr>
                <w:rFonts w:ascii="Arial" w:cs="Arial" w:eastAsia="Arial" w:hAnsi="Arial"/>
                <w:sz w:val="11"/>
                <w:szCs w:val="11"/>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42,196,076</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29,546,772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The denominator for diluted weighted average shares was 52,975,015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2012, 2011 and 2010: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paid-in capital</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(98,294)</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2,176,918</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(2,453,820)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98,294</w:t>
            </w:r>
          </w:p>
        </w:tc>
        <w:tc>
          <w:tcPr>
            <w:tcW w:w="100" w:type="dxa"/>
            <w:vAlign w:val="bottom"/>
            <w:shd w:val="clear" w:color="auto" w:fill="CCEEFF"/>
          </w:tcPr>
          <w:p>
            <w:pPr>
              <w:spacing w:after="0"/>
              <w:rPr>
                <w:sz w:val="18"/>
                <w:szCs w:val="18"/>
                <w:color w:val="auto"/>
              </w:rPr>
            </w:pPr>
          </w:p>
        </w:tc>
      </w:tr>
      <w:tr>
        <w:trPr>
          <w:trHeight w:val="363"/>
        </w:trPr>
        <w:tc>
          <w:tcPr>
            <w:tcW w:w="4860" w:type="dxa"/>
            <w:vAlign w:val="bottom"/>
          </w:tcPr>
          <w:p>
            <w:pPr>
              <w:spacing w:after="0"/>
              <w:rPr>
                <w:sz w:val="24"/>
                <w:szCs w:val="24"/>
                <w:color w:val="auto"/>
              </w:rPr>
            </w:pPr>
          </w:p>
        </w:tc>
        <w:tc>
          <w:tcPr>
            <w:tcW w:w="3460" w:type="dxa"/>
            <w:vAlign w:val="bottom"/>
            <w:gridSpan w:val="2"/>
          </w:tcPr>
          <w:p>
            <w:pPr>
              <w:jc w:val="right"/>
              <w:ind w:right="2363"/>
              <w:spacing w:after="0"/>
              <w:rPr>
                <w:sz w:val="20"/>
                <w:szCs w:val="20"/>
                <w:color w:val="auto"/>
              </w:rPr>
            </w:pPr>
            <w:r>
              <w:rPr>
                <w:rFonts w:ascii="Arial" w:cs="Arial" w:eastAsia="Arial" w:hAnsi="Arial"/>
                <w:sz w:val="18"/>
                <w:szCs w:val="18"/>
                <w:color w:val="auto"/>
              </w:rPr>
              <w:t>S-75</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September 30, 2012 and 2011, the cost of investments for federal income tax purposes was $1,006.8 million and $865.8 million, respectively, resulting in a gross unrealized appreciation of $59.9 million and $31.3 million, respectively, and gross unrealized depreciation of $76.3 million and $69.6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Years ended September 30,</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9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$ 63,353,100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10,263,474</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$ 16,535,491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loss (gain) on investments not taxable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12,798,035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(16,259,622)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15,417,097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 and Credit Facility</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(19,081,794)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58,641,223</w:t>
            </w: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122,029</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2,444,817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(3,178,194)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(321,805)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$ 59,822,148</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49,695,705</w:t>
            </w:r>
          </w:p>
        </w:tc>
        <w:tc>
          <w:tcPr>
            <w:tcW w:w="3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$ 31,752,812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As of September 30,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18,634,553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11,451,782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18,634,553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17,639,482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(56,786,282)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(47,030,821)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(54,591,911)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(21,086,425)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(12,477,778)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(15,815,138)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(36,122,397)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19,300,499</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(75,053,292)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(77,991,514)</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(42,136,121)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2012, the capital loss carry forward of $56.8 million expires, if not utilized against future capital gains, as follows: $1.5 million in 2017, $43.3 million in 2018 and $12.0 million has no expiration date.</w:t>
      </w: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2012 and 2011 were solely from ordinary income and totaled $60.1 million, or $1.13 per share, and $46.3 million, or $1.10 per share,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$7.6 million and $71.6 million, respectively, including amounts in money market funds.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respective years then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10.13</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Cumulative effect of adoption of fair value option</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Adjusted net asset value, beginning of year</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10.69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11.85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11.99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Distributions to stockholders</w:t>
            </w:r>
            <w:r>
              <w:rPr>
                <w:rFonts w:ascii="Arial" w:cs="Arial" w:eastAsia="Arial" w:hAnsi="Arial"/>
                <w:sz w:val="17"/>
                <w:szCs w:val="17"/>
                <w:color w:val="auto"/>
                <w:vertAlign w:val="superscript"/>
              </w:rPr>
              <w:t>(2),(3)</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Offering costs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(0.09)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Accretive (Dilutive) effect of common stock issuance</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10.22</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11.85</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10.61</w:t>
            </w: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300" w:type="dxa"/>
            <w:vAlign w:val="bottom"/>
          </w:tcPr>
          <w:p>
            <w:pPr>
              <w:spacing w:after="0"/>
              <w:rPr>
                <w:sz w:val="13"/>
                <w:szCs w:val="13"/>
                <w:color w:val="auto"/>
              </w:rPr>
            </w:pP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10.61</w:t>
            </w:r>
          </w:p>
        </w:tc>
        <w:tc>
          <w:tcPr>
            <w:tcW w:w="280" w:type="dxa"/>
            <w:vAlign w:val="bottom"/>
          </w:tcPr>
          <w:p>
            <w:pPr>
              <w:spacing w:after="0"/>
              <w:rPr>
                <w:sz w:val="13"/>
                <w:szCs w:val="13"/>
                <w:color w:val="auto"/>
              </w:rPr>
            </w:pP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8.11</w:t>
            </w:r>
          </w:p>
        </w:tc>
        <w:tc>
          <w:tcPr>
            <w:tcW w:w="3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30.39%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65,514,503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45,689,781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36,158,772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6"/>
              </w:rPr>
              <w:t>25,368,772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21,068,772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7.42%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Ratio of Credit Facility related expenses to average net assets</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Ratio of total expenses to average net assets</w:t>
            </w:r>
            <w:r>
              <w:rPr>
                <w:rFonts w:ascii="Arial" w:cs="Arial" w:eastAsia="Arial" w:hAnsi="Arial"/>
                <w:sz w:val="17"/>
                <w:szCs w:val="17"/>
                <w:color w:val="auto"/>
                <w:vertAlign w:val="superscript"/>
              </w:rPr>
              <w:t>(6),(7)</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Net assets at end of year</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669,717,047</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462,657,196</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386,575,223</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7"/>
              </w:rPr>
              <w:t>300,580,268</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7"/>
              </w:rPr>
              <w:t>210,728,260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Weighted average debt outstanding</w:t>
            </w:r>
            <w:r>
              <w:rPr>
                <w:rFonts w:ascii="Arial" w:cs="Arial" w:eastAsia="Arial" w:hAnsi="Arial"/>
                <w:sz w:val="17"/>
                <w:szCs w:val="17"/>
                <w:color w:val="auto"/>
                <w:vertAlign w:val="superscript"/>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4"/>
              </w:rPr>
              <w:t>340,868,033</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278,294,433</w:t>
            </w: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246,216,548</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7"/>
              </w:rPr>
              <w:t>182,490,685</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7"/>
              </w:rPr>
              <w:t>119,472,732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Weighted average debt per share</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6.44</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8.65</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80" w:hanging="332"/>
        <w:spacing w:after="0" w:line="230"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and may differ from amounts determined under GAAP.</w:t>
      </w:r>
    </w:p>
    <w:p>
      <w:pPr>
        <w:ind w:left="340" w:hanging="332"/>
        <w:spacing w:after="0"/>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dividends and distributions, if any, reinvested in accordance with our dividend reinvestment plan.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2012, 2011, 2010, 2009 and 2008, the ratios were 7.11%, 7.38%, 7.95%, 9.32% and 6.47%, respectively.</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2012, 2011, 2010, 2009 and 2008, the ratios were 10.20%, 8.55%, 9.15%, (1.75%) and 9.13%, respectively.</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the SBA debentures outstanding.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ind w:left="460" w:right="7500" w:hanging="452"/>
        <w:spacing w:after="0" w:line="391" w:lineRule="auto"/>
        <w:tabs>
          <w:tab w:leader="none" w:pos="257"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60" w:firstLine="456"/>
        <w:spacing w:after="0" w:line="283"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to $380 million, with certain lenders and SunTrust Bank, acting as administrative agent and JPMorgan Chase Bank, N.A., as syndication agent for the lenders. As of September 30, 2012 and September 30, 2011, there was $145.0 million (including a temporary draw of $35.5 million) and $240.9 million, respectively, in outstanding borrowings under the Credit Facility, with a weighted average interest rate at the time of 3.49% and 1.27%, exclusive of the fee on undrawn commitments of</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0.50% and 0.20%, respectively.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exemptive relief, received in June 2011,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2012.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September 30, 2012, $150.0 million in debt commitments were fully drawn with a weighted average interest rate of 3.70% exclusive of the 3.43% in upfront fees which are amortized over the life of the loan (4.04% after upfront fees). Our fixed rate SBA debentures as of September 30, 2012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Issuance Dates</w:t>
            </w:r>
          </w:p>
        </w:tc>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 All-in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660" w:type="dxa"/>
            <w:vAlign w:val="bottom"/>
          </w:tcPr>
          <w:p>
            <w:pPr>
              <w:spacing w:after="0"/>
              <w:rPr>
                <w:sz w:val="12"/>
                <w:szCs w:val="12"/>
                <w:color w:val="auto"/>
              </w:rPr>
            </w:pPr>
          </w:p>
        </w:tc>
        <w:tc>
          <w:tcPr>
            <w:tcW w:w="212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Maturity</w:t>
            </w:r>
          </w:p>
        </w:tc>
        <w:tc>
          <w:tcPr>
            <w:tcW w:w="14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Coupon Rate(1)</w:t>
            </w:r>
          </w:p>
        </w:tc>
        <w:tc>
          <w:tcPr>
            <w:tcW w:w="380" w:type="dxa"/>
            <w:vAlign w:val="bottom"/>
          </w:tcPr>
          <w:p>
            <w:pPr>
              <w:spacing w:after="0"/>
              <w:rPr>
                <w:sz w:val="12"/>
                <w:szCs w:val="12"/>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6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vMerge w:val="continue"/>
            <w:shd w:val="clear" w:color="auto" w:fill="CCEEFF"/>
          </w:tcPr>
          <w:p>
            <w:pPr>
              <w:spacing w:after="0"/>
              <w:rPr>
                <w:sz w:val="17"/>
                <w:szCs w:val="17"/>
                <w:color w:val="auto"/>
              </w:rPr>
            </w:pPr>
          </w:p>
        </w:tc>
        <w:tc>
          <w:tcPr>
            <w:tcW w:w="266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80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3.50%</w:t>
            </w: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4780" w:type="dxa"/>
            <w:vAlign w:val="bottom"/>
            <w:gridSpan w:val="3"/>
          </w:tcPr>
          <w:p>
            <w:pPr>
              <w:ind w:left="266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478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September 1, 2021</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5"/>
              </w:rPr>
              <w:t>3.38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2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6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the use of our reports dated November 14, 2012 with respect to the consolidated financial statements and the effectiveness of internal control over financial reporting for PennantPark Investment Corporation and subsidiaries included herein and to the references to our firm under the headings “Selected Financial Data”, and “Senior Securities” in the Registration Statement on Form 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009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6,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255905</wp:posOffset>
            </wp:positionV>
            <wp:extent cx="141478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8 and “Sales of Common Stock Below Net Asset Value” on page 52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December 16, 2011 was $10.16 per share, and our net asset value on September 30, 2011 was $10.13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9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6, 2012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3"/>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BUSINESS</w:t>
              </w:r>
            </w:hyperlink>
          </w:p>
        </w:tc>
        <w:tc>
          <w:tcPr>
            <w:tcW w:w="1016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70">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91">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DESCRIPTION OF OUR UNITS</w:t>
              </w:r>
            </w:hyperlink>
          </w:p>
        </w:tc>
        <w:tc>
          <w:tcPr>
            <w:tcW w:w="86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05">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11">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212">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4"/>
              </w:rPr>
            </w:pPr>
            <w:hyperlink w:anchor="page221">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000" w:type="dxa"/>
            <w:vAlign w:val="bottom"/>
            <w:gridSpan w:val="33"/>
          </w:tcPr>
          <w:p>
            <w:pPr>
              <w:spacing w:after="0"/>
              <w:rPr>
                <w:sz w:val="20"/>
                <w:szCs w:val="20"/>
                <w:color w:val="auto"/>
              </w:rPr>
            </w:pPr>
            <w:r>
              <w:rPr>
                <w:rFonts w:ascii="Arial" w:cs="Arial" w:eastAsia="Arial" w:hAnsi="Arial"/>
                <w:sz w:val="18"/>
                <w:szCs w:val="18"/>
                <w:color w:val="auto"/>
              </w:rPr>
              <w:t>PART C OTHER INFORMATION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0" w:type="dxa"/>
            <w:vAlign w:val="bottom"/>
            <w:gridSpan w:val="33"/>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or any future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$1.2 billion in debt and equity capital and has invested over $1.5 billion in more than 150 companies with over 70 different financial sponsors through its managed funds.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See “Management’s Discussion and Analysis of Financial Condition and Results of Operations—Liquidity and Capital Resources” for more information.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stockholder expenses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3.34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9.31</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9680" w:space="720"/>
            <w:col w:w="1000"/>
          </w:cols>
          <w:pgMar w:left="240" w:top="459" w:right="259" w:bottom="1440" w:gutter="0" w:footer="0" w:header="0"/>
          <w:type w:val="continuous"/>
        </w:sectPr>
      </w:pPr>
    </w:p>
    <w:p>
      <w:pPr>
        <w:ind w:left="460" w:right="2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2011.</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2011. See “Certain Relationships and Transactions—Investment Management Agreement” for more information.</w:t>
      </w:r>
    </w:p>
    <w:p>
      <w:pPr>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6.11%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$ 221</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per share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 be at a higher cost or on less favorable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SBA debentures.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may be unable to make distributions to us that will enable us to meet or maintain RIC status.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board of directors. Decreases in the market value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4"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10"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1"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60" w:hanging="446"/>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price for our common stockholders or otherwise be in your best interest. Our senior securities may include conversion features that cause them to bear risks more closely associated with an investment in our common stock.</w:t>
      </w:r>
    </w:p>
    <w:p>
      <w:pPr>
        <w:spacing w:after="0" w:line="51" w:lineRule="exact"/>
        <w:rPr>
          <w:sz w:val="20"/>
          <w:szCs w:val="20"/>
          <w:color w:val="auto"/>
        </w:rPr>
      </w:pPr>
    </w:p>
    <w:p>
      <w:pPr>
        <w:ind w:left="900" w:right="100" w:hanging="446"/>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0"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SBA Debentures</w:t>
      </w:r>
      <w:r>
        <w:rPr>
          <w:rFonts w:ascii="Arial" w:cs="Arial" w:eastAsia="Arial" w:hAnsi="Arial"/>
          <w:sz w:val="16"/>
          <w:szCs w:val="16"/>
          <w:color w:val="auto"/>
        </w:rPr>
        <w:t>. 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is licensed by the SBA and is subject to SBA regulations.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In July 2010, our wholly-owned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SBIC LP’s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wholly-owned subsidiary.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lenders would receive proceeds before our stockholders. Additionally, the SBA, as a lender and an administrative agent, has a superior claim over the assets of SBIC LP in relation to our lender. In addition, borrowings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920" w:type="dxa"/>
            <w:vAlign w:val="bottom"/>
          </w:tcPr>
          <w:p>
            <w:pPr>
              <w:ind w:lef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and of PennantPark Floating Rate Capital Ltd., another BDC.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each quarter-end,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liability maturities. Our borrowings under our Credit Facility and SBIC LP’s SBA debentures are collateralized by the assets in each entity’s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60" w:hanging="446"/>
        <w:spacing w:after="0" w:line="28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loss of BDC,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90" w:lineRule="exact"/>
        <w:rPr>
          <w:sz w:val="20"/>
          <w:szCs w:val="20"/>
          <w:color w:val="auto"/>
        </w:rPr>
      </w:pPr>
    </w:p>
    <w:p>
      <w:pPr>
        <w:ind w:left="900" w:right="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21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distribute our common stock as a dividend of our taxable income,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of 2002 (the “Sarbanes-Oxley Act”), and other rules implemented by the SEC and the listing standards of the NASDAQ.</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the interest rate at that time was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60,140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(42,382)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w w:val="89"/>
              </w:rPr>
              <w:t>Consolidated Statement of Assets and Liabilities data (at period end):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$ 26,139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$ 15,095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$ 13,159</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$ 11,171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(46,260)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$ 14,351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(31,165)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$ 13,587</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$ 25,522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$ 16,681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8,957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7,059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$ 11,847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10,770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5,666</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rPr>
              <w:t>$ 20,162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$ 36,932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$ 26,180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$ 42,199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$ 11,431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4,449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(16,475)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11,263</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(37,778)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(11,041)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15,204</w:t>
            </w:r>
          </w:p>
        </w:tc>
        <w:tc>
          <w:tcPr>
            <w:tcW w:w="60" w:type="dxa"/>
            <w:vAlign w:val="bottom"/>
          </w:tcPr>
          <w:p>
            <w:pPr>
              <w:spacing w:after="0"/>
              <w:rPr>
                <w:sz w:val="18"/>
                <w:szCs w:val="18"/>
                <w:color w:val="auto"/>
              </w:rPr>
            </w:pP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 (33,329)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Q4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$ 5,425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$ 3,208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 (18,870)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$(5,152)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right"/>
              <w:ind w:right="415"/>
              <w:spacing w:after="0"/>
              <w:rPr>
                <w:sz w:val="20"/>
                <w:szCs w:val="20"/>
                <w:color w:val="auto"/>
              </w:rPr>
            </w:pPr>
            <w:r>
              <w:rPr>
                <w:rFonts w:ascii="Arial" w:cs="Arial" w:eastAsia="Arial" w:hAnsi="Arial"/>
                <w:sz w:val="18"/>
                <w:szCs w:val="18"/>
                <w:color w:val="auto"/>
              </w:rPr>
              <w:t>$ (14,522)</w:t>
            </w: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89"/>
              </w:rPr>
              <w:t>$(1,944)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 (0.09)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$ 13.74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$ 14.04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SBIC LP under its administration agreement with us. Our board of directors, a majority of whom are independent of us and PennantPark Investment Advisers, supervises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0.90%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5.58%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September 30, 2011.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SBA debentures in the amount of $150.0 million outstanding with a weighted average interest rate of 3.70%, exclusive of the 3.43%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upfront fees (4.04% inclusive of the the 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2011. See the Consolidated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90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the Investment Adviser responsible for the portfolio investment;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76"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Consolidated Statement of Assets and Liabilities and changes in fair value of our Credit Facility are recorded in Consolidated Statement of Operations. We elected not to apply ASC 825-10 to any other financial assets or liabilities including the SBA debentures. For the years ended September 30, 2011 and 2010, our Credit Facility had a new change in unrealized appreciation of $11.9 million and $35.7 million, respectively. As of September 30, 2011 and 2010, net unrealized depreciation on our Credit Facility totaled $2.1 million and $14.0 million, respectively. We use nationally recognized independent valuation services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the sum of our ordinary income and realized net short-term capital gains, if any, our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growth in our overall portfolio which was also driven by investment of the proceeds from our equity offering and rotation out of lower yielding assets.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growth in our overall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2009 totaled $22.4 million. Base management fee for the same period totaled $7.7 million, performance-based incentive fee totaled $5.7 million, Credit Facility and SBA debentures related expenses totaled $4.6 million, general and administrative expenses totaled $4.4 million. The increase in expenses over the prior year was due to the growth of our portfolio and offset by the reduced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 investment income totaled $52.6 million or $1.25 per share, $32.1 million or $1.09 per share and $22.7 million or $1.08 per share for the fiscal years ended September 30, 2011, 2010 and 2009, respectively. The increase in per share net investment income from 2010 to 2011 was the result of the growth of our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$(46.8) million, $35.5 million and $44.5 million for the fiscal years ended September 30, 2011, 2010 and 2009, respectively. Net change in unrealized (appreciation) deprecation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uses of existing funds and any funds raised in the future is expected to be for repayment of indebtedness, investments in portfolio companies, cash distributions to our shareholders and for other general corporate purposes.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25, 2007, PennantPark Investment entered into the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were in compliance with the terms of our Credit Facility.</w:t>
      </w:r>
    </w:p>
    <w:p>
      <w:pPr>
        <w:spacing w:after="0" w:line="14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contributed $75.0 million to SBIC LP and had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As of September 30, 2011</w:t>
            </w:r>
          </w:p>
        </w:tc>
        <w:tc>
          <w:tcPr>
            <w:tcW w:w="52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180"/>
              <w:spacing w:after="0"/>
              <w:rPr>
                <w:sz w:val="20"/>
                <w:szCs w:val="20"/>
                <w:color w:val="auto"/>
              </w:rPr>
            </w:pPr>
            <w:r>
              <w:rPr>
                <w:rFonts w:ascii="Arial" w:cs="Arial" w:eastAsia="Arial" w:hAnsi="Arial"/>
                <w:sz w:val="14"/>
                <w:szCs w:val="14"/>
                <w:b w:val="1"/>
                <w:bCs w:val="1"/>
                <w:color w:val="auto"/>
              </w:rPr>
              <w:t>Issuance Dates</w:t>
            </w:r>
          </w:p>
        </w:tc>
        <w:tc>
          <w:tcPr>
            <w:tcW w:w="440" w:type="dxa"/>
            <w:vAlign w:val="bottom"/>
          </w:tcPr>
          <w:p>
            <w:pPr>
              <w:spacing w:after="0"/>
              <w:rPr>
                <w:sz w:val="15"/>
                <w:szCs w:val="15"/>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520" w:type="dxa"/>
            <w:vAlign w:val="bottom"/>
          </w:tcPr>
          <w:p>
            <w:pPr>
              <w:spacing w:after="0"/>
              <w:rPr>
                <w:sz w:val="15"/>
                <w:szCs w:val="15"/>
                <w:color w:val="auto"/>
              </w:rPr>
            </w:pPr>
          </w:p>
        </w:tc>
        <w:tc>
          <w:tcPr>
            <w:tcW w:w="124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Fixed SBA Debentures</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22, 2010</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29, 2011</w:t>
            </w:r>
          </w:p>
        </w:tc>
        <w:tc>
          <w:tcPr>
            <w:tcW w:w="2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44,500,000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September 21, 2011</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105,000,000</w:t>
            </w:r>
          </w:p>
        </w:tc>
        <w:tc>
          <w:tcPr>
            <w:tcW w:w="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Interim SBA Debentures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SBA Commitment</w:t>
            </w: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2011, SBIC LP was in compliance with its regulatory requirements.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September 30, 2011, we had approximately $49 million of assets bearing a coupon of 9% or lower. We will look to rotate these assets into new higher yielding investments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net cash proceeds of $95.6 million for the same period, primarily from proceeds from our follow-on public offerings of common stock. Our operating activities used cash primarily for investing, that was provided from proceeds from secondary public offerings and draws under our Credit Facility.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$42.4 million for the fiscal year ended September 30, 2009, and our financing activities provided net cash proceeds of $35.4 million for the same period, primarily from borrowings under our Credit Facility. Our operating activities used cash primarily for investing, that was provided from proceeds from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borrowings under our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2011 was 2.20% exclusive of the fee on undrawn commitment of 0.20% on the Credit Facility and 3.43% of upfront fees on the SBA debentures.</w:t>
      </w:r>
    </w:p>
    <w:p>
      <w:pPr>
        <w:ind w:left="460" w:right="30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first lien secured debt and subordinated debt investments.</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 For the fiscal years ended September 30, 2011 and 2010, we have elected to retain a portion of our calendar year income and record an excise tax of $0.2 million and $0.1 million,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40" w:firstLine="8"/>
        <w:spacing w:after="0" w:line="253"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Assuming that the balance sheet as of September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2011, 2010, 2009, 2008 and 2007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98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Amount</w:t>
            </w:r>
          </w:p>
        </w:tc>
        <w:tc>
          <w:tcPr>
            <w:tcW w:w="8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640" w:type="dxa"/>
            <w:vAlign w:val="bottom"/>
          </w:tcPr>
          <w:p>
            <w:pPr>
              <w:spacing w:after="0"/>
              <w:rPr>
                <w:sz w:val="15"/>
                <w:szCs w:val="15"/>
                <w:color w:val="auto"/>
              </w:rPr>
            </w:pPr>
          </w:p>
        </w:tc>
        <w:tc>
          <w:tcPr>
            <w:tcW w:w="18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92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28,039</w:t>
            </w:r>
          </w:p>
        </w:tc>
        <w:tc>
          <w:tcPr>
            <w:tcW w:w="90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16, 2011, the last reported closing price of our common stock was $10.16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5"/>
                <w:szCs w:val="5"/>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 (as of December 16, 2011)</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$ 11.02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$ 8.57</w:t>
            </w:r>
          </w:p>
        </w:tc>
        <w:tc>
          <w:tcPr>
            <w:tcW w:w="4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13.05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10.94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9.15</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12.83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shares traded on the NASDAQ Global Select Market at $8.92 and $10.61 as of September 30, 2011 and September 30, 2010, respectively. Our NAV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 and $10.69, as of September 30, 2011 and September 30, 2010, respectively. The possibility that our shares of common stock will trade at a discount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asset value or at a premium that is unsustainable over the long term is separate and distinct from the risk that our net asset value will decrease. It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possible to predict whether our shares will trade at, above or below net asset value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89"/>
              </w:rPr>
              <w:t>Example 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20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30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8"/>
              </w:rPr>
              <w:t>at 20% Discount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offering proceeds per share to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1,100,000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NAV per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34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363"/>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ind w:right="257"/>
              <w:spacing w:after="0"/>
              <w:rPr>
                <w:sz w:val="20"/>
                <w:szCs w:val="20"/>
                <w:color w:val="auto"/>
              </w:rPr>
            </w:pPr>
            <w:r>
              <w:rPr>
                <w:rFonts w:ascii="Arial" w:cs="Arial" w:eastAsia="Arial" w:hAnsi="Arial"/>
                <w:sz w:val="18"/>
                <w:szCs w:val="18"/>
                <w:color w:val="auto"/>
                <w:w w:val="79"/>
              </w:rPr>
              <w:t>53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6"/>
              </w:rPr>
              <w:t>Example 1</w:t>
            </w: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00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99,800</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96,700</w:t>
            </w:r>
          </w:p>
        </w:tc>
        <w:tc>
          <w:tcPr>
            <w:tcW w:w="42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by stockholder A (assumed to be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Investment per share held by stockholder A (assumed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to be $10.00 per share on shares held prior to sale)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Percentage dilution to stockholder A (dilution per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divided by investment per share)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 compared to the price they pay for their shares. Investors who are not currently stockholders and who participate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2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r>
      <w:tr>
        <w:trPr>
          <w:trHeight w:val="224"/>
        </w:trPr>
        <w:tc>
          <w:tcPr>
            <w:tcW w:w="35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r>
      <w:tr>
        <w:trPr>
          <w:trHeight w:val="161"/>
        </w:trPr>
        <w:tc>
          <w:tcPr>
            <w:tcW w:w="35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1,050,000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5,025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3</w:t>
            </w: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20% Offering</w:t>
            </w:r>
          </w:p>
        </w:tc>
      </w:t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20% Discount</w:t>
            </w:r>
          </w:p>
        </w:tc>
      </w:tr>
      <w:tr>
        <w:trPr>
          <w:trHeight w:val="224"/>
        </w:trPr>
        <w:tc>
          <w:tcPr>
            <w:tcW w:w="44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r>
      <w:tr>
        <w:trPr>
          <w:trHeight w:val="161"/>
        </w:trPr>
        <w:tc>
          <w:tcPr>
            <w:tcW w:w="44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6"/>
              </w:rPr>
              <w:t>Sale</w:t>
            </w: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9.91</w:t>
            </w:r>
          </w:p>
        </w:tc>
        <w:tc>
          <w:tcPr>
            <w:tcW w:w="44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9.52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(0.07)</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0.39</w:t>
            </w:r>
          </w:p>
        </w:tc>
        <w:tc>
          <w:tcPr>
            <w:tcW w:w="4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4.10%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14.17%</w:t>
            </w:r>
          </w:p>
        </w:tc>
      </w:tr>
      <w:tr>
        <w:trPr>
          <w:trHeight w:val="363"/>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8"/>
              </w:rPr>
              <w:t>Record Dates</w:t>
            </w:r>
          </w:p>
        </w:tc>
        <w:tc>
          <w:tcPr>
            <w:tcW w:w="3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600" w:type="dxa"/>
            <w:vAlign w:val="bottom"/>
          </w:tcPr>
          <w:p>
            <w:pPr>
              <w:spacing w:after="0"/>
              <w:rPr>
                <w:sz w:val="14"/>
                <w:szCs w:val="14"/>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December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June 30, 2008</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March 31,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December 31, 2007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8 to our Consolidated Financial Statements as of September 30,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323" w:lineRule="auto"/>
        <w:tabs>
          <w:tab w:leader="none" w:pos="249" w:val="left"/>
        </w:tabs>
        <w:numPr>
          <w:ilvl w:val="0"/>
          <w:numId w:val="60"/>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See “Material U.S. Federal Income Tax Considerations” for more information.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as a RIC, under the Code.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on July 30,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preservation, diversification and active management. Since our Investment Adviser’s inception in 2007, it has raised about $1.2 billion in debt and equity capital and has invested over $1.5 billion in more than 150 companies with more than 70 different financial sponsors through its managed funds.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“Management’s Discussion and Analysis of Financial Condition and Results of Operations—Liquidity and Capital Resources” for more information.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Structurally, mezzanine debt, which we define to include second lien secured debt and subordinated debt, usually ranks subordinate in priority of payment to senior secured loans and will generally be unsecured.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Mezzanine debt may have interest-only payments in the early years, payable in cash or PIK payments with amortization of principal deferred to the later years of the mezzanine debt. In some cases, we may enter into mezzanine debt that, by its terms, converts into equity or additional debt securities or defers payments of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few years after our investment. Also, in some cases our mezzanine debt may be collateralized by a subordinated lien on some or all of the assets of the borrower. Typically, our mezzanine debt investments have maturities of three to ten years.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ectPr>
          <w:pgSz w:w="11900" w:h="16838" w:orient="portrait"/>
          <w:cols w:equalWidth="0" w:num="1">
            <w:col w:w="11380"/>
          </w:cols>
          <w:pgMar w:left="240" w:top="460" w:right="279" w:bottom="1440" w:gutter="0" w:footer="0" w:header="0"/>
        </w:sectPr>
      </w:pPr>
    </w:p>
    <w:p>
      <w:pPr>
        <w:spacing w:after="0" w:line="147" w:lineRule="exact"/>
        <w:rPr>
          <w:sz w:val="20"/>
          <w:szCs w:val="20"/>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300" w:right="140" w:hanging="429"/>
        <w:spacing w:after="0" w:line="268" w:lineRule="auto"/>
        <w:tabs>
          <w:tab w:leader="none" w:pos="11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60"/>
          </w:cols>
          <w:pgMar w:left="240" w:top="460" w:right="27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00" w:type="dxa"/>
            <w:vAlign w:val="bottom"/>
            <w:vMerge w:val="restart"/>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4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gridSpan w:val="2"/>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840" w:type="dxa"/>
            <w:vAlign w:val="bottom"/>
            <w:gridSpan w:val="2"/>
          </w:tcPr>
          <w:p>
            <w:pPr>
              <w:jc w:val="right"/>
              <w:ind w:right="22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Eureka Hunter Pipeline, LLC (Magnum Hunter</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Resources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Last Mile Funding Corp. (3PD,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Veritext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Kadmon Pharmaceuticals LLC (f/k/a Three River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Pharmaceuticals LLC)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Da-Lite Screen Company,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LTI Flexible Products,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Sugarhouse HSP Gaming Properties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4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3840" w:type="dxa"/>
            <w:vAlign w:val="bottom"/>
            <w:gridSpan w:val="2"/>
            <w:vMerge w:val="restart"/>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84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Home and Office Furnishings, Housewares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Durable 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30, 2011, our portfolio consisted of 48 companies and was invested 36% in senior secured loans, 20% in second lien secured debt, 37% in subordinated debt and 7% in preferred and common equity investments.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2011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2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Preferred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Surgical Holdings, Inc. (AH Holdings, Inc.)</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Suite 250</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Houston, TX 77036-7852</w:t>
            </w:r>
          </w:p>
        </w:tc>
        <w:tc>
          <w:tcPr>
            <w:tcW w:w="3920" w:type="dxa"/>
            <w:vAlign w:val="bottom"/>
            <w:gridSpan w:val="2"/>
            <w:vMerge w:val="continue"/>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86"/>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5"/>
              </w:rPr>
              <w:t>Subordinated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Energy / Utilities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Services, Inc.</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2502 South Main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Kennesaw, GA 30144</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3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Broadcasting and Entertainment</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Common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CEVA Group PLC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Logistics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 St. George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London W1S 1FS</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United Kingdom</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80" w:type="dxa"/>
            <w:vAlign w:val="bottom"/>
            <w:gridSpan w:val="3"/>
          </w:tcPr>
          <w:p>
            <w:pPr>
              <w:spacing w:after="0"/>
              <w:rPr>
                <w:sz w:val="20"/>
                <w:szCs w:val="20"/>
                <w:color w:val="auto"/>
              </w:rPr>
            </w:pPr>
            <w:r>
              <w:rPr>
                <w:rFonts w:ascii="Arial" w:cs="Arial" w:eastAsia="Arial" w:hAnsi="Arial"/>
                <w:sz w:val="14"/>
                <w:szCs w:val="14"/>
                <w:color w:val="auto"/>
              </w:rPr>
              <w:t>Chester Downs and Marina, LLC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Hotels, Motels, Inns and Gaming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Harrah’s Blvd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Chester, PA 19103</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Columbus International, Inc.</w:t>
            </w:r>
          </w:p>
        </w:tc>
        <w:tc>
          <w:tcPr>
            <w:tcW w:w="20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First Lien Secured Debt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Roebuck &amp; Palmetto Sts.</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Bridgetown, Barbados, West Indies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Consolidated Foundries, Inc. (CFHC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Subordinated Debt Preferred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4200 Valley Blvd.</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Pomona, CA 91766</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Telecommunications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Jose, CA 95131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CT Technologies Intermediate Holdings,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LLC (CT Technologies Intermediate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875 North Michigan Avenue</w:t>
            </w:r>
          </w:p>
        </w:tc>
        <w:tc>
          <w:tcPr>
            <w:tcW w:w="392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Chicago, IL 60601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 (DirectBuy Investors, L.P.)</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8450 Broadway</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Merrillville, IN 46410</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Stock</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Diversitech Corporation</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Manufacturing/Basic Industry</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6650 Sugarloaf Parkway, Suite 100,</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Duluth, GA 30097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Eureka Hunter Pipeline, LLC (Magnum Hunter Resources Corporation)</w:t>
            </w:r>
          </w:p>
        </w:tc>
        <w:tc>
          <w:tcPr>
            <w:tcW w:w="3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9"/>
              </w:rPr>
              <w:t>Energy/Utilities Oil and Gas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777 Post Oak Blvd., Suite 650</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Equity Warrants</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Electronics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Good Sam Enterprises, LLC (f/k/a Affinity Group Holdings Inc.)</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3920" w:type="dxa"/>
            <w:vAlign w:val="bottom"/>
            <w:gridSpan w:val="2"/>
            <w:vMerge w:val="continue"/>
            <w:shd w:val="clear" w:color="auto" w:fill="CCEEFF"/>
          </w:tcPr>
          <w:p>
            <w:pPr>
              <w:spacing w:after="0"/>
              <w:rPr>
                <w:sz w:val="12"/>
                <w:szCs w:val="12"/>
                <w:color w:val="auto"/>
              </w:rPr>
            </w:pPr>
          </w:p>
        </w:tc>
        <w:tc>
          <w:tcPr>
            <w:tcW w:w="24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w w:val="96"/>
              </w:rPr>
              <w:t>Greatwide Logistics Services, L.L.C. (Transportation 100 HoldCo, LLC)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12404 Park Central Dr., Ste. 300s</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Hanley-Wood,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Printing and Publishing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Suite 155,</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3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Home and Office Furnishings, Housewares and Durable Consumer</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Products</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Palm Beach, FL 33401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Portfolio Company</w:t>
      </w:r>
    </w:p>
    <w:p>
      <w:pPr>
        <w:spacing w:after="0" w:line="17" w:lineRule="exact"/>
        <w:rPr>
          <w:sz w:val="20"/>
          <w:szCs w:val="20"/>
          <w:color w:val="auto"/>
        </w:rPr>
      </w:pPr>
    </w:p>
    <w:p>
      <w:pPr>
        <w:ind w:left="220" w:right="580" w:hanging="215"/>
        <w:spacing w:after="0" w:line="230" w:lineRule="auto"/>
        <w:rPr>
          <w:sz w:val="20"/>
          <w:szCs w:val="20"/>
          <w:color w:val="auto"/>
        </w:rPr>
      </w:pPr>
      <w:r>
        <w:rPr>
          <w:rFonts w:ascii="Arial" w:cs="Arial" w:eastAsia="Arial" w:hAnsi="Arial"/>
          <w:sz w:val="14"/>
          <w:szCs w:val="14"/>
          <w:color w:val="auto"/>
        </w:rPr>
        <w:t>Kadmon Pharmaceuticals, L.L.C. (f/k/a Three Rivers Pharmaceuticals, L.L.C.)</w:t>
      </w:r>
    </w:p>
    <w:p>
      <w:pPr>
        <w:spacing w:after="0" w:line="222" w:lineRule="auto"/>
        <w:rPr>
          <w:sz w:val="20"/>
          <w:szCs w:val="20"/>
          <w:color w:val="auto"/>
        </w:rPr>
      </w:pPr>
      <w:r>
        <w:rPr>
          <w:rFonts w:ascii="Arial" w:cs="Arial" w:eastAsia="Arial" w:hAnsi="Arial"/>
          <w:sz w:val="14"/>
          <w:szCs w:val="14"/>
          <w:color w:val="auto"/>
        </w:rPr>
        <w:t>Alexandria Center for Life Sciences</w:t>
      </w:r>
    </w:p>
    <w:p>
      <w:pPr>
        <w:spacing w:after="0" w:line="182" w:lineRule="auto"/>
        <w:rPr>
          <w:sz w:val="20"/>
          <w:szCs w:val="20"/>
          <w:color w:val="auto"/>
        </w:rPr>
      </w:pPr>
      <w:r>
        <w:rPr>
          <w:rFonts w:ascii="Arial" w:cs="Arial" w:eastAsia="Arial" w:hAnsi="Arial"/>
          <w:sz w:val="11"/>
          <w:szCs w:val="11"/>
          <w:color w:val="auto"/>
        </w:rPr>
        <w:t>450 East 29</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Floor</w:t>
      </w:r>
    </w:p>
    <w:p>
      <w:pPr>
        <w:spacing w:after="0"/>
        <w:rPr>
          <w:sz w:val="20"/>
          <w:szCs w:val="20"/>
          <w:color w:val="auto"/>
        </w:rPr>
      </w:pPr>
      <w:r>
        <w:rPr>
          <w:rFonts w:ascii="Arial" w:cs="Arial" w:eastAsia="Arial" w:hAnsi="Arial"/>
          <w:sz w:val="14"/>
          <w:szCs w:val="14"/>
          <w:color w:val="auto"/>
        </w:rPr>
        <w:t>New York, NY 10016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r>
      <w:tr>
        <w:trPr>
          <w:trHeight w:val="334"/>
        </w:trPr>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Healthcare, Education and Childcare</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2.5%</w:t>
            </w:r>
          </w:p>
        </w:tc>
      </w:tr>
      <w:tr>
        <w:trPr>
          <w:trHeight w:val="172"/>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-333375</wp:posOffset>
            </wp:positionV>
            <wp:extent cx="7246620" cy="488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460" w:space="720"/>
            <w:col w:w="72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3800" w:type="dxa"/>
            <w:vAlign w:val="bottom"/>
          </w:tcPr>
          <w:p>
            <w:pPr>
              <w:jc w:val="center"/>
              <w:ind w:left="12"/>
              <w:spacing w:after="0"/>
              <w:rPr>
                <w:sz w:val="20"/>
                <w:szCs w:val="20"/>
                <w:color w:val="auto"/>
              </w:rPr>
            </w:pPr>
            <w:r>
              <w:rPr>
                <w:rFonts w:ascii="Arial" w:cs="Arial" w:eastAsia="Arial" w:hAnsi="Arial"/>
                <w:sz w:val="14"/>
                <w:szCs w:val="14"/>
                <w:color w:val="auto"/>
                <w:w w:val="86"/>
              </w:rPr>
              <w:t>Cargo Transport</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 South Service Road, Suite 120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Education</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4"/>
              </w:rPr>
              <w:t>Warrants</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7"/>
              </w:rPr>
              <w:t>Chemical, Plastic and Rubber</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600 S. McClure Road,</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Stanislaus County, CA 95357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PAS Technologies, Inc. (PAS Tech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3"/>
              </w:rPr>
              <w:t>Aerospace and Defense</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North Kansas City, MO 64116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Preferred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2560" w:type="dxa"/>
            <w:vAlign w:val="bottom"/>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8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Pre-Paid Legal Services, Inc. (MidOcean PPL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Pre-Paid Way</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5"/>
              </w:rPr>
              <w:t>Personal, Food and Miscellaneous Services</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Ada, OK 74820</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Mining, Steel, Iron and Non-Precious Metals</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East 44th Street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Questex Media Group LLC (QMG HoldCo, LLC)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0"/>
              </w:rPr>
              <w:t>Other Media</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Newton, MA 02466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RAM Energy Resources,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9"/>
              </w:rPr>
              <w:t>Oil and Gas</w:t>
            </w:r>
          </w:p>
        </w:tc>
        <w:tc>
          <w:tcPr>
            <w:tcW w:w="2560" w:type="dxa"/>
            <w:vAlign w:val="bottom"/>
          </w:tcPr>
          <w:p>
            <w:pPr>
              <w:jc w:val="center"/>
              <w:ind w:left="92"/>
              <w:spacing w:after="0"/>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5100 East Skelly Drive, Suite 650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Tulsa, OK 74135</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8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Buildings and Real Estate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ROC Finance LLC and ROC Finance 1</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20"/>
              <w:spacing w:after="0" w:line="149" w:lineRule="exact"/>
              <w:rPr>
                <w:sz w:val="20"/>
                <w:szCs w:val="20"/>
                <w:color w:val="auto"/>
              </w:rPr>
            </w:pPr>
            <w:r>
              <w:rPr>
                <w:rFonts w:ascii="Arial" w:cs="Arial" w:eastAsia="Arial" w:hAnsi="Arial"/>
                <w:sz w:val="14"/>
                <w:szCs w:val="14"/>
                <w:color w:val="auto"/>
              </w:rPr>
              <w:t>Corp.</w:t>
            </w:r>
          </w:p>
        </w:tc>
        <w:tc>
          <w:tcPr>
            <w:tcW w:w="38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256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Detroit, MI 48226</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60" w:right="2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TRAK Acquisition Corp.</w:t>
            </w:r>
          </w:p>
        </w:tc>
        <w:tc>
          <w:tcPr>
            <w:tcW w:w="30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0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296"/>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rPr>
                <w:sz w:val="20"/>
                <w:szCs w:val="20"/>
                <w:color w:val="auto"/>
              </w:rPr>
            </w:pPr>
            <w:r>
              <w:rPr>
                <w:rFonts w:ascii="Arial" w:cs="Arial" w:eastAsia="Arial" w:hAnsi="Arial"/>
                <w:sz w:val="14"/>
                <w:szCs w:val="14"/>
                <w:color w:val="auto"/>
              </w:rPr>
              <w:t>TransFirst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Financial Services</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Dallas, TX 75225</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(Trizetto Group, Inc.)</w:t>
            </w:r>
          </w:p>
        </w:tc>
        <w:tc>
          <w:tcPr>
            <w:tcW w:w="390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4"/>
              </w:rPr>
              <w:t>Insurance</w:t>
            </w:r>
          </w:p>
        </w:tc>
        <w:tc>
          <w:tcPr>
            <w:tcW w:w="242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4"/>
                <w:szCs w:val="14"/>
                <w:color w:val="auto"/>
                <w:w w:val="88"/>
              </w:rPr>
              <w:t>Preferred Equity</w:t>
            </w:r>
          </w:p>
        </w:tc>
        <w:tc>
          <w:tcPr>
            <w:tcW w:w="7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UP Support Services, Inc. (Universal Pegasus International, Inc.)</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4848 Loop Central Drive</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Oil and Gas</w:t>
            </w: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Houston, TX 77081</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3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Veritext Corp. (VText Holdings, Inc.)</w:t>
            </w:r>
          </w:p>
        </w:tc>
        <w:tc>
          <w:tcPr>
            <w:tcW w:w="390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6"/>
              <w:spacing w:after="0" w:line="12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44113</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VPSI, Inc. (Verde Parent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Personal Transportation</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Yonkers Racing Corp.</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Hotels, Motels, Inns and Gaming</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New York, NY 10704</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EnviroSolutions,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Environmental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205" w:lineRule="exact"/>
              <w:rPr>
                <w:sz w:val="20"/>
                <w:szCs w:val="20"/>
                <w:color w:val="auto"/>
              </w:rPr>
            </w:pPr>
            <w:r>
              <w:rPr>
                <w:rFonts w:ascii="Arial" w:cs="Arial" w:eastAsia="Arial" w:hAnsi="Arial"/>
                <w:sz w:val="23"/>
                <w:szCs w:val="23"/>
                <w:color w:val="auto"/>
                <w:vertAlign w:val="subscript"/>
              </w:rPr>
              <w:t>6.9%</w:t>
            </w:r>
            <w:r>
              <w:rPr>
                <w:rFonts w:ascii="Arial" w:cs="Arial" w:eastAsia="Arial" w:hAnsi="Arial"/>
                <w:sz w:val="10"/>
                <w:szCs w:val="10"/>
                <w:color w:val="auto"/>
              </w:rPr>
              <w:t>(2), (3)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11220 Asset Loop, Suite 201</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Manassas, VA 20109</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Performance Holdings, Inc. (NCP-Performance)</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One Performance Way</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Leisure, Amusement, Motion Pictures, Entertainment</w:t>
            </w: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Chapel Hill, NC 27514</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Arial" w:cs="Arial" w:eastAsia="Arial" w:hAnsi="Arial"/>
                <w:sz w:val="14"/>
                <w:szCs w:val="14"/>
                <w:color w:val="auto"/>
              </w:rPr>
              <w:t>SuttonPark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100%</w:t>
            </w:r>
            <w:r>
              <w:rPr>
                <w:rFonts w:ascii="Arial" w:cs="Arial" w:eastAsia="Arial" w:hAnsi="Arial"/>
                <w:sz w:val="10"/>
                <w:szCs w:val="10"/>
                <w:color w:val="auto"/>
              </w:rPr>
              <w:t>(3), (4)</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New York, NY 10022</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7.6%.</w:t>
      </w:r>
    </w:p>
    <w:p>
      <w:pPr>
        <w:ind w:left="340" w:hanging="332"/>
        <w:spacing w:after="0" w:line="22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Eureka Hunter Pipeline, LLC (Magnum Hunter Resources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Eureka Hunter Pipeline, LLC is a wholly-owned subsidiary of Magnum Hunter Resources and a pipeline gathering system in the Marcellus Shale region.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00" w:type="dxa"/>
            <w:vAlign w:val="bottom"/>
          </w:tcPr>
          <w:p>
            <w:pPr>
              <w:spacing w:after="0"/>
              <w:rPr>
                <w:sz w:val="14"/>
                <w:szCs w:val="14"/>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8"/>
        </w:trPr>
        <w:tc>
          <w:tcPr>
            <w:tcW w:w="5440" w:type="dxa"/>
            <w:vAlign w:val="bottom"/>
            <w:gridSpan w:val="3"/>
            <w:vMerge w:val="continue"/>
          </w:tcPr>
          <w:p>
            <w:pPr>
              <w:spacing w:after="0"/>
              <w:rPr>
                <w:sz w:val="12"/>
                <w:szCs w:val="12"/>
                <w:color w:val="auto"/>
              </w:rPr>
            </w:pPr>
          </w:p>
        </w:tc>
        <w:tc>
          <w:tcPr>
            <w:tcW w:w="3720" w:type="dxa"/>
            <w:vAlign w:val="bottom"/>
            <w:gridSpan w:val="2"/>
          </w:tcPr>
          <w:p>
            <w:pPr>
              <w:jc w:val="right"/>
              <w:ind w:right="195"/>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40" w:type="dxa"/>
            <w:vAlign w:val="bottom"/>
            <w:vMerge w:val="restart"/>
            <w:shd w:val="clear" w:color="auto" w:fill="CCEEFF"/>
          </w:tcPr>
          <w:p>
            <w:pPr>
              <w:spacing w:after="0" w:line="20" w:lineRule="exact"/>
              <w:rPr>
                <w:sz w:val="1"/>
                <w:szCs w:val="1"/>
                <w:color w:val="auto"/>
              </w:rPr>
            </w:pPr>
          </w:p>
        </w:tc>
        <w:tc>
          <w:tcPr>
            <w:tcW w:w="2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Home and Office Furnishings, Housewares &amp; Durable Consumer Products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00" w:type="dxa"/>
            <w:vAlign w:val="bottom"/>
          </w:tcPr>
          <w:p>
            <w:pPr>
              <w:jc w:val="right"/>
              <w:ind w:right="2453"/>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980" w:type="dxa"/>
            <w:vAlign w:val="bottom"/>
            <w:vMerge w:val="restart"/>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Age</w:t>
            </w:r>
          </w:p>
        </w:tc>
        <w:tc>
          <w:tcPr>
            <w:tcW w:w="4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0"/>
              </w:rPr>
              <w:t>Since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Aviv Efrat</w:t>
            </w:r>
          </w:p>
        </w:tc>
        <w:tc>
          <w:tcPr>
            <w:tcW w:w="4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Guy F. Talarico</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Compliance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Investment and PennantPark Floating Rate Capital Ltd. in February 2007 and March 2011,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Investment and PennantPark Floating Rate Capital Ltd. in February 2007 and March 2011,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Investment and PennantPark Floating Rate Capital Ltd. in February 2007 and March 2011,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Investment and PennantPark Floating Rate Capital Ltd. in February 2007 and March 2011,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Investment and PennantPark Floating Rate Capital Ltd. at their inception in January 2007 and March 2011, respectively. He also founded and became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Aviv Efrat (47), Chief Financial Officer and Treasurer. Mr. Efrat became PennantPark Investment’s and PennantPark Floating Rate Capital Ltd.’s Chief Financial Officer and Treasurer in February 2007 and March 2011,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Guy F. Talarico (56), Chief Compliance Officer. Mr. Talarico became PennantPark Investment’s and PennantPark Floating Rate Capital Ltd.’s Chief Compliance Officer in 2008 and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fiscal year ended September 30, 2011,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2011.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jc w:val="center"/>
              <w:ind w:right="420"/>
              <w:spacing w:after="0"/>
              <w:rPr>
                <w:sz w:val="20"/>
                <w:szCs w:val="20"/>
                <w:color w:val="auto"/>
              </w:rPr>
            </w:pPr>
            <w:r>
              <w:rPr>
                <w:rFonts w:ascii="Arial" w:cs="Arial" w:eastAsia="Arial" w:hAnsi="Arial"/>
                <w:sz w:val="14"/>
                <w:szCs w:val="14"/>
                <w:b w:val="1"/>
                <w:bCs w:val="1"/>
                <w:color w:val="auto"/>
                <w:w w:val="88"/>
              </w:rPr>
              <w:t>Pension or retirement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6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w w:val="86"/>
              </w:rPr>
              <w:t>Aggregate</w:t>
            </w:r>
          </w:p>
        </w:tc>
        <w:tc>
          <w:tcPr>
            <w:tcW w:w="190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54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740" w:type="dxa"/>
            <w:vAlign w:val="bottom"/>
          </w:tcPr>
          <w:p>
            <w:pPr>
              <w:spacing w:after="0"/>
              <w:rPr>
                <w:sz w:val="15"/>
                <w:szCs w:val="15"/>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compensation</w:t>
            </w:r>
          </w:p>
        </w:tc>
        <w:tc>
          <w:tcPr>
            <w:tcW w:w="1900" w:type="dxa"/>
            <w:vAlign w:val="bottom"/>
          </w:tcPr>
          <w:p>
            <w:pPr>
              <w:jc w:val="center"/>
              <w:ind w:right="42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director / officer</w:t>
            </w: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Independent Directors have the option to receive their directors’ fees paid in shares of our common stock issued at a price per share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greater of net asset value or the market price at the time of payment. No compensation is expected to be paid to directors who are “interested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2011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42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PennantPark Floating Rate</w:t>
            </w:r>
          </w:p>
        </w:tc>
        <w:tc>
          <w:tcPr>
            <w:tcW w:w="10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Capital Ltd.</w:t>
            </w: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Business development</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Primarily floating rate loans, with an emphasis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company</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senior secured loans, in middle-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market leveraged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the December 2, 2011,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2,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940" w:type="dxa"/>
            <w:vAlign w:val="bottom"/>
            <w:vMerge w:val="restart"/>
          </w:tcPr>
          <w:p>
            <w:pPr>
              <w:spacing w:after="0"/>
              <w:rPr>
                <w:sz w:val="12"/>
                <w:szCs w:val="12"/>
                <w:color w:val="auto"/>
              </w:rPr>
            </w:pPr>
          </w:p>
        </w:tc>
        <w:tc>
          <w:tcPr>
            <w:tcW w:w="1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102,358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113,482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499,475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40,294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855,623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4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309,791 shares held by PennantPark Investment Advisers, LLC.</w:t>
      </w: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2, 2011.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480" w:type="dxa"/>
            <w:vAlign w:val="bottom"/>
          </w:tcPr>
          <w:p>
            <w:pPr>
              <w:spacing w:after="0"/>
              <w:rPr>
                <w:sz w:val="22"/>
                <w:szCs w:val="22"/>
                <w:color w:val="auto"/>
              </w:rPr>
            </w:pPr>
          </w:p>
        </w:tc>
        <w:tc>
          <w:tcPr>
            <w:tcW w:w="378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00" w:type="dxa"/>
            <w:vAlign w:val="bottom"/>
            <w:tcBorders>
              <w:top w:val="single" w:sz="8" w:color="auto"/>
            </w:tcBorders>
            <w:gridSpan w:val="3"/>
          </w:tcPr>
          <w:p>
            <w:pPr>
              <w:ind w:left="360"/>
              <w:spacing w:after="0" w:line="136" w:lineRule="exact"/>
              <w:rPr>
                <w:sz w:val="20"/>
                <w:szCs w:val="20"/>
                <w:color w:val="auto"/>
              </w:rPr>
            </w:pPr>
            <w:r>
              <w:rPr>
                <w:rFonts w:ascii="Arial" w:cs="Arial" w:eastAsia="Arial" w:hAnsi="Arial"/>
                <w:sz w:val="14"/>
                <w:szCs w:val="14"/>
                <w:b w:val="1"/>
                <w:bCs w:val="1"/>
                <w:color w:val="auto"/>
              </w:rPr>
              <w:t>PennantPark Investment</w:t>
            </w:r>
          </w:p>
        </w:tc>
        <w:tc>
          <w:tcPr>
            <w:tcW w:w="2860" w:type="dxa"/>
            <w:vAlign w:val="bottom"/>
            <w:tcBorders>
              <w:top w:val="single" w:sz="8" w:color="auto"/>
            </w:tcBorders>
            <w:gridSpan w:val="4"/>
          </w:tcPr>
          <w:p>
            <w:pPr>
              <w:jc w:val="center"/>
              <w:ind w:right="66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0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Rate Capital Ltd.</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tcPr>
          <w:p>
            <w:pPr>
              <w:jc w:val="right"/>
              <w:ind w:right="680"/>
              <w:spacing w:after="0"/>
              <w:rPr>
                <w:sz w:val="20"/>
                <w:szCs w:val="20"/>
                <w:color w:val="auto"/>
              </w:rPr>
            </w:pPr>
            <w:r>
              <w:rPr>
                <w:rFonts w:ascii="Arial" w:cs="Arial" w:eastAsia="Arial" w:hAnsi="Arial"/>
                <w:sz w:val="18"/>
                <w:szCs w:val="18"/>
                <w:color w:val="auto"/>
              </w:rPr>
              <w:t>$ 50,001–$100,000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480" w:type="dxa"/>
            <w:vAlign w:val="bottom"/>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tcPr>
          <w:p>
            <w:pPr>
              <w:spacing w:after="0"/>
              <w:rPr>
                <w:sz w:val="18"/>
                <w:szCs w:val="18"/>
                <w:color w:val="auto"/>
              </w:rPr>
            </w:pPr>
          </w:p>
        </w:tc>
        <w:tc>
          <w:tcPr>
            <w:tcW w:w="1920" w:type="dxa"/>
            <w:vAlign w:val="bottom"/>
            <w:gridSpan w:val="3"/>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$100,001–$500,000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1–$ 10,000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480" w:type="dxa"/>
            <w:vAlign w:val="bottom"/>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interests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2011, 2010 and 2009, the Investment Adviser earned base management fees, after fee waivers, if any, of $14.9 million, $11.6 million and $7.7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and adjusted for any share issuances or repurchases during the current quarter.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238760</wp:posOffset>
            </wp:positionV>
            <wp:extent cx="2470150" cy="4718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incentive fees of $13.2 million, $8.0 million and $5.7 million, respectively. For the fiscal years ended September 30, 2011, 2010 and 2009 our unrealized capital gains did not exceed our cumulative realized and unrealized capital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22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59"/>
        <w:spacing w:after="0"/>
        <w:tabs>
          <w:tab w:leader="none" w:pos="60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0.25%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0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jc w:val="right"/>
              <w:ind w:right="267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19"/>
          </w:cols>
          <w:pgMar w:left="240" w:top="460" w:right="1440"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60"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-1%)</w:t>
      </w:r>
    </w:p>
    <w:p>
      <w:pPr>
        <w:spacing w:after="0" w:line="32" w:lineRule="exact"/>
        <w:rPr>
          <w:sz w:val="20"/>
          <w:szCs w:val="20"/>
          <w:color w:val="auto"/>
        </w:rPr>
      </w:pPr>
    </w:p>
    <w:p>
      <w:pPr>
        <w:sectPr>
          <w:pgSz w:w="11900" w:h="16838" w:orient="portrait"/>
          <w:cols w:equalWidth="0" w:num="2">
            <w:col w:w="2160" w:space="720"/>
            <w:col w:w="8520"/>
          </w:cols>
          <w:pgMar w:left="240" w:top="460" w:right="259" w:bottom="1440" w:gutter="0" w:footer="0" w:header="0"/>
          <w:type w:val="continuous"/>
        </w:sectPr>
      </w:pPr>
    </w:p>
    <w:p>
      <w:pPr>
        <w:ind w:left="3020" w:hanging="135"/>
        <w:spacing w:after="0"/>
        <w:tabs>
          <w:tab w:leader="none" w:pos="3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2011, 2010 and 2009, the Investment Adviser and Administrator were reimbursed $2.6 million, $2.1 million and $1.7 million, respectively.</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60" w:right="2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years ended September 30, 2011 and 2010, PennantPark Investment was reimbursed $0.5 million and $0.1 million, respectively,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16, 2011 was $10.16 per share. As of September 30,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Held by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6400" w:type="dxa"/>
            <w:vAlign w:val="bottom"/>
            <w:vMerge w:val="restart"/>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Authorized</w:t>
            </w:r>
          </w:p>
        </w:tc>
        <w:tc>
          <w:tcPr>
            <w:tcW w:w="16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Account</w:t>
            </w: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45,689,781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580" w:hanging="5166"/>
        <w:spacing w:after="0" w:line="440" w:lineRule="auto"/>
        <w:tabs>
          <w:tab w:leader="none" w:pos="8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98</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excluding the SBA debentures due to SEC exemptive relief granted June 1,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4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 Factors—Risks Relating to our Business and Structure—Regulations governing our operation as a business development company will affect our ability to, and the way in which we, raise additional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814-00736), filed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8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SBIC LP is licensed under the SBA as a SBIC under Section 301(c) of the 1958 Act. SBIC LP received its license in July 2010.</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LP has invested in a company, it may continue to make follow-on investments in the company, regardless of the size of the business, up and until the time a business offers its securities in a public market.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SBA prohibits an SBIC from financing small businesses in certain industries such as relending, gambling, oil and gas exploration and other passive businesses. Additional SBA prohibitions include investing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an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24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60" w:right="2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acts as our transfer agent, distribution paying agent and registrar.</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principal business address of American Stock Transfer &amp; Trust Company, LLC is P.O. Box 922, Wall Street Station, New York, New York 10269, telephone number: (800) 937-5449. American Stock Transfer &amp; Trust Company may also serve as trustee for offerings of our debt securities.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60" w:right="3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16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20" w:type="dxa"/>
            <w:vAlign w:val="bottom"/>
          </w:tcPr>
          <w:p>
            <w:pPr>
              <w:spacing w:after="0"/>
              <w:rPr>
                <w:sz w:val="19"/>
                <w:szCs w:val="19"/>
                <w:color w:val="auto"/>
              </w:rPr>
            </w:pPr>
          </w:p>
        </w:tc>
      </w:tr>
      <w:tr>
        <w:trPr>
          <w:trHeight w:val="419"/>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82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18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2">
              <w:r>
                <w:rPr>
                  <w:rFonts w:ascii="Arial" w:cs="Arial" w:eastAsia="Arial" w:hAnsi="Arial"/>
                  <w:sz w:val="18"/>
                  <w:szCs w:val="18"/>
                  <w:color w:val="0000EE"/>
                  <w:w w:val="89"/>
                </w:rPr>
                <w:t>Management’s Report on Internal Control over Financial Reporting</w:t>
              </w:r>
            </w:hyperlink>
          </w:p>
        </w:tc>
        <w:tc>
          <w:tcPr>
            <w:tcW w:w="474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Report of Independent Registered Public Accounting Firm On Internal Control Over Financial Reporting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25">
              <w:r>
                <w:rPr>
                  <w:rFonts w:ascii="Arial" w:cs="Arial" w:eastAsia="Arial" w:hAnsi="Arial"/>
                  <w:sz w:val="18"/>
                  <w:szCs w:val="18"/>
                  <w:color w:val="0000EE"/>
                  <w:w w:val="87"/>
                </w:rPr>
                <w:t>Consolidated Statements of Assets and Liabilities as of September 30, 2011 and 2010</w:t>
              </w:r>
            </w:hyperlink>
          </w:p>
        </w:tc>
        <w:tc>
          <w:tcPr>
            <w:tcW w:w="136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26">
              <w:r>
                <w:rPr>
                  <w:rFonts w:ascii="Arial" w:cs="Arial" w:eastAsia="Arial" w:hAnsi="Arial"/>
                  <w:sz w:val="18"/>
                  <w:szCs w:val="18"/>
                  <w:color w:val="0000EE"/>
                  <w:w w:val="86"/>
                </w:rPr>
                <w:t>Consolidated Statements of Operations for the years ended September 30, 2011, 2010 and 2009</w:t>
              </w:r>
            </w:hyperlink>
          </w:p>
        </w:tc>
        <w:tc>
          <w:tcPr>
            <w:tcW w:w="278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27">
              <w:r>
                <w:rPr>
                  <w:rFonts w:ascii="Arial" w:cs="Arial" w:eastAsia="Arial" w:hAnsi="Arial"/>
                  <w:sz w:val="18"/>
                  <w:szCs w:val="18"/>
                  <w:color w:val="0000EE"/>
                  <w:w w:val="87"/>
                </w:rPr>
                <w:t>Consolidated Statements of Changes in Net Assets for the years ended September 30, 2011, 2010 and 2009</w:t>
              </w:r>
            </w:hyperlink>
          </w:p>
        </w:tc>
        <w:tc>
          <w:tcPr>
            <w:tcW w:w="1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Consolidated Statements of Cash Flows for the years ended September 30, 2011, 2010 and 2009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233">
              <w:r>
                <w:rPr>
                  <w:rFonts w:ascii="Arial" w:cs="Arial" w:eastAsia="Arial" w:hAnsi="Arial"/>
                  <w:sz w:val="18"/>
                  <w:szCs w:val="18"/>
                  <w:color w:val="0000EE"/>
                  <w:w w:val="86"/>
                </w:rPr>
                <w:t>Consolidated Schedules of Investments as of September 30, 2011 and 2010</w:t>
              </w:r>
            </w:hyperlink>
          </w:p>
        </w:tc>
        <w:tc>
          <w:tcPr>
            <w:tcW w:w="1460" w:type="dxa"/>
            <w:vAlign w:val="bottom"/>
            <w:tcBorders>
              <w:top w:val="single" w:sz="8" w:color="0000EE"/>
            </w:tcBorders>
            <w:gridSpan w:val="3"/>
          </w:tcPr>
          <w:p>
            <w:pPr>
              <w:spacing w:after="0"/>
              <w:rPr>
                <w:sz w:val="24"/>
                <w:szCs w:val="24"/>
                <w:color w:val="auto"/>
              </w:rPr>
            </w:pPr>
          </w:p>
        </w:tc>
        <w:tc>
          <w:tcPr>
            <w:tcW w:w="2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Notes to the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6"/>
          </w:tcPr>
          <w:p>
            <w:pPr>
              <w:jc w:val="center"/>
              <w:ind w:right="336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2011,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F-3.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773,375,381</w:t>
            </w: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(cost—$816,078,311 and $631,280,755, respectively)</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(cost—$36,744,425 and $17,427,648,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40,673,133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(cost—$13,500,100 and $8,000,100,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13,500,001</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(cost—$866,322,836 and $656,708,503,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827,548,515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10,878,236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13,118,967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12,336,241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18,572,499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37,132,151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(cost—$240,900,000 and $233,100,000,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238,792,125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and $14,500,000, respectively), (See Notes 5 and 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687,362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3,773,829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466,081,018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324,918,623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Common stock, 45,689,781 and 36,158,772 shares are issued and outstanding, respectively.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gridSpan w:val="2"/>
          </w:tcPr>
          <w:p>
            <w:pPr>
              <w:spacing w:after="0"/>
              <w:rPr>
                <w:sz w:val="20"/>
                <w:szCs w:val="20"/>
                <w:color w:val="auto"/>
              </w:rPr>
            </w:pPr>
            <w:r>
              <w:rPr>
                <w:rFonts w:ascii="Arial" w:cs="Arial" w:eastAsia="Arial" w:hAnsi="Arial"/>
                <w:sz w:val="18"/>
                <w:szCs w:val="18"/>
                <w:color w:val="auto"/>
              </w:rPr>
              <w:t>Par value is $0.001 per share and 100,000,000 shares are authorized.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540,603,020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8,326,854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(49,651,922)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(38,774,321)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Years ended September 30,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83,632,455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57,467,862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43,613,233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4,726,387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2,217,320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1,392,381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91,738,495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60,139,757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45,118,771</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14,899,983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11,618,773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13,161,597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8,018,309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2,596,756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2,328,210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Expenses before income tax</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27,966,846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39,093,420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28,065,140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52,645,075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32,074,617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22,718,915</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16,259,622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(15,417,097)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(45,350,345)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36,275,341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(1,439,878)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(2,455,952)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5 and 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(11,851,000)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(35,665,745)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(58,641,223)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52,326,993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(42,381,601)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(15,539,126)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13,083,114</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10,263,474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16,535,491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35,802,029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52,645,075</w:t>
            </w:r>
          </w:p>
        </w:tc>
        <w:tc>
          <w:tcPr>
            <w:tcW w:w="1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32,074,617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gain(loss)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(15,417,097)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(46,790,223)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35,543,716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(11,851,000)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(35,665,745)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10,263,474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16,535,491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35,802,029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(46,347,691)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(32,264,036)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(20,226,021)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114,080,000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107,710,000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Reinvestment of dividends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76,081,973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85,994,955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48,056,008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(See Note 5)</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year balance</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300,580,268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462,657,196</w:t>
            </w:r>
          </w:p>
        </w:tc>
        <w:tc>
          <w:tcPr>
            <w:tcW w:w="1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386,575,223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1,800,646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10,790,000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Years ended September 30,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16,535,491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35,802,029</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Adjustments to reconcile net increase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change in net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(35,543,716)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(44,498,373)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35,665,745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(16,259,622)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15,417,097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(4,203,920)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(2,890,687)</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(479,733,669)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(309,455,078)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(112,693,490)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(10,883,750)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(4,729,590)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304,008,543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145,237,359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27,956,008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(7,275,040)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507,143</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(27,528,767)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(34,212,501)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33,295,475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15,872,049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Increase (Decrease) in interest payable on credit facility and SBA debentures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(652,529)</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(90,927)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258,912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1,066,706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2,134,214</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1,534,818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730,847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1,385,131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(500,423)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(137,812,516)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(127,050,830)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(42,355,514)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107,710,000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34,400,000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(5,986,500)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(39,582,741)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(27,919,260)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(20,226,021)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(4,450,875)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(686,625)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701,900,000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256,000,000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169,600,000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(694,100,000)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(248,000,000)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95,617,615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35,353,979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(31,433,215)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(7,001,535)</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33,247,666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1,814,451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4,149,149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3,161,048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5,014,055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3,829,990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920" w:type="dxa"/>
            <w:vAlign w:val="bottom"/>
          </w:tcPr>
          <w:p>
            <w:pPr>
              <w:spacing w:after="0"/>
              <w:rPr>
                <w:sz w:val="12"/>
                <w:szCs w:val="12"/>
                <w:color w:val="auto"/>
              </w:rPr>
            </w:pPr>
          </w:p>
        </w:tc>
        <w:tc>
          <w:tcPr>
            <w:tcW w:w="146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—167.2%</w:t>
            </w:r>
            <w:r>
              <w:rPr>
                <w:rFonts w:ascii="Arial" w:cs="Arial" w:eastAsia="Arial" w:hAnsi="Arial"/>
                <w:sz w:val="20"/>
                <w:szCs w:val="20"/>
                <w:b w:val="1"/>
                <w:bCs w:val="1"/>
                <w:color w:val="auto"/>
                <w:vertAlign w:val="superscript"/>
              </w:rPr>
              <w:t>(1),(2)</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10/1/2016</w:t>
            </w:r>
          </w:p>
        </w:tc>
        <w:tc>
          <w:tcPr>
            <w:tcW w:w="92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4/1/2018</w:t>
            </w:r>
          </w:p>
        </w:tc>
        <w:tc>
          <w:tcPr>
            <w:tcW w:w="9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7/29/2016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11/20/2014</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Communications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11/3/2015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9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9"/>
              </w:rPr>
              <w:t>12/1/2016</w:t>
            </w: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3/10/2014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8/7/2014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10/4/2016</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Jacuzzi Brands Corp.</w:t>
            </w:r>
          </w:p>
        </w:tc>
        <w:tc>
          <w:tcPr>
            <w:tcW w:w="7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Home and Office</w:t>
            </w:r>
          </w:p>
        </w:tc>
        <w:tc>
          <w:tcPr>
            <w:tcW w:w="8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2.51%</w:t>
            </w:r>
          </w:p>
        </w:tc>
        <w:tc>
          <w:tcPr>
            <w:tcW w:w="7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Furnishings, Housewares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and Durable Consumer</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6"/>
              </w:rPr>
              <w:t>Products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9/10/2015</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Chemicals, Plastics and</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P+675</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7"/>
              </w:rPr>
              <w:t>Rubber</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Pharmaceuticals, LLC</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(f/k/a Three Rivers Pharmaceutical, L.L.C.)</w:t>
            </w: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5"/>
              </w:rPr>
              <w:t>10/22/2011</w:t>
            </w:r>
          </w:p>
        </w:tc>
        <w:tc>
          <w:tcPr>
            <w:tcW w:w="238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94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4/27/2016</w:t>
            </w:r>
          </w:p>
        </w:tc>
        <w:tc>
          <w:tcPr>
            <w:tcW w:w="23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Education</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8/1/2014</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Prepaid Legal Services, Inc., Tranche A</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5"/>
              </w:rPr>
              <w:t>Personal, Food and</w:t>
            </w:r>
          </w:p>
        </w:tc>
        <w:tc>
          <w:tcPr>
            <w:tcW w:w="80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7.50%</w:t>
            </w:r>
            <w:r>
              <w:rPr>
                <w:rFonts w:ascii="Arial" w:cs="Arial" w:eastAsia="Arial" w:hAnsi="Arial"/>
                <w:sz w:val="19"/>
                <w:szCs w:val="19"/>
                <w:color w:val="auto"/>
                <w:vertAlign w:val="superscript"/>
              </w:rPr>
              <w:t>(6)</w:t>
            </w:r>
          </w:p>
        </w:tc>
        <w:tc>
          <w:tcPr>
            <w:tcW w:w="72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L+600</w:t>
            </w:r>
            <w:r>
              <w:rPr>
                <w:rFonts w:ascii="Arial" w:cs="Arial" w:eastAsia="Arial" w:hAnsi="Arial"/>
                <w:sz w:val="19"/>
                <w:szCs w:val="19"/>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94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line="139" w:lineRule="exact"/>
              <w:rPr>
                <w:sz w:val="20"/>
                <w:szCs w:val="20"/>
                <w:color w:val="auto"/>
              </w:rPr>
            </w:pPr>
            <w:r>
              <w:rPr>
                <w:rFonts w:ascii="Arial" w:cs="Arial" w:eastAsia="Arial" w:hAnsi="Arial"/>
                <w:sz w:val="14"/>
                <w:szCs w:val="14"/>
                <w:color w:val="auto"/>
                <w:w w:val="85"/>
              </w:rPr>
              <w:t>Personal, Food and</w:t>
            </w: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39" w:lineRule="exact"/>
              <w:rPr>
                <w:sz w:val="20"/>
                <w:szCs w:val="20"/>
                <w:color w:val="auto"/>
              </w:rPr>
            </w:pPr>
            <w:r>
              <w:rPr>
                <w:rFonts w:ascii="Arial" w:cs="Arial" w:eastAsia="Arial" w:hAnsi="Arial"/>
                <w:sz w:val="14"/>
                <w:szCs w:val="14"/>
                <w:color w:val="auto"/>
              </w:rPr>
              <w:t>35,000,000</w:t>
            </w: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33,978,263</w:t>
            </w:r>
          </w:p>
        </w:tc>
        <w:tc>
          <w:tcPr>
            <w:tcW w:w="80" w:type="dxa"/>
            <w:vAlign w:val="bottom"/>
          </w:tcPr>
          <w:p>
            <w:pPr>
              <w:spacing w:after="0"/>
              <w:rPr>
                <w:sz w:val="12"/>
                <w:szCs w:val="12"/>
                <w:color w:val="auto"/>
              </w:rPr>
            </w:pP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12/23/2015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Personal Transportation</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7/15/2016</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2/1/2017</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8/16/2018</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8/15/2012</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12/15/2014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9/13/2016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10/15/2017</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9/1/2018</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94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tcBorders>
              <w:bottom w:val="single" w:sz="8" w:color="CCEEFF"/>
            </w:tcBorders>
            <w:gridSpan w:val="2"/>
          </w:tcPr>
          <w:p>
            <w:pPr>
              <w:jc w:val="right"/>
              <w:ind w:right="8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946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974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2"/>
                <w:szCs w:val="12"/>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50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Notes—65.0%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11/15/2015</w:t>
            </w: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$26,345,000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102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8"/>
              </w:rPr>
              <w:t>12/15/2016</w:t>
            </w: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Diversified / Conglomerate</w:t>
            </w:r>
          </w:p>
        </w:tc>
        <w:tc>
          <w:tcPr>
            <w:tcW w:w="8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11.13%</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18,885,000</w:t>
            </w:r>
          </w:p>
        </w:tc>
        <w:tc>
          <w:tcPr>
            <w:tcW w:w="8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Foundries,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4/17/2015</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8,109,468</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Diversitech Corporation</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1/29/2017</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89"/>
              </w:rPr>
              <w:t>Manufacturing/Basic</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11,000,000</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Industry</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6/1/2016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Electronics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24,560,142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Last Mile Funding, Corp.</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14.50%</w:t>
            </w:r>
            <w:r>
              <w:rPr>
                <w:rFonts w:ascii="Arial" w:cs="Arial" w:eastAsia="Arial" w:hAnsi="Arial"/>
                <w:sz w:val="22"/>
                <w:szCs w:val="22"/>
                <w:color w:val="auto"/>
                <w:vertAlign w:val="superscript"/>
              </w:rPr>
              <w:t>(6)</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(3PD, Inc.)</w:t>
            </w:r>
          </w:p>
        </w:tc>
        <w:tc>
          <w:tcPr>
            <w:tcW w:w="720" w:type="dxa"/>
            <w:vAlign w:val="bottom"/>
            <w:gridSpan w:val="2"/>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6"/>
              </w:rPr>
              <w:t>6/30/2016</w:t>
            </w:r>
          </w:p>
        </w:tc>
        <w:tc>
          <w:tcPr>
            <w:tcW w:w="300" w:type="dxa"/>
            <w:vAlign w:val="bottom"/>
            <w:shd w:val="clear" w:color="auto" w:fill="CCEEFF"/>
          </w:tcPr>
          <w:p>
            <w:pPr>
              <w:spacing w:after="0"/>
              <w:rPr>
                <w:sz w:val="13"/>
                <w:szCs w:val="13"/>
                <w:color w:val="auto"/>
              </w:rPr>
            </w:pPr>
          </w:p>
        </w:tc>
        <w:tc>
          <w:tcPr>
            <w:tcW w:w="222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44,456,391</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7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6/30/2016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4,566,982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720" w:type="dxa"/>
            <w:vAlign w:val="bottom"/>
            <w:gridSpan w:val="2"/>
            <w:shd w:val="clear" w:color="auto" w:fill="CCEEFF"/>
          </w:tcPr>
          <w:p>
            <w:pPr>
              <w:jc w:val="center"/>
              <w:ind w:left="72"/>
              <w:spacing w:after="0" w:line="138" w:lineRule="exact"/>
              <w:rPr>
                <w:sz w:val="20"/>
                <w:szCs w:val="20"/>
                <w:color w:val="auto"/>
              </w:rPr>
            </w:pPr>
            <w:r>
              <w:rPr>
                <w:rFonts w:ascii="Arial" w:cs="Arial" w:eastAsia="Arial" w:hAnsi="Arial"/>
                <w:sz w:val="14"/>
                <w:szCs w:val="14"/>
                <w:color w:val="auto"/>
                <w:w w:val="86"/>
              </w:rPr>
              <w:t>1/26/2017</w:t>
            </w: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Chemical, Plastic and</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13.88%</w:t>
            </w:r>
            <w:r>
              <w:rPr>
                <w:rFonts w:ascii="Arial" w:cs="Arial" w:eastAsia="Arial" w:hAnsi="Arial"/>
                <w:sz w:val="15"/>
                <w:szCs w:val="15"/>
                <w:color w:val="auto"/>
                <w:vertAlign w:val="superscript"/>
              </w:rPr>
              <w:t>(6)</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33,937,985</w:t>
            </w:r>
          </w:p>
        </w:tc>
        <w:tc>
          <w:tcPr>
            <w:tcW w:w="94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7"/>
              </w:rPr>
              <w:t>Rubber</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6/15/2017</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8"/>
              </w:rPr>
              <w:t>Printing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14.50%</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15,000,000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10/14/2016</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19,000,000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5/12/2017</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14.02%</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16,785,000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12/3/2016</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90"/>
              </w:rPr>
              <w:t>Mining, Steel, Iron</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26,169,195</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and Non-Precious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Metals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4/15/2018</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7"/>
              </w:rPr>
              <w:t>Buildings and Real</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10,000,000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Estate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12/29/2015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12,020,950</w:t>
            </w:r>
          </w:p>
        </w:tc>
        <w:tc>
          <w:tcPr>
            <w:tcW w:w="94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2/8/2015</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26,276,070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12/31/2015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15,000,000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20" w:type="dxa"/>
            <w:vAlign w:val="bottom"/>
            <w:tcBorders>
              <w:bottom w:val="single" w:sz="8" w:color="CCEEFF"/>
            </w:tcBorders>
            <w:gridSpan w:val="3"/>
          </w:tcPr>
          <w:p>
            <w:pPr>
              <w:jc w:val="center"/>
              <w:ind w:right="160"/>
              <w:spacing w:after="0" w:line="149" w:lineRule="exact"/>
              <w:rPr>
                <w:sz w:val="20"/>
                <w:szCs w:val="20"/>
                <w:color w:val="auto"/>
              </w:rPr>
            </w:pPr>
            <w:r>
              <w:rPr>
                <w:rFonts w:ascii="Arial" w:cs="Arial" w:eastAsia="Arial" w:hAnsi="Arial"/>
                <w:sz w:val="14"/>
                <w:szCs w:val="14"/>
                <w:color w:val="auto"/>
                <w:w w:val="88"/>
              </w:rPr>
              <w:t>12/31/2012</w:t>
            </w:r>
          </w:p>
        </w:tc>
        <w:tc>
          <w:tcPr>
            <w:tcW w:w="2220" w:type="dxa"/>
            <w:vAlign w:val="bottom"/>
            <w:tcBorders>
              <w:bottom w:val="single" w:sz="8" w:color="CCEEFF"/>
            </w:tcBorders>
            <w:gridSpan w:val="3"/>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tcBorders>
              <w:bottom w:val="single" w:sz="8" w:color="CCEEFF"/>
            </w:tcBorders>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49" w:lineRule="exact"/>
              <w:rPr>
                <w:sz w:val="20"/>
                <w:szCs w:val="20"/>
                <w:color w:val="auto"/>
              </w:rPr>
            </w:pPr>
            <w:r>
              <w:rPr>
                <w:rFonts w:ascii="Arial" w:cs="Arial" w:eastAsia="Arial" w:hAnsi="Arial"/>
                <w:sz w:val="14"/>
                <w:szCs w:val="14"/>
                <w:color w:val="auto"/>
                <w:w w:val="96"/>
              </w:rPr>
              <w:t>12,000,000</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(7)</w:t>
            </w:r>
          </w:p>
        </w:tc>
        <w:tc>
          <w:tcPr>
            <w:tcW w:w="1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85"/>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7,505</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(PAS Technologies)</w:t>
            </w:r>
          </w:p>
        </w:tc>
        <w:tc>
          <w:tcPr>
            <w:tcW w:w="14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50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686</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6.50%</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1,312</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101,175</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Borders>
              <w:bottom w:val="single" w:sz="8" w:color="CCEEFF"/>
            </w:tcBorders>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CCEEFF"/>
            </w:tcBorders>
            <w:gridSpan w:val="3"/>
          </w:tcPr>
          <w:p>
            <w:pPr>
              <w:jc w:val="center"/>
              <w:ind w:right="200"/>
              <w:spacing w:after="0" w:line="159" w:lineRule="exact"/>
              <w:rPr>
                <w:sz w:val="20"/>
                <w:szCs w:val="20"/>
                <w:color w:val="auto"/>
              </w:rPr>
            </w:pPr>
            <w:r>
              <w:rPr>
                <w:rFonts w:ascii="Arial" w:cs="Arial" w:eastAsia="Arial" w:hAnsi="Arial"/>
                <w:sz w:val="14"/>
                <w:szCs w:val="14"/>
                <w:color w:val="auto"/>
                <w:w w:val="86"/>
              </w:rPr>
              <w:t>Personal Transportation</w:t>
            </w:r>
          </w:p>
        </w:tc>
        <w:tc>
          <w:tcPr>
            <w:tcW w:w="800" w:type="dxa"/>
            <w:vAlign w:val="bottom"/>
            <w:tcBorders>
              <w:bottom w:val="single" w:sz="8" w:color="CCEEFF"/>
            </w:tcBorders>
            <w:gridSpan w:val="2"/>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tcBorders>
              <w:bottom w:val="single" w:sz="8" w:color="CCEEFF"/>
            </w:tcBorders>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59" w:lineRule="exact"/>
              <w:rPr>
                <w:sz w:val="20"/>
                <w:szCs w:val="20"/>
                <w:color w:val="auto"/>
              </w:rPr>
            </w:pPr>
            <w:r>
              <w:rPr>
                <w:rFonts w:ascii="Arial" w:cs="Arial" w:eastAsia="Arial" w:hAnsi="Arial"/>
                <w:sz w:val="14"/>
                <w:szCs w:val="14"/>
                <w:color w:val="auto"/>
              </w:rPr>
              <w:t>1,824,167</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10,268,187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8,024,938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2"/>
                <w:szCs w:val="12"/>
                <w:color w:val="auto"/>
              </w:rPr>
            </w:pPr>
          </w:p>
        </w:tc>
        <w:tc>
          <w:tcPr>
            <w:tcW w:w="14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7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2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Equity/Warrants/Partnership Interests—7.0%</w:t>
            </w:r>
            <w:r>
              <w:rPr>
                <w:rFonts w:ascii="Arial" w:cs="Arial" w:eastAsia="Arial" w:hAnsi="Arial"/>
                <w:sz w:val="13"/>
                <w:szCs w:val="13"/>
                <w:b w:val="1"/>
                <w:bCs w:val="1"/>
                <w:color w:val="auto"/>
                <w:vertAlign w:val="superscript"/>
              </w:rPr>
              <w:t>(7)</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3/23/2021</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(Consolidated Foundries,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00"/>
              <w:spacing w:after="0"/>
              <w:rPr>
                <w:sz w:val="20"/>
                <w:szCs w:val="20"/>
                <w:color w:val="auto"/>
              </w:rPr>
            </w:pPr>
            <w:r>
              <w:rPr>
                <w:rFonts w:ascii="Arial" w:cs="Arial" w:eastAsia="Arial" w:hAnsi="Arial"/>
                <w:sz w:val="14"/>
                <w:szCs w:val="14"/>
                <w:color w:val="auto"/>
                <w:w w:val="84"/>
              </w:rPr>
              <w:t>Defense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18,556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2,277,209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Consumer Products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1,236,832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1,028,807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1,221,932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3,239,999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10/14/2013</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122,193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(Pre-Paid LegalServices,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color w:val="auto"/>
                <w:w w:val="85"/>
              </w:rPr>
              <w:t>Services</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(PAS Technologies)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tcPr>
          <w:p>
            <w:pPr>
              <w:spacing w:after="0"/>
              <w:rPr>
                <w:sz w:val="13"/>
                <w:szCs w:val="13"/>
                <w:color w:val="auto"/>
              </w:rPr>
            </w:pPr>
          </w:p>
        </w:tc>
        <w:tc>
          <w:tcPr>
            <w:tcW w:w="7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4"/>
              </w:rPr>
              <w:t>12/29/2019</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Cargo Transport</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4"/>
              </w:rPr>
              <w:t>Insurance</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110,742</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 VPSI,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Personal Transportation</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Non-Affiliated Portfolio Companies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816,078,311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Companies—8.8%</w:t>
            </w:r>
            <w:r>
              <w:rPr>
                <w:rFonts w:ascii="Arial" w:cs="Arial" w:eastAsia="Arial" w:hAnsi="Arial"/>
                <w:sz w:val="18"/>
                <w:szCs w:val="18"/>
                <w:b w:val="1"/>
                <w:bCs w:val="1"/>
                <w:color w:val="auto"/>
                <w:vertAlign w:val="superscript"/>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7/29/2013</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2.72%</w:t>
            </w: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6,666,666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color w:val="auto"/>
                <w:w w:val="87"/>
              </w:rPr>
              <w:t>L+600</w:t>
            </w:r>
            <w:r>
              <w:rPr>
                <w:rFonts w:ascii="Arial" w:cs="Arial" w:eastAsia="Arial" w:hAnsi="Arial"/>
                <w:sz w:val="22"/>
                <w:szCs w:val="22"/>
                <w:color w:val="auto"/>
                <w:w w:val="87"/>
                <w:vertAlign w:val="superscript"/>
              </w:rPr>
              <w:t>(8)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7/29/2014</w:t>
            </w:r>
          </w:p>
        </w:tc>
        <w:tc>
          <w:tcPr>
            <w:tcW w:w="228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8.00%</w:t>
            </w:r>
          </w:p>
        </w:tc>
        <w:tc>
          <w:tcPr>
            <w:tcW w:w="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5,870,416</w:t>
            </w: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5,870,416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5,870,416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ind w:left="120"/>
              <w:spacing w:after="0" w:line="212" w:lineRule="exact"/>
              <w:rPr>
                <w:sz w:val="20"/>
                <w:szCs w:val="20"/>
                <w:color w:val="auto"/>
              </w:rPr>
            </w:pPr>
            <w:r>
              <w:rPr>
                <w:rFonts w:ascii="Arial" w:cs="Arial" w:eastAsia="Arial" w:hAnsi="Arial"/>
                <w:sz w:val="14"/>
                <w:szCs w:val="14"/>
                <w:color w:val="auto"/>
                <w:w w:val="87"/>
              </w:rPr>
              <w:t>L+625</w:t>
            </w:r>
            <w:r>
              <w:rPr>
                <w:rFonts w:ascii="Arial" w:cs="Arial" w:eastAsia="Arial" w:hAnsi="Arial"/>
                <w:sz w:val="22"/>
                <w:szCs w:val="22"/>
                <w:color w:val="auto"/>
                <w:w w:val="87"/>
                <w:vertAlign w:val="superscript"/>
              </w:rPr>
              <w:t>(8)</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66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7.25%</w:t>
            </w: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1"/>
                <w:szCs w:val="11"/>
                <w:color w:val="auto"/>
              </w:rPr>
            </w:pPr>
          </w:p>
        </w:tc>
        <w:tc>
          <w:tcPr>
            <w:tcW w:w="74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center"/>
              <w:ind w:right="60"/>
              <w:spacing w:after="0"/>
              <w:rPr>
                <w:sz w:val="20"/>
                <w:szCs w:val="20"/>
                <w:color w:val="auto"/>
              </w:rPr>
            </w:pPr>
            <w:r>
              <w:rPr>
                <w:rFonts w:ascii="Arial" w:cs="Arial" w:eastAsia="Arial" w:hAnsi="Arial"/>
                <w:sz w:val="14"/>
                <w:szCs w:val="14"/>
                <w:color w:val="auto"/>
                <w:w w:val="88"/>
              </w:rPr>
              <w:t>Motion Pictures and Entertainment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Total Second Lien Secured Debt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946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4"/>
              </w:rPr>
              <w:t>Industry</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Notes—1.4%</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7/16/2015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w w:val="91"/>
              </w:rPr>
              <w:t>15.00%</w:t>
            </w:r>
            <w:r>
              <w:rPr>
                <w:rFonts w:ascii="Arial" w:cs="Arial" w:eastAsia="Arial" w:hAnsi="Arial"/>
                <w:sz w:val="22"/>
                <w:szCs w:val="22"/>
                <w:color w:val="auto"/>
                <w:w w:val="91"/>
                <w:vertAlign w:val="superscript"/>
              </w:rPr>
              <w:t>(6)</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vMerge w:val="continue"/>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6,775,991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6,617,860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37,382</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2,710,036</w:t>
            </w: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3,129,447</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3,750,000</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w w:val="94"/>
              </w:rPr>
              <w:t>36,744,425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9,200,000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2,300,000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866,322,836</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2"/>
              </w:rPr>
              <w:t>71,604,519</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937,927,355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7"/>
              </w:rPr>
              <w:t>(436,495,838)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w:t>
      </w: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Current</w:t>
            </w: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800" w:type="dxa"/>
            <w:vAlign w:val="bottom"/>
          </w:tcPr>
          <w:p>
            <w:pPr>
              <w:spacing w:after="0"/>
              <w:rPr>
                <w:sz w:val="12"/>
                <w:szCs w:val="12"/>
                <w:color w:val="auto"/>
              </w:rPr>
            </w:pPr>
          </w:p>
        </w:tc>
        <w:tc>
          <w:tcPr>
            <w:tcW w:w="13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8"/>
              </w:rPr>
              <w:t>Coupon</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1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shd w:val="clear" w:color="auto" w:fill="CCEEFF"/>
          </w:tcPr>
          <w:p>
            <w:pPr>
              <w:jc w:val="right"/>
              <w:ind w:right="3200"/>
              <w:spacing w:after="0" w:line="176" w:lineRule="exact"/>
              <w:rPr>
                <w:sz w:val="20"/>
                <w:szCs w:val="20"/>
                <w:color w:val="auto"/>
              </w:rPr>
            </w:pPr>
            <w:r>
              <w:rPr>
                <w:rFonts w:ascii="Arial" w:cs="Arial" w:eastAsia="Arial" w:hAnsi="Arial"/>
                <w:sz w:val="20"/>
                <w:szCs w:val="20"/>
                <w:b w:val="1"/>
                <w:bCs w:val="1"/>
                <w:color w:val="auto"/>
                <w:vertAlign w:val="subscript"/>
              </w:rPr>
              <w:t>165.9%</w:t>
            </w:r>
            <w:r>
              <w:rPr>
                <w:rFonts w:ascii="Arial" w:cs="Arial" w:eastAsia="Arial" w:hAnsi="Arial"/>
                <w:sz w:val="9"/>
                <w:szCs w:val="9"/>
                <w:b w:val="1"/>
                <w:bCs w:val="1"/>
                <w:color w:val="auto"/>
              </w:rPr>
              <w:t>(1),(2)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L+900</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Airvana Networks Solution,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8/27/2014</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11.00%</w:t>
            </w:r>
          </w:p>
        </w:tc>
        <w:tc>
          <w:tcPr>
            <w:tcW w:w="780" w:type="dxa"/>
            <w:vAlign w:val="bottom"/>
            <w:gridSpan w:val="2"/>
            <w:vMerge w:val="continue"/>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$13,583,333</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w w:val="95"/>
              </w:rPr>
              <w:t>$ 13,316,337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$ 13,447,500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6/21/2015</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15.00%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w w:val="97"/>
              </w:rPr>
              <w:t>L+1,300</w:t>
            </w:r>
            <w:r>
              <w:rPr>
                <w:rFonts w:ascii="Arial" w:cs="Arial" w:eastAsia="Arial" w:hAnsi="Arial"/>
                <w:sz w:val="20"/>
                <w:szCs w:val="20"/>
                <w:color w:val="auto"/>
                <w:w w:val="97"/>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16,363,636</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1/31/2011</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3,636,364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0"/>
                <w:szCs w:val="10"/>
                <w:color w:val="auto"/>
              </w:rPr>
              <w:t>CEVA Group PLC</w:t>
            </w:r>
            <w:r>
              <w:rPr>
                <w:rFonts w:ascii="Arial" w:cs="Arial" w:eastAsia="Arial" w:hAnsi="Arial"/>
                <w:sz w:val="14"/>
                <w:szCs w:val="14"/>
                <w:color w:val="auto"/>
                <w:vertAlign w:val="superscript"/>
              </w:rPr>
              <w:t>(5),(10)</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10/1/2016</w:t>
            </w:r>
          </w:p>
        </w:tc>
        <w:tc>
          <w:tcPr>
            <w:tcW w:w="800" w:type="dxa"/>
            <w:vAlign w:val="bottom"/>
          </w:tcPr>
          <w:p>
            <w:pPr>
              <w:spacing w:after="0"/>
              <w:rPr>
                <w:sz w:val="10"/>
                <w:szCs w:val="10"/>
                <w:color w:val="auto"/>
              </w:rPr>
            </w:pPr>
          </w:p>
        </w:tc>
        <w:tc>
          <w:tcPr>
            <w:tcW w:w="1300" w:type="dxa"/>
            <w:vAlign w:val="bottom"/>
            <w:gridSpan w:val="2"/>
          </w:tcPr>
          <w:p>
            <w:pPr>
              <w:jc w:val="center"/>
              <w:ind w:right="760"/>
              <w:spacing w:after="0" w:line="122" w:lineRule="exact"/>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11.63%</w:t>
            </w:r>
          </w:p>
        </w:tc>
        <w:tc>
          <w:tcPr>
            <w:tcW w:w="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4/1/2018</w:t>
            </w:r>
          </w:p>
        </w:tc>
        <w:tc>
          <w:tcPr>
            <w:tcW w:w="800" w:type="dxa"/>
            <w:vAlign w:val="bottom"/>
          </w:tcPr>
          <w:p>
            <w:pPr>
              <w:spacing w:after="0"/>
              <w:rPr>
                <w:sz w:val="15"/>
                <w:szCs w:val="15"/>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11.50%</w:t>
            </w:r>
          </w:p>
        </w:tc>
        <w:tc>
          <w:tcPr>
            <w:tcW w:w="78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987,774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gridSpan w:val="3"/>
          </w:tcPr>
          <w:p>
            <w:pPr>
              <w:spacing w:after="0" w:line="148" w:lineRule="exact"/>
              <w:rPr>
                <w:sz w:val="20"/>
                <w:szCs w:val="20"/>
                <w:color w:val="auto"/>
              </w:rPr>
            </w:pPr>
            <w:r>
              <w:rPr>
                <w:rFonts w:ascii="Arial" w:cs="Arial" w:eastAsia="Arial" w:hAnsi="Arial"/>
                <w:sz w:val="14"/>
                <w:szCs w:val="14"/>
                <w:color w:val="auto"/>
              </w:rPr>
              <w:t>Chester Downs and Marina, LLC</w:t>
            </w:r>
          </w:p>
        </w:tc>
        <w:tc>
          <w:tcPr>
            <w:tcW w:w="8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rPr>
              <w:t>7/31/2016</w:t>
            </w:r>
          </w:p>
        </w:tc>
        <w:tc>
          <w:tcPr>
            <w:tcW w:w="2100" w:type="dxa"/>
            <w:vAlign w:val="bottom"/>
            <w:gridSpan w:val="3"/>
          </w:tcPr>
          <w:p>
            <w:pPr>
              <w:jc w:val="center"/>
              <w:spacing w:after="0" w:line="148"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12.38%</w:t>
            </w: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L+988</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9,250,000</w:t>
            </w:r>
          </w:p>
        </w:tc>
        <w:tc>
          <w:tcPr>
            <w:tcW w:w="80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11/20/2014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7/29/2013</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6,666,666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8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10/1/2014</w:t>
            </w:r>
          </w:p>
        </w:tc>
        <w:tc>
          <w:tcPr>
            <w:tcW w:w="8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780"/>
              <w:spacing w:after="0" w:line="122" w:lineRule="exact"/>
              <w:rPr>
                <w:sz w:val="20"/>
                <w:szCs w:val="20"/>
                <w:color w:val="auto"/>
              </w:rPr>
            </w:pPr>
            <w:r>
              <w:rPr>
                <w:rFonts w:ascii="Arial" w:cs="Arial" w:eastAsia="Arial" w:hAnsi="Arial"/>
                <w:sz w:val="14"/>
                <w:szCs w:val="14"/>
                <w:color w:val="auto"/>
                <w:w w:val="88"/>
              </w:rPr>
              <w:t>Grocery</w:t>
            </w:r>
          </w:p>
        </w:tc>
        <w:tc>
          <w:tcPr>
            <w:tcW w:w="9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11,905,025</w:t>
            </w:r>
          </w:p>
        </w:tc>
        <w:tc>
          <w:tcPr>
            <w:tcW w:w="88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2/7/2014</w:t>
            </w:r>
          </w:p>
        </w:tc>
        <w:tc>
          <w:tcPr>
            <w:tcW w:w="21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2.71%</w:t>
            </w: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9,744,595</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2"/>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4/27/2016</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26,052,631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1/18/2014</w:t>
            </w:r>
          </w:p>
        </w:tc>
        <w:tc>
          <w:tcPr>
            <w:tcW w:w="21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2.54%</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3,844,931</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9,829,738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200,404</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2920" w:type="dxa"/>
            <w:vAlign w:val="bottom"/>
            <w:gridSpan w:val="6"/>
          </w:tcPr>
          <w:p>
            <w:pPr>
              <w:jc w:val="right"/>
              <w:ind w:right="40"/>
              <w:spacing w:after="0" w:line="122" w:lineRule="exact"/>
              <w:rPr>
                <w:sz w:val="20"/>
                <w:szCs w:val="20"/>
                <w:color w:val="auto"/>
              </w:rPr>
            </w:pPr>
            <w:r>
              <w:rPr>
                <w:rFonts w:ascii="Arial" w:cs="Arial" w:eastAsia="Arial" w:hAnsi="Arial"/>
                <w:sz w:val="14"/>
                <w:szCs w:val="14"/>
                <w:color w:val="auto"/>
                <w:w w:val="92"/>
              </w:rPr>
              <w:t>10/22/2011   Healthcare, Education and Childcare</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15.25%</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w w:val="94"/>
              </w:rPr>
              <w:t>P+1,200</w:t>
            </w:r>
            <w:r>
              <w:rPr>
                <w:rFonts w:ascii="Arial" w:cs="Arial" w:eastAsia="Arial" w:hAnsi="Arial"/>
                <w:sz w:val="21"/>
                <w:szCs w:val="21"/>
                <w:color w:val="auto"/>
                <w:w w:val="94"/>
                <w:vertAlign w:val="superscript"/>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7/15/2016</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7.39%</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22" w:lineRule="exact"/>
              <w:rPr>
                <w:sz w:val="20"/>
                <w:szCs w:val="20"/>
                <w:color w:val="auto"/>
              </w:rPr>
            </w:pPr>
            <w:r>
              <w:rPr>
                <w:rFonts w:ascii="Arial" w:cs="Arial" w:eastAsia="Arial" w:hAnsi="Arial"/>
                <w:sz w:val="14"/>
                <w:szCs w:val="14"/>
                <w:color w:val="auto"/>
              </w:rPr>
              <w:t>11,776,589</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10,410,000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7/29/2014</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L+600</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6,237,317</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6,237,317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100" w:type="dxa"/>
            <w:vAlign w:val="bottom"/>
            <w:shd w:val="clear" w:color="auto" w:fill="CCEEFF"/>
          </w:tcPr>
          <w:p>
            <w:pPr>
              <w:spacing w:after="0"/>
              <w:rPr>
                <w:sz w:val="12"/>
                <w:szCs w:val="12"/>
                <w:color w:val="auto"/>
              </w:rPr>
            </w:pPr>
          </w:p>
        </w:tc>
        <w:tc>
          <w:tcPr>
            <w:tcW w:w="28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4/30/2015   Healthcare, Education and Childcare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11,958,469</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2,570,357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11/1/2017</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12/15/2014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3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3,219,319</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1,773,703</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10/15/2017</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32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22"/>
                <w:szCs w:val="22"/>
                <w:color w:val="auto"/>
                <w:vertAlign w:val="superscript"/>
              </w:rPr>
              <w:t>(5)</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5/15/2017</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Transportation</w:t>
            </w:r>
          </w:p>
        </w:tc>
        <w:tc>
          <w:tcPr>
            <w:tcW w:w="600" w:type="dxa"/>
            <w:vAlign w:val="bottom"/>
          </w:tcPr>
          <w:p>
            <w:pPr>
              <w:jc w:val="right"/>
              <w:spacing w:after="0"/>
              <w:rPr>
                <w:sz w:val="20"/>
                <w:szCs w:val="20"/>
                <w:color w:val="auto"/>
              </w:rPr>
            </w:pPr>
            <w:r>
              <w:rPr>
                <w:rFonts w:ascii="Arial" w:cs="Arial" w:eastAsia="Arial" w:hAnsi="Arial"/>
                <w:sz w:val="14"/>
                <w:szCs w:val="14"/>
                <w:color w:val="auto"/>
              </w:rPr>
              <w:t>12.50%</w:t>
            </w:r>
          </w:p>
        </w:tc>
        <w:tc>
          <w:tcPr>
            <w:tcW w:w="320" w:type="dxa"/>
            <w:vAlign w:val="bottom"/>
          </w:tcPr>
          <w:p>
            <w:pPr>
              <w:spacing w:after="0"/>
              <w:rPr>
                <w:sz w:val="24"/>
                <w:szCs w:val="2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17,039,991</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-3915410</wp:posOffset>
            </wp:positionV>
            <wp:extent cx="724662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-3538220</wp:posOffset>
            </wp:positionV>
            <wp:extent cx="7246620" cy="946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-1034415</wp:posOffset>
            </wp:positionV>
            <wp:extent cx="7246620" cy="946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4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3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4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Sheridan Holdings, Inc.</w:t>
            </w:r>
          </w:p>
        </w:tc>
        <w:tc>
          <w:tcPr>
            <w:tcW w:w="1520" w:type="dxa"/>
            <w:vAlign w:val="bottom"/>
            <w:gridSpan w:val="3"/>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6/15/2015</w:t>
            </w:r>
          </w:p>
        </w:tc>
        <w:tc>
          <w:tcPr>
            <w:tcW w:w="2160" w:type="dxa"/>
            <w:vAlign w:val="bottom"/>
            <w:gridSpan w:val="3"/>
            <w:shd w:val="clear" w:color="auto" w:fill="CCEEFF"/>
          </w:tcPr>
          <w:p>
            <w:pPr>
              <w:jc w:val="center"/>
              <w:spacing w:after="0" w:line="105" w:lineRule="exact"/>
              <w:rPr>
                <w:sz w:val="20"/>
                <w:szCs w:val="20"/>
                <w:color w:val="auto"/>
              </w:rPr>
            </w:pPr>
            <w:r>
              <w:rPr>
                <w:rFonts w:ascii="Arial" w:cs="Arial" w:eastAsia="Arial" w:hAnsi="Arial"/>
                <w:sz w:val="12"/>
                <w:szCs w:val="12"/>
                <w:color w:val="auto"/>
              </w:rPr>
              <w:t>Healthcare, Education and</w:t>
            </w:r>
          </w:p>
        </w:tc>
        <w:tc>
          <w:tcPr>
            <w:tcW w:w="620" w:type="dxa"/>
            <w:vAlign w:val="bottom"/>
            <w:shd w:val="clear" w:color="auto" w:fill="CCEEFF"/>
          </w:tcPr>
          <w:p>
            <w:pPr>
              <w:jc w:val="right"/>
              <w:spacing w:after="0" w:line="105" w:lineRule="exact"/>
              <w:rPr>
                <w:sz w:val="20"/>
                <w:szCs w:val="20"/>
                <w:color w:val="auto"/>
              </w:rPr>
            </w:pPr>
            <w:r>
              <w:rPr>
                <w:rFonts w:ascii="Arial" w:cs="Arial" w:eastAsia="Arial" w:hAnsi="Arial"/>
                <w:sz w:val="9"/>
                <w:szCs w:val="9"/>
                <w:color w:val="auto"/>
              </w:rPr>
              <w:t>6.05%</w:t>
            </w:r>
            <w:r>
              <w:rPr>
                <w:rFonts w:ascii="Arial" w:cs="Arial" w:eastAsia="Arial" w:hAnsi="Arial"/>
                <w:sz w:val="12"/>
                <w:szCs w:val="12"/>
                <w:color w:val="auto"/>
                <w:vertAlign w:val="superscript"/>
              </w:rPr>
              <w:t>(6)</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00"/>
              <w:spacing w:after="0" w:line="105" w:lineRule="exact"/>
              <w:rPr>
                <w:sz w:val="20"/>
                <w:szCs w:val="20"/>
                <w:color w:val="auto"/>
              </w:rPr>
            </w:pPr>
            <w:r>
              <w:rPr>
                <w:rFonts w:ascii="Arial" w:cs="Arial" w:eastAsia="Arial" w:hAnsi="Arial"/>
                <w:sz w:val="12"/>
                <w:szCs w:val="12"/>
                <w:color w:val="auto"/>
              </w:rPr>
              <w:t>L+575</w:t>
            </w:r>
          </w:p>
        </w:tc>
        <w:tc>
          <w:tcPr>
            <w:tcW w:w="16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60"/>
              <w:spacing w:after="0" w:line="105" w:lineRule="exact"/>
              <w:rPr>
                <w:sz w:val="20"/>
                <w:szCs w:val="20"/>
                <w:color w:val="auto"/>
              </w:rPr>
            </w:pPr>
            <w:r>
              <w:rPr>
                <w:rFonts w:ascii="Arial" w:cs="Arial" w:eastAsia="Arial" w:hAnsi="Arial"/>
                <w:sz w:val="12"/>
                <w:szCs w:val="12"/>
                <w:color w:val="auto"/>
              </w:rPr>
              <w:t>$21,500,000</w:t>
            </w:r>
          </w:p>
        </w:tc>
        <w:tc>
          <w:tcPr>
            <w:tcW w:w="880" w:type="dxa"/>
            <w:vAlign w:val="bottom"/>
            <w:gridSpan w:val="5"/>
            <w:shd w:val="clear" w:color="auto" w:fill="CCEEFF"/>
          </w:tcPr>
          <w:p>
            <w:pPr>
              <w:jc w:val="right"/>
              <w:ind w:right="80"/>
              <w:spacing w:after="0" w:line="105" w:lineRule="exact"/>
              <w:rPr>
                <w:sz w:val="20"/>
                <w:szCs w:val="20"/>
                <w:color w:val="auto"/>
              </w:rPr>
            </w:pPr>
            <w:r>
              <w:rPr>
                <w:rFonts w:ascii="Arial" w:cs="Arial" w:eastAsia="Arial" w:hAnsi="Arial"/>
                <w:sz w:val="12"/>
                <w:szCs w:val="12"/>
                <w:color w:val="auto"/>
              </w:rPr>
              <w:t>$ 19,211,412</w:t>
            </w:r>
          </w:p>
        </w:tc>
        <w:tc>
          <w:tcPr>
            <w:tcW w:w="8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2"/>
                <w:szCs w:val="12"/>
                <w:color w:val="auto"/>
              </w:rPr>
              <w:t>$ 19,887,500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800"/>
              <w:spacing w:after="0"/>
              <w:rPr>
                <w:sz w:val="20"/>
                <w:szCs w:val="20"/>
                <w:color w:val="auto"/>
              </w:rPr>
            </w:pPr>
            <w:r>
              <w:rPr>
                <w:rFonts w:ascii="Arial" w:cs="Arial" w:eastAsia="Arial" w:hAnsi="Arial"/>
                <w:sz w:val="14"/>
                <w:szCs w:val="14"/>
                <w:color w:val="auto"/>
                <w:w w:val="87"/>
              </w:rPr>
              <w:t>Childcare</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L+700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17,811,488</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151,611,934</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4/17/2015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7,973,429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20,720,892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5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4/1/2015</w:t>
            </w:r>
          </w:p>
        </w:tc>
        <w:tc>
          <w:tcPr>
            <w:tcW w:w="21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12.50%</w:t>
            </w:r>
          </w:p>
        </w:tc>
        <w:tc>
          <w:tcPr>
            <w:tcW w:w="64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24,379,843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6"/>
              </w:rPr>
              <w:t>Products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23,283,292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6/30/2016</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3,947,368</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 xml:space="preserve">13.00% </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12.38%</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9,055,731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12/29/2015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11,721,019</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10/1/2016</w:t>
            </w:r>
          </w:p>
        </w:tc>
        <w:tc>
          <w:tcPr>
            <w:tcW w:w="84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20,501,960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20,331,704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21,098,000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12/31/2015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14,636,487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12/31/2012</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213,271,563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144,375</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8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tcPr>
          <w:p>
            <w:pPr>
              <w:spacing w:after="0"/>
              <w:rPr>
                <w:sz w:val="14"/>
                <w:szCs w:val="14"/>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91,608</w:t>
            </w: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Maturity</w:t>
            </w:r>
          </w:p>
        </w:tc>
      </w:tr>
      <w:tr>
        <w:trPr>
          <w:trHeight w:val="138"/>
        </w:trPr>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Common</w:t>
            </w:r>
          </w:p>
        </w:tc>
        <w:tc>
          <w:tcPr>
            <w:tcW w:w="3880" w:type="dxa"/>
            <w:vAlign w:val="bottom"/>
          </w:tcPr>
          <w:p>
            <w:pPr>
              <w:spacing w:after="0" w:line="138" w:lineRule="exact"/>
              <w:rPr>
                <w:sz w:val="20"/>
                <w:szCs w:val="20"/>
                <w:color w:val="auto"/>
              </w:rPr>
            </w:pPr>
            <w:r>
              <w:rPr>
                <w:rFonts w:ascii="Arial" w:cs="Arial" w:eastAsia="Arial" w:hAnsi="Arial"/>
                <w:sz w:val="10"/>
                <w:szCs w:val="10"/>
                <w:b w:val="1"/>
                <w:bCs w:val="1"/>
                <w:color w:val="auto"/>
              </w:rPr>
              <w:t>Equity/Warrants/Partnership Interests—9.9%</w:t>
            </w:r>
            <w:r>
              <w:rPr>
                <w:rFonts w:ascii="Arial" w:cs="Arial" w:eastAsia="Arial" w:hAnsi="Arial"/>
                <w:sz w:val="15"/>
                <w:szCs w:val="15"/>
                <w:b w:val="1"/>
                <w:bCs w:val="1"/>
                <w:color w:val="auto"/>
                <w:vertAlign w:val="superscript"/>
              </w:rPr>
              <w:t>(7)</w:t>
            </w: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(Consolidated Foundries,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2"/>
        </w:trPr>
        <w:tc>
          <w:tcPr>
            <w:tcW w:w="4640" w:type="dxa"/>
            <w:vAlign w:val="bottom"/>
            <w:gridSpan w:val="2"/>
          </w:tcPr>
          <w:p>
            <w:pPr>
              <w:spacing w:after="0" w:line="133" w:lineRule="exact"/>
              <w:rPr>
                <w:sz w:val="20"/>
                <w:szCs w:val="20"/>
                <w:color w:val="auto"/>
              </w:rPr>
            </w:pPr>
            <w:r>
              <w:rPr>
                <w:rFonts w:ascii="Arial" w:cs="Arial" w:eastAsia="Arial" w:hAnsi="Arial"/>
                <w:sz w:val="14"/>
                <w:szCs w:val="14"/>
                <w:color w:val="auto"/>
              </w:rPr>
              <w:t>EnviroSolutions, Inc. (Warrants)</w:t>
            </w:r>
          </w:p>
        </w:tc>
        <w:tc>
          <w:tcPr>
            <w:tcW w:w="280" w:type="dxa"/>
            <w:vAlign w:val="bottom"/>
          </w:tcPr>
          <w:p>
            <w:pPr>
              <w:spacing w:after="0"/>
              <w:rPr>
                <w:sz w:val="11"/>
                <w:szCs w:val="11"/>
                <w:color w:val="auto"/>
              </w:rPr>
            </w:pPr>
          </w:p>
        </w:tc>
        <w:tc>
          <w:tcPr>
            <w:tcW w:w="62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r>
      <w:tr>
        <w:trPr>
          <w:trHeight w:val="165"/>
        </w:trPr>
        <w:tc>
          <w:tcPr>
            <w:tcW w:w="464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i2 Holdings Ltd. </w:t>
            </w:r>
            <w:r>
              <w:rPr>
                <w:rFonts w:ascii="Arial" w:cs="Arial" w:eastAsia="Arial" w:hAnsi="Arial"/>
                <w:sz w:val="19"/>
                <w:szCs w:val="19"/>
                <w:color w:val="auto"/>
                <w:vertAlign w:val="superscript"/>
              </w:rPr>
              <w:t>(10)</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40" w:type="dxa"/>
            <w:vAlign w:val="bottom"/>
            <w:gridSpan w:val="2"/>
          </w:tcPr>
          <w:p>
            <w:pPr>
              <w:ind w:left="220"/>
              <w:spacing w:after="0"/>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4/27/2020</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12/29/2019</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(Greatwide Logistics Services,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VText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4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4640" w:type="dxa"/>
            <w:vAlign w:val="bottom"/>
            <w:gridSpan w:val="2"/>
          </w:tcPr>
          <w:p>
            <w:pPr>
              <w:spacing w:after="0" w:line="167"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9"/>
                <w:szCs w:val="19"/>
                <w:b w:val="1"/>
                <w:bCs w:val="1"/>
                <w:color w:val="auto"/>
                <w:vertAlign w:val="superscript"/>
              </w:rPr>
              <w:t>(1),(2)</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46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Second Lien Secured Debt—2.0%</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1/16/2015</w:t>
            </w:r>
          </w:p>
        </w:tc>
      </w:tr>
      <w:tr>
        <w:trPr>
          <w:trHeight w:val="300"/>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Notes—1.5%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7/16/2015</w:t>
            </w:r>
          </w:p>
        </w:tc>
      </w:tr>
      <w:tr>
        <w:trPr>
          <w:trHeight w:val="408"/>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22"/>
                <w:szCs w:val="22"/>
                <w:b w:val="1"/>
                <w:bCs w:val="1"/>
                <w:color w:val="auto"/>
                <w:vertAlign w:val="superscript"/>
              </w:rPr>
              <w:t>(7)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NCP-Performance (Performance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Industry</w:t>
            </w:r>
          </w:p>
        </w:tc>
        <w:tc>
          <w:tcPr>
            <w:tcW w:w="700" w:type="dxa"/>
            <w:vAlign w:val="bottom"/>
          </w:tcPr>
          <w:p>
            <w:pPr>
              <w:spacing w:after="0"/>
              <w:rPr>
                <w:sz w:val="16"/>
                <w:szCs w:val="16"/>
                <w:color w:val="auto"/>
              </w:rPr>
            </w:pPr>
          </w:p>
        </w:tc>
        <w:tc>
          <w:tcPr>
            <w:tcW w:w="4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Cost</w:t>
            </w:r>
          </w:p>
        </w:tc>
        <w:tc>
          <w:tcPr>
            <w:tcW w:w="3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1,333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  3,000,000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16,271</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5,556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3,200,000</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24,375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457,322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8,999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1,780,693</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7"/>
              </w:rPr>
              <w:t>Childcare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8,999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857,339</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1,055,932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2,464,999</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4,325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1,306,167</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Cargo Transport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137,923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2,111,588</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color w:val="auto"/>
                <w:w w:val="84"/>
              </w:rPr>
              <w:t>Insurance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35,526</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4,050,000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1"/>
              </w:rPr>
              <w:t>24,595,148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2"/>
              </w:rPr>
              <w:t>631,280,755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641,290,626</w:t>
            </w:r>
          </w:p>
        </w:tc>
        <w:tc>
          <w:tcPr>
            <w:tcW w:w="0" w:type="dxa"/>
            <w:vAlign w:val="bottom"/>
          </w:tcPr>
          <w:p>
            <w:pPr>
              <w:spacing w:after="0"/>
              <w:rPr>
                <w:sz w:val="1"/>
                <w:szCs w:val="1"/>
                <w:color w:val="auto"/>
              </w:rPr>
            </w:pPr>
          </w:p>
        </w:tc>
      </w:tr>
      <w:tr>
        <w:trPr>
          <w:trHeight w:val="44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7.50%</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w w:val="90"/>
              </w:rPr>
              <w:t>L+650</w:t>
            </w:r>
            <w:r>
              <w:rPr>
                <w:rFonts w:ascii="Arial" w:cs="Arial" w:eastAsia="Arial" w:hAnsi="Arial"/>
                <w:sz w:val="22"/>
                <w:szCs w:val="22"/>
                <w:color w:val="auto"/>
                <w:w w:val="90"/>
                <w:vertAlign w:val="superscript"/>
              </w:rPr>
              <w:t>(8)</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8,000,000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2"/>
              </w:rPr>
              <w:t>15.00%</w:t>
            </w:r>
            <w:r>
              <w:rPr>
                <w:rFonts w:ascii="Arial" w:cs="Arial" w:eastAsia="Arial" w:hAnsi="Arial"/>
                <w:sz w:val="22"/>
                <w:szCs w:val="22"/>
                <w:color w:val="auto"/>
                <w:w w:val="82"/>
                <w:vertAlign w:val="superscript"/>
              </w:rPr>
              <w:t>(6)</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5,848,176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5,677,648</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37,500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-3661410</wp:posOffset>
            </wp:positionV>
            <wp:extent cx="7246620" cy="946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-3472815</wp:posOffset>
            </wp:positionV>
            <wp:extent cx="724662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-3094990</wp:posOffset>
            </wp:positionV>
            <wp:extent cx="7246620" cy="946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-2906395</wp:posOffset>
            </wp:positionV>
            <wp:extent cx="7246620" cy="946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-2614930</wp:posOffset>
            </wp:positionV>
            <wp:extent cx="724662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-2331720</wp:posOffset>
            </wp:positionV>
            <wp:extent cx="7246620" cy="946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-2049145</wp:posOffset>
            </wp:positionV>
            <wp:extent cx="724662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-1765935</wp:posOffset>
            </wp:positionV>
            <wp:extent cx="724662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-1482725</wp:posOffset>
            </wp:positionV>
            <wp:extent cx="7246620" cy="94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-1276985</wp:posOffset>
            </wp:positionV>
            <wp:extent cx="7246620" cy="94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-1054100</wp:posOffset>
            </wp:positionV>
            <wp:extent cx="7246620" cy="94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-865505</wp:posOffset>
            </wp:positionV>
            <wp:extent cx="724662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-565150</wp:posOffset>
            </wp:positionV>
            <wp:extent cx="724662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-196850</wp:posOffset>
            </wp:positionV>
            <wp:extent cx="724662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40" w:space="200"/>
            <w:col w:w="5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17,427,648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15,433,680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1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3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6/30/2020</w:t>
            </w:r>
          </w:p>
        </w:tc>
        <w:tc>
          <w:tcPr>
            <w:tcW w:w="1540" w:type="dxa"/>
            <w:vAlign w:val="bottom"/>
          </w:tcPr>
          <w:p>
            <w:pPr>
              <w:ind w:left="300"/>
              <w:spacing w:after="0" w:line="149" w:lineRule="exact"/>
              <w:rPr>
                <w:sz w:val="20"/>
                <w:szCs w:val="20"/>
                <w:color w:val="auto"/>
              </w:rPr>
            </w:pPr>
            <w:r>
              <w:rPr>
                <w:rFonts w:ascii="Arial" w:cs="Arial" w:eastAsia="Arial" w:hAnsi="Arial"/>
                <w:sz w:val="14"/>
                <w:szCs w:val="14"/>
                <w:color w:val="auto"/>
              </w:rPr>
              <w:t>Business Services</w:t>
            </w:r>
          </w:p>
        </w:tc>
        <w:tc>
          <w:tcPr>
            <w:tcW w:w="980" w:type="dxa"/>
            <w:vAlign w:val="bottom"/>
            <w:vMerge w:val="continue"/>
          </w:tcPr>
          <w:p>
            <w:pPr>
              <w:spacing w:after="0"/>
              <w:rPr>
                <w:sz w:val="12"/>
                <w:szCs w:val="12"/>
                <w:color w:val="auto"/>
              </w:rPr>
            </w:pP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4,800,000</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4,800,000</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52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5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380" w:type="dxa"/>
            <w:vAlign w:val="bottom"/>
          </w:tcPr>
          <w:p>
            <w:pPr>
              <w:spacing w:after="0"/>
              <w:rPr>
                <w:sz w:val="12"/>
                <w:szCs w:val="12"/>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520" w:type="dxa"/>
            <w:vAlign w:val="bottom"/>
          </w:tcPr>
          <w:p>
            <w:pPr>
              <w:spacing w:after="0"/>
              <w:rPr>
                <w:sz w:val="12"/>
                <w:szCs w:val="12"/>
                <w:color w:val="auto"/>
              </w:rPr>
            </w:pPr>
          </w:p>
        </w:tc>
        <w:tc>
          <w:tcPr>
            <w:tcW w:w="5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9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Notes—0.3%</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6/30/2020</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1,200,000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1,142,398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2,000,000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8,000,100</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2"/>
              </w:rPr>
              <w:t>656,708,503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664,724,406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1,814,451</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Equivalents—172.5%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658,522,954</w:t>
            </w: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 to our wholly owned, consolidated Small Business Investment Company, or SBIC, PennantPark SBIC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300" w:hanging="446"/>
        <w:spacing w:after="0" w:line="33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those fiscal years. The amendments of ASU 2011-04, when adopted, are not expected to have a material impact on our consolidated financial statements and the company is currently evaluating the impact on its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2011, 2010 and 2009 totaled $490.6 million, $315.8 million and $117.4 million, respectively. Sales and repayments of long-term investments for the fiscal years ended September 30, 2011, 2010 and 2009 totaled $304.0 million, $145.2 million and $28.0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September 30,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$ 305,608,989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$ 296,488,131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234,595,683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189,962,828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165,272,201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325,318,958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12,268,187</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9,762,932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866,322,836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827,548,515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664,724,406</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$ 937,927,355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$ 899,153,034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 2011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6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tcPr>
          <w:p>
            <w:pPr>
              <w:ind w:left="278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and 2010,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$771,089,501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38,395,050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75,649,114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2010</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49,488,268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666,538,857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gridSpan w:val="2"/>
          </w:tcPr>
          <w:p>
            <w:pPr>
              <w:jc w:val="right"/>
              <w:ind w:right="1758"/>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September 30, 2011</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615,236,138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45,137,828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(48,568,848)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2,904,075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486,512,694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9,969,861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(292,284,905)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(304,008,537)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Ending Balance, September 30, 2011</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732,694,451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52,353,328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(24,916,057)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(22,729,456)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2010</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442,128,049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27,632,024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469,760,073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(12,411,934)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(3,005,163)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31,964,795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304,625,814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12,984,260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317,610,074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(138,765,449)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(138,772,371)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(12,305,137)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5,840,149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Ending Balance, September 30, 2010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615,236,138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45,137,828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(1,311,683)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407,500,000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2011, at fair value,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(Cost—$240,900,000)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238,792,125</w:t>
            </w:r>
          </w:p>
        </w:tc>
        <w:tc>
          <w:tcPr>
            <w:tcW w:w="120" w:type="dxa"/>
            <w:vAlign w:val="bottom"/>
          </w:tcPr>
          <w:p>
            <w:pPr>
              <w:spacing w:after="0"/>
              <w:rPr>
                <w:sz w:val="19"/>
                <w:szCs w:val="19"/>
                <w:color w:val="auto"/>
              </w:rPr>
            </w:pPr>
          </w:p>
        </w:tc>
      </w:tr>
      <w:tr>
        <w:trPr>
          <w:trHeight w:val="46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 (Cost—$218,100,000)</w:t>
            </w:r>
          </w:p>
        </w:tc>
        <w:tc>
          <w:tcPr>
            <w:tcW w:w="1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168,475,380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177,700,000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(167,900,000)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2010, at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2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219,141,125</w:t>
            </w:r>
          </w:p>
        </w:tc>
        <w:tc>
          <w:tcPr>
            <w:tcW w:w="1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Name of Investment</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affiliates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w w:val="87"/>
              </w:rPr>
              <w:t>Received</w:t>
            </w:r>
          </w:p>
        </w:tc>
        <w:tc>
          <w:tcPr>
            <w:tcW w:w="1080" w:type="dxa"/>
            <w:vAlign w:val="bottom"/>
            <w:gridSpan w:val="2"/>
          </w:tcPr>
          <w:p>
            <w:pPr>
              <w:jc w:val="center"/>
              <w:ind w:left="11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$5,500,000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785,167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1,537,489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18,631,503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1,305,502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42,065,283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6,805,502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3,081,976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54,173,134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5"/>
              </w:rPr>
              <w:t>Class and Year</w:t>
            </w:r>
          </w:p>
        </w:tc>
        <w:tc>
          <w:tcPr>
            <w:tcW w:w="7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ind w:left="7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10,263,474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16,535,491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35,802,029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42,196,076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21,092,334*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(98,294)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98,294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2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$ 10,263,474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$16,535,491</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$ 35,802,029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gain(loss) on investments not taxable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15,417,097</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 and Credit Facility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(52,326,993)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(3,178,194)</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(321,805)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827,527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$ 49,695,705</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31,752,812</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$ 23,546,442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1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17,639,482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(47,030,821)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(54,591,911)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(11,250,568)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(8,645,354)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(39,331,872)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(12,477,778)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(9,651,137)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(36,122,397)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19,300,499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22,096,807</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(77,991,514)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(42,136,121)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(26,505,872)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September 30, 2011, the capital loss carry forward of $47.0 million expires, if not utilized against future capital gains, as follows: $3.7 million in 2017 and $43.3 million in 2018.</w:t>
      </w:r>
    </w:p>
    <w:p>
      <w:pPr>
        <w:ind w:left="460" w:hanging="452"/>
        <w:spacing w:after="0"/>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2011 and 2010 were solely from ordinary income and totaled $46.3 million, or $1.10 per share, and $32.3 million, or $1.09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offering costs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Accretive (Dilutive) effect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1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45,689,781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25,368,772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21,068,772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Credit Facility related expenses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total expenses to average net assets</w:t>
            </w:r>
            <w:r>
              <w:rPr>
                <w:rFonts w:ascii="Arial" w:cs="Arial" w:eastAsia="Arial" w:hAnsi="Arial"/>
                <w:sz w:val="11"/>
                <w:szCs w:val="11"/>
                <w:color w:val="auto"/>
                <w:w w:val="98"/>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net investment income to average net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462,657,196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278,294,433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119,472,732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annualized for a period of less than a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340" w:right="140" w:hanging="332"/>
        <w:spacing w:after="0" w:line="286"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and may differ from amounts determined under GAAP.</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340" w:right="320" w:hanging="332"/>
        <w:spacing w:after="0" w:line="250"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40" w:lineRule="exact"/>
        <w:rPr>
          <w:sz w:val="20"/>
          <w:szCs w:val="20"/>
          <w:color w:val="auto"/>
        </w:rPr>
      </w:pPr>
    </w:p>
    <w:p>
      <w:pPr>
        <w:ind w:left="460" w:right="7520" w:hanging="452"/>
        <w:spacing w:after="0" w:line="391" w:lineRule="auto"/>
        <w:tabs>
          <w:tab w:leader="none" w:pos="257"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Notes. SBA current regulations limit the amount that SBIC LP may borrow to a maximum of $150 million, which is up to twice its potential regulatory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 SBIC LP has accessed the maximum borrowing with its $75.0 million in regulatory capital.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As of September 30, 2011</w:t>
            </w:r>
          </w:p>
        </w:tc>
        <w:tc>
          <w:tcPr>
            <w:tcW w:w="18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As of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Coupon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Coupon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Issuance Dates</w:t>
            </w:r>
          </w:p>
        </w:tc>
        <w:tc>
          <w:tcPr>
            <w:tcW w:w="5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ind w:left="6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87"/>
              </w:rPr>
              <w:t>Principal Balance</w:t>
            </w:r>
          </w:p>
        </w:tc>
        <w:tc>
          <w:tcPr>
            <w:tcW w:w="180" w:type="dxa"/>
            <w:vAlign w:val="bottom"/>
          </w:tcPr>
          <w:p>
            <w:pPr>
              <w:spacing w:after="0"/>
              <w:rPr>
                <w:sz w:val="15"/>
                <w:szCs w:val="15"/>
                <w:color w:val="auto"/>
              </w:rPr>
            </w:pPr>
          </w:p>
        </w:tc>
        <w:tc>
          <w:tcPr>
            <w:tcW w:w="500" w:type="dxa"/>
            <w:vAlign w:val="bottom"/>
          </w:tcPr>
          <w:p>
            <w:pPr>
              <w:ind w:left="4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70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Fixed SBA Debentures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22, 2010</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2020</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3.50%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29, 2011</w:t>
            </w:r>
          </w:p>
        </w:tc>
        <w:tc>
          <w:tcPr>
            <w:tcW w:w="3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1, 2021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21, 2011</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2021</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3.38%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105,000,000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Interim SBA Debentures</w:t>
            </w: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0.84%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0.93%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5"/>
            <w:vMerge w:val="restart"/>
          </w:tcPr>
          <w:p>
            <w:pPr>
              <w:spacing w:after="0"/>
              <w:rPr>
                <w:sz w:val="20"/>
                <w:szCs w:val="20"/>
                <w:color w:val="auto"/>
              </w:rPr>
            </w:pPr>
            <w:r>
              <w:rPr>
                <w:rFonts w:ascii="Arial" w:cs="Arial" w:eastAsia="Arial" w:hAnsi="Arial"/>
                <w:sz w:val="18"/>
                <w:szCs w:val="18"/>
                <w:color w:val="auto"/>
              </w:rPr>
              <w:t>SBA Commitment</w:t>
            </w: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2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60"/>
          </w:cols>
          <w:pgMar w:left="240" w:top="460" w:right="39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751840</wp:posOffset>
            </wp:positionV>
            <wp:extent cx="1629410" cy="3517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32"/>
          <w:szCs w:val="32"/>
          <w:b w:val="1"/>
          <w:bCs w:val="1"/>
          <w:color w:val="auto"/>
        </w:rPr>
        <w:t>$67,500,000</w:t>
      </w:r>
    </w:p>
    <w:p>
      <w:pPr>
        <w:spacing w:after="0" w:line="335"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6.25%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573405</wp:posOffset>
            </wp:positionV>
            <wp:extent cx="40563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Stifel Nicolaus Weisel</w:t>
      </w:r>
    </w:p>
    <w:p>
      <w:pPr>
        <w:spacing w:after="0" w:line="7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RBC Capital Markets</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Baird</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Credit Suisse</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Janney Montgomery Scott</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Stephens Inc.</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Sterne 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lowerLetter"/>
      <w:start w:val="1"/>
    </w:lvl>
    <w:lvl w:ilvl="1">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1)"/>
      <w:numFmt w:val="lowerLetter"/>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decimal"/>
      <w:start w:val="1"/>
    </w:lvl>
  </w:abstractNum>
  <w:abstractNum w:abstractNumId="16">
    <w:nsid w:val="6B94764"/>
    <w:multiLevelType w:val="hybridMultilevel"/>
    <w:lvl w:ilvl="0">
      <w:lvlJc w:val="left"/>
      <w:lvlText w:val="(%1)"/>
      <w:numFmt w:val="decimal"/>
      <w:start w:val="1"/>
    </w:lvl>
  </w:abstractNum>
  <w:abstractNum w:abstractNumId="17">
    <w:nsid w:val="42C296BD"/>
    <w:multiLevelType w:val="hybridMultilevel"/>
    <w:lvl w:ilvl="0">
      <w:lvlJc w:val="left"/>
      <w:lvlText w:val="(%1)"/>
      <w:numFmt w:val="decimal"/>
      <w:start w:val="4"/>
    </w:lvl>
    <w:lvl w:ilvl="1">
      <w:lvlJc w:val="left"/>
      <w:lvlText w:val="(%2)"/>
      <w:numFmt w:val="lowerLetter"/>
      <w:start w:val="2"/>
    </w:lvl>
  </w:abstractNum>
  <w:abstractNum w:abstractNumId="18">
    <w:nsid w:val="168E121F"/>
    <w:multiLevelType w:val="hybridMultilevel"/>
    <w:lvl w:ilvl="0">
      <w:lvlJc w:val="left"/>
      <w:lvlText w:val="(%1)"/>
      <w:numFmt w:val="lowerLetter"/>
      <w:start w:val="3"/>
    </w:lvl>
  </w:abstractNum>
  <w:abstractNum w:abstractNumId="19">
    <w:nsid w:val="1EBA5D23"/>
    <w:multiLevelType w:val="hybridMultilevel"/>
    <w:lvl w:ilvl="0">
      <w:lvlJc w:val="left"/>
      <w:lvlText w:val="(%1)"/>
      <w:numFmt w:val="lowerLetter"/>
      <w:start w:val="4"/>
    </w:lvl>
  </w:abstractNum>
  <w:abstractNum w:abstractNumId="20">
    <w:nsid w:val="661E3F1E"/>
    <w:multiLevelType w:val="hybridMultilevel"/>
    <w:lvl w:ilvl="0">
      <w:lvlJc w:val="left"/>
      <w:lvlText w:val="(%1)"/>
      <w:numFmt w:val="lowerLetter"/>
      <w:start w:val="5"/>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decimal"/>
      <w:start w:val="11"/>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1)"/>
      <w:numFmt w:val="decimal"/>
      <w:start w:val="7"/>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4"/>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5"/>
    </w:lvl>
  </w:abstractNum>
  <w:abstractNum w:abstractNumId="49">
    <w:nsid w:val="1716703B"/>
    <w:multiLevelType w:val="hybridMultilevel"/>
    <w:lvl w:ilvl="0">
      <w:lvlJc w:val="left"/>
      <w:lvlText w:val="(%1)"/>
      <w:numFmt w:val="decimal"/>
      <w:start w:val="2"/>
    </w:lvl>
  </w:abstractNum>
  <w:abstractNum w:abstractNumId="50">
    <w:nsid w:val="14E17E33"/>
    <w:multiLevelType w:val="hybridMultilevel"/>
    <w:lvl w:ilvl="0">
      <w:lvlJc w:val="left"/>
      <w:lvlText w:val="(%1)"/>
      <w:numFmt w:val="upperLetter"/>
      <w:start w:val="2"/>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3"/>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lowerLetter"/>
      <w:start w:val="2"/>
    </w:lvl>
    <w:lvl w:ilvl="1">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lvl w:ilvl="1">
      <w:lvlJc w:val="left"/>
      <w:lvlText w:val="="/>
      <w:numFmt w:val="bullet"/>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1)"/>
      <w:numFmt w:val="decimal"/>
      <w:start w:val="1"/>
    </w:lvl>
    <w:lvl w:ilvl="1">
      <w:lvlJc w:val="left"/>
      <w:lvlText w:val="(%2)"/>
      <w:numFmt w:val="lowerLetter"/>
      <w:start w:val="1"/>
    </w:lvl>
  </w:abstractNum>
  <w:abstractNum w:abstractNumId="105">
    <w:nsid w:val="39B7AAA2"/>
    <w:multiLevelType w:val="hybridMultilevel"/>
    <w:lvl w:ilvl="0">
      <w:lvlJc w:val="left"/>
      <w:lvlText w:val="(%1)"/>
      <w:numFmt w:val="decimal"/>
      <w:start w:val="4"/>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
      <w:numFmt w:val="bullet"/>
      <w:start w:val="1"/>
    </w:lvl>
    <w:lvl w:ilvl="1">
      <w:lvlJc w:val="left"/>
      <w:lvlText w:val="%2)"/>
      <w:numFmt w:val="decimal"/>
      <w:start w:val="1"/>
    </w:lvl>
  </w:abstractNum>
  <w:abstractNum w:abstractNumId="111">
    <w:nsid w:val="4C9B0904"/>
    <w:multiLevelType w:val="hybridMultilevel"/>
    <w:lvl w:ilvl="0">
      <w:lvlJc w:val="left"/>
      <w:lvlText w:val="(%1)"/>
      <w:numFmt w:val="decimal"/>
      <w:start w:val="3"/>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1"/>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decimal"/>
      <w:start w:val="4"/>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lowerLetter"/>
      <w:start w:val="3"/>
    </w:lvl>
  </w:abstractNum>
  <w:abstractNum w:abstractNumId="120">
    <w:nsid w:val="4F97E3E4"/>
    <w:multiLevelType w:val="hybridMultilevel"/>
    <w:lvl w:ilvl="0">
      <w:lvlJc w:val="left"/>
      <w:lvlText w:val="(%1)"/>
      <w:numFmt w:val="lowerLetter"/>
      <w:start w:val="4"/>
    </w:lvl>
  </w:abstractNum>
  <w:abstractNum w:abstractNumId="121">
    <w:nsid w:val="53B0A9E"/>
    <w:multiLevelType w:val="hybridMultilevel"/>
    <w:lvl w:ilvl="0">
      <w:lvlJc w:val="left"/>
      <w:lvlText w:val="(%1)"/>
      <w:numFmt w:val="lowerLetter"/>
      <w:start w:val="5"/>
    </w:lvl>
  </w:abstractNum>
  <w:abstractNum w:abstractNumId="122">
    <w:nsid w:val="34FD6B4F"/>
    <w:multiLevelType w:val="hybridMultilevel"/>
    <w:lvl w:ilvl="0">
      <w:lvlJc w:val="left"/>
      <w:lvlText w:val="(%1)"/>
      <w:numFmt w:val="lowerLetter"/>
      <w:start w:val="6"/>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2019-12-07T15:18:14Z</dcterms:created>
  <dcterms:modified xsi:type="dcterms:W3CDTF">2019-12-07T15:18:14Z</dcterms:modified>
</cp:coreProperties>
</file>