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February 8, 2012 was 54,856,873.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DECEMBER 31,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200" w:type="dxa"/>
            <w:vAlign w:val="bottom"/>
          </w:tcPr>
          <w:p>
            <w:pPr>
              <w:spacing w:after="0"/>
              <w:rPr>
                <w:sz w:val="19"/>
                <w:szCs w:val="19"/>
                <w:color w:val="auto"/>
              </w:rPr>
            </w:pP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200" w:type="dxa"/>
            <w:vAlign w:val="bottom"/>
          </w:tcPr>
          <w:p>
            <w:pPr>
              <w:spacing w:after="0"/>
              <w:rPr>
                <w:sz w:val="24"/>
                <w:szCs w:val="24"/>
                <w:color w:val="auto"/>
              </w:rPr>
            </w:pP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December 31, 2011 (unaudited) and September 30, 2011</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December 31, 2011 and 2010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940" w:type="dxa"/>
            <w:vAlign w:val="bottom"/>
          </w:tcPr>
          <w:p>
            <w:pPr>
              <w:ind w:left="44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Statements of Changes in Net Assets for the three months ended December 31, 2011 and 2010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December 31, 2011 and 2010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December 31, 2011 (unaudited) and September 30, 2011</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Notes to Consolidated Financial Statements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3. Quantitative And Qualitative Disclosures About Market Risk</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4. Controls and Procedures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940" w:type="dxa"/>
            <w:vAlign w:val="bottom"/>
          </w:tcPr>
          <w:p>
            <w:pPr>
              <w:ind w:left="400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OTHER INFORMATION</w:t>
              </w:r>
            </w:hyperlink>
          </w:p>
        </w:tc>
        <w:tc>
          <w:tcPr>
            <w:tcW w:w="1200" w:type="dxa"/>
            <w:vAlign w:val="bottom"/>
          </w:tcPr>
          <w:p>
            <w:pPr>
              <w:spacing w:after="0"/>
              <w:rPr>
                <w:sz w:val="24"/>
                <w:szCs w:val="24"/>
                <w:color w:val="auto"/>
              </w:rPr>
            </w:pP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1. Legal Proceedings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1A. Risk Factors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2. Unregistered Sales of Equity Securities and Use of Proceeds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3. Defaults Upon Senior Securities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4. Reserved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5. 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Item 6. Exhibits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filing this Form 10-Q, or the Report, in compliance with Rule 13a-13 promulgated by the Securities and Exchange Commission, or the SEC. In this Report, “we,” “our” or “us” refer to PennantPark Investment Corporation and its consolidated subsidiaries unless the context suggests otherwise. “PennantPark Investment” refers to only PennantPark Investment Corporation; “SBIC LP” and “our SBIC” refer to our wholly owned, consolidated small business investment company, or SBIC, subsidiary, PennantPark SBIC LP and its general partner PennantPark SBIC GP, LLC, or SBIC GP; “PennantPark Investment Advisers” or “Investment Adviser” refers to PennantPark Investment Advisers, LLC; “PennantPark Investment Administration” or “Administrator” refers to PennantPark Investment Administration, LLC. References to our portfolio or investments include investments we make through our SBIC and other consolidated subsidiaries.</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8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600" w:type="dxa"/>
            <w:vAlign w:val="bottom"/>
          </w:tcPr>
          <w:p>
            <w:pPr>
              <w:spacing w:after="0"/>
              <w:rPr>
                <w:sz w:val="24"/>
                <w:szCs w:val="24"/>
                <w:color w:val="auto"/>
              </w:rPr>
            </w:pPr>
          </w:p>
        </w:tc>
        <w:tc>
          <w:tcPr>
            <w:tcW w:w="8380" w:type="dxa"/>
            <w:vAlign w:val="bottom"/>
          </w:tcPr>
          <w:p>
            <w:pPr>
              <w:ind w:left="2200"/>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380" w:type="dxa"/>
            <w:vAlign w:val="bottom"/>
          </w:tcPr>
          <w:p>
            <w:pPr>
              <w:ind w:left="244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2011</w:t>
            </w:r>
          </w:p>
        </w:tc>
        <w:tc>
          <w:tcPr>
            <w:tcW w:w="220" w:type="dxa"/>
            <w:vAlign w:val="bottom"/>
          </w:tcPr>
          <w:p>
            <w:pPr>
              <w:spacing w:after="0"/>
              <w:rPr>
                <w:sz w:val="12"/>
                <w:szCs w:val="1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Assets</w:t>
            </w:r>
          </w:p>
        </w:tc>
        <w:tc>
          <w:tcPr>
            <w:tcW w:w="8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(cost—$790,319,893 and $816,078,311,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755,681,743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773,375,381</w:t>
            </w:r>
          </w:p>
        </w:tc>
        <w:tc>
          <w:tcPr>
            <w:tcW w:w="0" w:type="dxa"/>
            <w:vAlign w:val="bottom"/>
          </w:tcPr>
          <w:p>
            <w:pPr>
              <w:spacing w:after="0"/>
              <w:rPr>
                <w:sz w:val="1"/>
                <w:szCs w:val="1"/>
                <w:color w:val="auto"/>
              </w:rPr>
            </w:pPr>
          </w:p>
        </w:tc>
      </w:tr>
      <w:tr>
        <w:trPr>
          <w:trHeight w:val="208"/>
        </w:trPr>
        <w:tc>
          <w:tcPr>
            <w:tcW w:w="8980" w:type="dxa"/>
            <w:vAlign w:val="bottom"/>
            <w:gridSpan w:val="2"/>
          </w:tcPr>
          <w:p>
            <w:pPr>
              <w:ind w:left="440"/>
              <w:spacing w:after="0"/>
              <w:rPr>
                <w:sz w:val="20"/>
                <w:szCs w:val="20"/>
                <w:color w:val="auto"/>
              </w:rPr>
            </w:pPr>
            <w:r>
              <w:rPr>
                <w:rFonts w:ascii="Arial" w:cs="Arial" w:eastAsia="Arial" w:hAnsi="Arial"/>
                <w:sz w:val="18"/>
                <w:szCs w:val="18"/>
                <w:color w:val="auto"/>
              </w:rPr>
              <w:t>Non-controlled, affiliated 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380" w:type="dxa"/>
            <w:vAlign w:val="bottom"/>
          </w:tcPr>
          <w:p>
            <w:pPr>
              <w:ind w:left="60"/>
              <w:spacing w:after="0"/>
              <w:rPr>
                <w:sz w:val="20"/>
                <w:szCs w:val="20"/>
                <w:color w:val="auto"/>
              </w:rPr>
            </w:pPr>
            <w:r>
              <w:rPr>
                <w:rFonts w:ascii="Arial" w:cs="Arial" w:eastAsia="Arial" w:hAnsi="Arial"/>
                <w:sz w:val="18"/>
                <w:szCs w:val="18"/>
                <w:color w:val="auto"/>
              </w:rPr>
              <w:t>(cost—$37,362,359 and $36,744,425,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43,252,714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40,673,133</w:t>
            </w:r>
          </w:p>
        </w:tc>
        <w:tc>
          <w:tcPr>
            <w:tcW w:w="0" w:type="dxa"/>
            <w:vAlign w:val="bottom"/>
          </w:tcPr>
          <w:p>
            <w:pPr>
              <w:spacing w:after="0"/>
              <w:rPr>
                <w:sz w:val="1"/>
                <w:szCs w:val="1"/>
                <w:color w:val="auto"/>
              </w:rPr>
            </w:pPr>
          </w:p>
        </w:tc>
      </w:tr>
      <w:tr>
        <w:trPr>
          <w:trHeight w:val="209"/>
        </w:trPr>
        <w:tc>
          <w:tcPr>
            <w:tcW w:w="8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(cost—$11,500,100 and $13,500,100, respectively)</w:t>
            </w: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11,500,000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13,500,001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ind w:left="440"/>
              <w:spacing w:after="0"/>
              <w:rPr>
                <w:sz w:val="20"/>
                <w:szCs w:val="20"/>
                <w:color w:val="auto"/>
              </w:rPr>
            </w:pPr>
            <w:r>
              <w:rPr>
                <w:rFonts w:ascii="Arial" w:cs="Arial" w:eastAsia="Arial" w:hAnsi="Arial"/>
                <w:sz w:val="18"/>
                <w:szCs w:val="18"/>
                <w:color w:val="auto"/>
              </w:rPr>
              <w:t>Total Investments, at fair value (cost—$839,182,352 and $866,322,836,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810,434,457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827,548,515</w:t>
            </w:r>
          </w:p>
        </w:tc>
        <w:tc>
          <w:tcPr>
            <w:tcW w:w="0" w:type="dxa"/>
            <w:vAlign w:val="bottom"/>
          </w:tcPr>
          <w:p>
            <w:pPr>
              <w:spacing w:after="0"/>
              <w:rPr>
                <w:sz w:val="1"/>
                <w:szCs w:val="1"/>
                <w:color w:val="auto"/>
              </w:rPr>
            </w:pPr>
          </w:p>
        </w:tc>
      </w:tr>
      <w:tr>
        <w:trPr>
          <w:trHeight w:val="217"/>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42,075,768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71,604,519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7,820,922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10,878,236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13,118,967</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5,532,413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3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867,443,519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928,738,214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12,793,138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12,336,241</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387,672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18,572,499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36,346,599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37,132,151</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Credit facility payable (cost—$192,000,000 and $240,900,000, respectively) (See Notes 5 and 10)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191,040,000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238,792,125</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 payable (cost—$150,000,000 and $150,000,000, respectively) (See Notes 5 and 10)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150,000,000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150,000,000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1,866,437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687,362</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4,008,054</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3,748,996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3,773,829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1,507,814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380" w:type="dxa"/>
            <w:vAlign w:val="bottom"/>
          </w:tcPr>
          <w:p>
            <w:pPr>
              <w:ind w:left="2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401,733,937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466,081,018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80" w:type="dxa"/>
            <w:vAlign w:val="bottom"/>
            <w:gridSpan w:val="2"/>
          </w:tcPr>
          <w:p>
            <w:pPr>
              <w:spacing w:after="0"/>
              <w:rPr>
                <w:sz w:val="20"/>
                <w:szCs w:val="20"/>
                <w:color w:val="auto"/>
              </w:rPr>
            </w:pPr>
            <w:r>
              <w:rPr>
                <w:rFonts w:ascii="Arial" w:cs="Arial" w:eastAsia="Arial" w:hAnsi="Arial"/>
                <w:sz w:val="18"/>
                <w:szCs w:val="18"/>
                <w:color w:val="auto"/>
              </w:rPr>
              <w:t>Common stock, 45,689,781 shares are issued and outstanding.</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c>
          <w:tcPr>
            <w:tcW w:w="0" w:type="dxa"/>
            <w:vAlign w:val="bottom"/>
          </w:tcPr>
          <w:p>
            <w:pPr>
              <w:spacing w:after="0"/>
              <w:rPr>
                <w:sz w:val="1"/>
                <w:szCs w:val="1"/>
                <w:color w:val="auto"/>
              </w:rPr>
            </w:pPr>
          </w:p>
        </w:tc>
      </w:tr>
      <w:tr>
        <w:trPr>
          <w:trHeight w:val="217"/>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540,603,020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540,603,020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10,530,244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(57,681,477)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(49,651,922)</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(28,747,895)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(38,774,321)</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380" w:type="dxa"/>
            <w:vAlign w:val="bottom"/>
          </w:tcPr>
          <w:p>
            <w:pPr>
              <w:ind w:left="28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465,709,582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462,657,196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 w:type="dxa"/>
            <w:vAlign w:val="bottom"/>
            <w:shd w:val="clear" w:color="auto" w:fill="CCEEFF"/>
          </w:tcPr>
          <w:p>
            <w:pPr>
              <w:spacing w:after="0"/>
              <w:rPr>
                <w:sz w:val="18"/>
                <w:szCs w:val="18"/>
                <w:color w:val="auto"/>
              </w:rPr>
            </w:pPr>
          </w:p>
        </w:tc>
        <w:tc>
          <w:tcPr>
            <w:tcW w:w="83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867,443,519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928,738,214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24,020,424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18,559,165</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1,870,514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846,584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363,432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374,889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26,838,758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19,979,181</w:t>
            </w:r>
          </w:p>
        </w:tc>
        <w:tc>
          <w:tcPr>
            <w:tcW w:w="0" w:type="dxa"/>
            <w:vAlign w:val="bottom"/>
          </w:tcPr>
          <w:p>
            <w:pPr>
              <w:spacing w:after="0"/>
              <w:rPr>
                <w:sz w:val="1"/>
                <w:szCs w:val="1"/>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4,043,281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3,498,594</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3,749,128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2,792,994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and SBA debentures (See Note 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2,375,123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1,135,427</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797,353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579,055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b w:val="1"/>
                <w:bCs w:val="1"/>
                <w:color w:val="auto"/>
              </w:rPr>
              <w:t>Expenses before excise tax</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11,807,230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8,689,429</w:t>
            </w: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11,842,230</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8,808,396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14,996,528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11,170,785</w:t>
            </w:r>
          </w:p>
        </w:tc>
        <w:tc>
          <w:tcPr>
            <w:tcW w:w="0" w:type="dxa"/>
            <w:vAlign w:val="bottom"/>
          </w:tcPr>
          <w:p>
            <w:pPr>
              <w:spacing w:after="0"/>
              <w:rPr>
                <w:sz w:val="1"/>
                <w:szCs w:val="1"/>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(8,029,555)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2,293,362</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8,064,782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18,752,873</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1,961,644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(90,172)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unrealized (appreciation) (See Notes 5 and 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(1,147,875)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(6,604,625)</w:t>
            </w:r>
          </w:p>
        </w:tc>
        <w:tc>
          <w:tcPr>
            <w:tcW w:w="0" w:type="dxa"/>
            <w:vAlign w:val="bottom"/>
          </w:tcPr>
          <w:p>
            <w:pPr>
              <w:spacing w:after="0"/>
              <w:rPr>
                <w:sz w:val="1"/>
                <w:szCs w:val="1"/>
                <w:color w:val="auto"/>
              </w:rPr>
            </w:pPr>
          </w:p>
        </w:tc>
      </w:tr>
      <w:tr>
        <w:trPr>
          <w:trHeight w:val="230"/>
        </w:trPr>
        <w:tc>
          <w:tcPr>
            <w:tcW w:w="9020" w:type="dxa"/>
            <w:vAlign w:val="bottom"/>
          </w:tcPr>
          <w:p>
            <w:pPr>
              <w:ind w:left="440"/>
              <w:spacing w:after="0"/>
              <w:rPr>
                <w:sz w:val="20"/>
                <w:szCs w:val="20"/>
                <w:color w:val="auto"/>
              </w:rPr>
            </w:pPr>
            <w:r>
              <w:rPr>
                <w:rFonts w:ascii="Arial" w:cs="Arial" w:eastAsia="Arial" w:hAnsi="Arial"/>
                <w:sz w:val="18"/>
                <w:szCs w:val="18"/>
                <w:b w:val="1"/>
                <w:bCs w:val="1"/>
                <w:color w:val="auto"/>
              </w:rPr>
              <w:t>Net change in unrealized appreciation</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8,878,551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12,058,076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848,996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14,351,438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15,845,524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25,522,223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14,996,528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11,170,785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(8,029,555)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2,293,362</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10,026,426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18,662,701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(1,147,875)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(6,604,625)</w:t>
            </w:r>
          </w:p>
        </w:tc>
        <w:tc>
          <w:tcPr>
            <w:tcW w:w="0" w:type="dxa"/>
            <w:vAlign w:val="bottom"/>
          </w:tcPr>
          <w:p>
            <w:pPr>
              <w:spacing w:after="0"/>
              <w:rPr>
                <w:sz w:val="1"/>
                <w:szCs w:val="1"/>
                <w:color w:val="auto"/>
              </w:rPr>
            </w:pPr>
          </w:p>
        </w:tc>
      </w:tr>
      <w:tr>
        <w:trPr>
          <w:trHeight w:val="230"/>
        </w:trPr>
        <w:tc>
          <w:tcPr>
            <w:tcW w:w="886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15,845,524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25,522,223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Distributions from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(12,793,138)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(9,418,227)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Shares Transactions: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Reinvestment of dividends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3,052,386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16,815,739</w:t>
            </w:r>
          </w:p>
        </w:tc>
        <w:tc>
          <w:tcPr>
            <w:tcW w:w="0" w:type="dxa"/>
            <w:vAlign w:val="bottom"/>
          </w:tcPr>
          <w:p>
            <w:pPr>
              <w:spacing w:after="0"/>
              <w:rPr>
                <w:sz w:val="1"/>
                <w:szCs w:val="1"/>
                <w:color w:val="auto"/>
              </w:rPr>
            </w:pPr>
          </w:p>
        </w:tc>
      </w:tr>
      <w:tr>
        <w:trPr>
          <w:trHeight w:val="330"/>
        </w:trPr>
        <w:tc>
          <w:tcPr>
            <w:tcW w:w="8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462,657,196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465,709,582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403,390,962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Undistributed net investment income, at period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10,530,244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3,672,171</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15,845,524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25,522,223</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Adjustments to reconcile net increase in net assets resulting from operations to net cash provided (used) by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(10,026,426)</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(18,662,701)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1,147,875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6,604,625</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Net realized loss (gain) on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8,029,555</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(2,293,362)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(4,098,587)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(1,214,474)</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(43,003,570)</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(99,940,829)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(3,067,138)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(2,968,067)</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69,280,225</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85,535,428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interest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3,057,314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5,457,094</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11,539,008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30,254,774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55,564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255,290</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(Decrease) in payables for investments purchased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(18,184,827)</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(52,785,000)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(785,552)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(3,623,003)</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1,179,075</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52,175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35,227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211,778</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(Decrease) Increase in performance-based incentive fee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(24,834)</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553,983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accrued other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729,057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(221,836)</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(used) by operating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31,707,490</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(27,261,902)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Distributions paid to stockholders, net of dividends reinvested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(12,336,241)</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(8,689,537)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15,500,000</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(1,040,875)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295,300,000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136,000,000</w:t>
            </w:r>
          </w:p>
        </w:tc>
        <w:tc>
          <w:tcPr>
            <w:tcW w:w="0" w:type="dxa"/>
            <w:vAlign w:val="bottom"/>
          </w:tcPr>
          <w:p>
            <w:pPr>
              <w:spacing w:after="0"/>
              <w:rPr>
                <w:sz w:val="1"/>
                <w:szCs w:val="1"/>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(344,200,000)</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(113,300,000)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provided by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(61,236,241)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28,469,588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(29,528,751)</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1,207,686</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1,814,451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 end of period</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42,075,768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3,022,137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Supplemental disclosure of cash flow information and non-cash financing activity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(See Note 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966,095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931,687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reinvested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711,743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700" w:type="dxa"/>
            <w:vAlign w:val="bottom"/>
            <w:vMerge w:val="restart"/>
          </w:tcPr>
          <w:p>
            <w:pPr>
              <w:jc w:val="center"/>
              <w:ind w:left="913"/>
              <w:spacing w:after="0"/>
              <w:rPr>
                <w:sz w:val="20"/>
                <w:szCs w:val="20"/>
                <w:color w:val="auto"/>
              </w:rPr>
            </w:pPr>
            <w:r>
              <w:rPr>
                <w:rFonts w:ascii="Arial" w:cs="Arial" w:eastAsia="Arial" w:hAnsi="Arial"/>
                <w:sz w:val="13"/>
                <w:szCs w:val="13"/>
                <w:b w:val="1"/>
                <w:bCs w:val="1"/>
                <w:color w:val="auto"/>
              </w:rPr>
              <w:t>Maturity</w:t>
            </w: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Current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58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b w:val="1"/>
                <w:bCs w:val="1"/>
                <w:color w:val="auto"/>
              </w:rPr>
              <w:t>Coupon</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4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gridSpan w:val="2"/>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Companies—162.3% </w:t>
            </w:r>
            <w:r>
              <w:rPr>
                <w:rFonts w:ascii="Arial" w:cs="Arial" w:eastAsia="Arial" w:hAnsi="Arial"/>
                <w:sz w:val="22"/>
                <w:szCs w:val="22"/>
                <w:b w:val="1"/>
                <w:bCs w:val="1"/>
                <w:color w:val="auto"/>
                <w:vertAlign w:val="superscript"/>
              </w:rPr>
              <w:t>(1),(2)</w:t>
            </w:r>
          </w:p>
        </w:tc>
        <w:tc>
          <w:tcPr>
            <w:tcW w:w="1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20"/>
                <w:szCs w:val="20"/>
                <w:color w:val="auto"/>
              </w:rPr>
            </w:pPr>
            <w:r>
              <w:rPr>
                <w:rFonts w:ascii="Arial" w:cs="Arial" w:eastAsia="Arial" w:hAnsi="Arial"/>
                <w:sz w:val="13"/>
                <w:szCs w:val="13"/>
                <w:b w:val="1"/>
                <w:bCs w:val="1"/>
                <w:color w:val="auto"/>
              </w:rPr>
              <w:t>First Lien Secured Debt—53.1%</w:t>
            </w:r>
          </w:p>
        </w:tc>
        <w:tc>
          <w:tcPr>
            <w:tcW w:w="1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03/23/2015</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19,500,000</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18,998,379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and Childcare</w:t>
            </w: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02/07/2014</w:t>
            </w:r>
          </w:p>
        </w:tc>
        <w:tc>
          <w:tcPr>
            <w:tcW w:w="1320" w:type="dxa"/>
            <w:vAlign w:val="bottom"/>
          </w:tcPr>
          <w:p>
            <w:pPr>
              <w:jc w:val="center"/>
              <w:spacing w:after="0"/>
              <w:rPr>
                <w:sz w:val="20"/>
                <w:szCs w:val="20"/>
                <w:color w:val="auto"/>
              </w:rPr>
            </w:pPr>
            <w:r>
              <w:rPr>
                <w:rFonts w:ascii="Arial" w:cs="Arial" w:eastAsia="Arial" w:hAnsi="Arial"/>
                <w:sz w:val="13"/>
                <w:szCs w:val="13"/>
                <w:color w:val="auto"/>
              </w:rPr>
              <w:t>Energy / Utilities</w:t>
            </w:r>
          </w:p>
        </w:tc>
        <w:tc>
          <w:tcPr>
            <w:tcW w:w="740" w:type="dxa"/>
            <w:vAlign w:val="bottom"/>
          </w:tcPr>
          <w:p>
            <w:pPr>
              <w:jc w:val="right"/>
              <w:spacing w:after="0"/>
              <w:rPr>
                <w:sz w:val="20"/>
                <w:szCs w:val="20"/>
                <w:color w:val="auto"/>
              </w:rPr>
            </w:pPr>
            <w:r>
              <w:rPr>
                <w:rFonts w:ascii="Arial" w:cs="Arial" w:eastAsia="Arial" w:hAnsi="Arial"/>
                <w:sz w:val="13"/>
                <w:szCs w:val="13"/>
                <w:color w:val="auto"/>
              </w:rPr>
              <w:t>3.81%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L+325</w:t>
            </w:r>
          </w:p>
        </w:tc>
        <w:tc>
          <w:tcPr>
            <w:tcW w:w="24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1,642,486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700" w:type="dxa"/>
            <w:vAlign w:val="bottom"/>
            <w:shd w:val="clear" w:color="auto" w:fill="CCEEFF"/>
          </w:tcPr>
          <w:p>
            <w:pPr>
              <w:jc w:val="center"/>
              <w:ind w:left="913"/>
              <w:spacing w:after="0"/>
              <w:rPr>
                <w:sz w:val="20"/>
                <w:szCs w:val="20"/>
                <w:color w:val="auto"/>
              </w:rPr>
            </w:pPr>
            <w:r>
              <w:rPr>
                <w:rFonts w:ascii="Arial" w:cs="Arial" w:eastAsia="Arial" w:hAnsi="Arial"/>
                <w:sz w:val="13"/>
                <w:szCs w:val="13"/>
                <w:color w:val="auto"/>
                <w:w w:val="92"/>
              </w:rPr>
              <w:t>10/01/2016</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Logistics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7,335,158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04/01/2018</w:t>
            </w:r>
          </w:p>
        </w:tc>
        <w:tc>
          <w:tcPr>
            <w:tcW w:w="132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740" w:type="dxa"/>
            <w:vAlign w:val="bottom"/>
          </w:tcPr>
          <w:p>
            <w:pPr>
              <w:jc w:val="right"/>
              <w:spacing w:after="0"/>
              <w:rPr>
                <w:sz w:val="20"/>
                <w:szCs w:val="20"/>
                <w:color w:val="auto"/>
              </w:rPr>
            </w:pPr>
            <w:r>
              <w:rPr>
                <w:rFonts w:ascii="Arial" w:cs="Arial" w:eastAsia="Arial" w:hAnsi="Arial"/>
                <w:sz w:val="13"/>
                <w:szCs w:val="13"/>
                <w:color w:val="auto"/>
              </w:rPr>
              <w:t>11.50%</w:t>
            </w:r>
          </w:p>
        </w:tc>
        <w:tc>
          <w:tcPr>
            <w:tcW w:w="220" w:type="dxa"/>
            <w:vAlign w:val="bottom"/>
          </w:tcPr>
          <w:p>
            <w:pPr>
              <w:spacing w:after="0"/>
              <w:rPr>
                <w:sz w:val="12"/>
                <w:szCs w:val="12"/>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989,168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07/29/2016</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12.38%</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L+988</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11,191,220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10,879,048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11,209,876</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Gaming</w:t>
            </w: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(5),(10)</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11/20/2014</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Communications</w:t>
            </w:r>
          </w:p>
        </w:tc>
        <w:tc>
          <w:tcPr>
            <w:tcW w:w="740" w:type="dxa"/>
            <w:vAlign w:val="bottom"/>
          </w:tcPr>
          <w:p>
            <w:pPr>
              <w:jc w:val="right"/>
              <w:spacing w:after="0"/>
              <w:rPr>
                <w:sz w:val="20"/>
                <w:szCs w:val="20"/>
                <w:color w:val="auto"/>
              </w:rPr>
            </w:pPr>
            <w:r>
              <w:rPr>
                <w:rFonts w:ascii="Arial" w:cs="Arial" w:eastAsia="Arial" w:hAnsi="Arial"/>
                <w:sz w:val="13"/>
                <w:szCs w:val="13"/>
                <w:color w:val="auto"/>
              </w:rPr>
              <w:t>11.50%</w:t>
            </w:r>
          </w:p>
        </w:tc>
        <w:tc>
          <w:tcPr>
            <w:tcW w:w="220" w:type="dxa"/>
            <w:vAlign w:val="bottom"/>
          </w:tcPr>
          <w:p>
            <w:pPr>
              <w:spacing w:after="0"/>
              <w:rPr>
                <w:sz w:val="12"/>
                <w:szCs w:val="12"/>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10,000,000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Good Sam Enterprises, LLC </w:t>
            </w:r>
            <w:r>
              <w:rPr>
                <w:rFonts w:ascii="Arial" w:cs="Arial" w:eastAsia="Arial" w:hAnsi="Arial"/>
                <w:sz w:val="15"/>
                <w:szCs w:val="15"/>
                <w:color w:val="auto"/>
                <w:vertAlign w:val="superscript"/>
              </w:rPr>
              <w:t>(5)</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12/01/2016</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Products</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12,000,000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11,768,156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11,760,000</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Affinity Group Holdings Inc.)</w:t>
            </w:r>
          </w:p>
        </w:tc>
        <w:tc>
          <w:tcPr>
            <w:tcW w:w="17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Arial" w:cs="Arial" w:eastAsia="Arial" w:hAnsi="Arial"/>
                <w:sz w:val="11"/>
                <w:szCs w:val="11"/>
                <w:color w:val="auto"/>
              </w:rPr>
              <w:t xml:space="preserve">Hanley-Wood, L.L.C. </w:t>
            </w:r>
            <w:r>
              <w:rPr>
                <w:rFonts w:ascii="Arial" w:cs="Arial" w:eastAsia="Arial" w:hAnsi="Arial"/>
                <w:sz w:val="17"/>
                <w:szCs w:val="17"/>
                <w:color w:val="auto"/>
                <w:vertAlign w:val="superscript"/>
              </w:rPr>
              <w:t>(7)</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03/10/2014</w:t>
            </w:r>
          </w:p>
        </w:tc>
        <w:tc>
          <w:tcPr>
            <w:tcW w:w="132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740" w:type="dxa"/>
            <w:vAlign w:val="bottom"/>
          </w:tcPr>
          <w:p>
            <w:pPr>
              <w:jc w:val="right"/>
              <w:spacing w:after="0"/>
              <w:rPr>
                <w:sz w:val="20"/>
                <w:szCs w:val="20"/>
                <w:color w:val="auto"/>
              </w:rPr>
            </w:pPr>
            <w:r>
              <w:rPr>
                <w:rFonts w:ascii="Arial" w:cs="Arial" w:eastAsia="Arial" w:hAnsi="Arial"/>
                <w:sz w:val="13"/>
                <w:szCs w:val="13"/>
                <w:color w:val="auto"/>
              </w:rPr>
              <w:t>2.56%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L+225</w:t>
            </w:r>
          </w:p>
        </w:tc>
        <w:tc>
          <w:tcPr>
            <w:tcW w:w="240" w:type="dxa"/>
            <w:vAlign w:val="bottom"/>
            <w:vMerge w:val="restart"/>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8,662,500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8,662,500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4,158,000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Instant Web, Inc.</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08/07/2014</w:t>
            </w:r>
          </w:p>
        </w:tc>
        <w:tc>
          <w:tcPr>
            <w:tcW w:w="1320" w:type="dxa"/>
            <w:vAlign w:val="bottom"/>
          </w:tcPr>
          <w:p>
            <w:pPr>
              <w:jc w:val="center"/>
              <w:spacing w:after="0" w:line="138" w:lineRule="exact"/>
              <w:rPr>
                <w:sz w:val="20"/>
                <w:szCs w:val="20"/>
                <w:color w:val="auto"/>
              </w:rPr>
            </w:pPr>
            <w:r>
              <w:rPr>
                <w:rFonts w:ascii="Arial" w:cs="Arial" w:eastAsia="Arial" w:hAnsi="Arial"/>
                <w:sz w:val="13"/>
                <w:szCs w:val="13"/>
                <w:color w:val="auto"/>
                <w:w w:val="95"/>
              </w:rPr>
              <w:t>Printing and</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14.50%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vMerge w:val="continue"/>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24,562,500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24,186,384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25,299,375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10/04/2016</w:t>
            </w:r>
          </w:p>
        </w:tc>
        <w:tc>
          <w:tcPr>
            <w:tcW w:w="13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11.50%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vMerge w:val="continue"/>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18,881,250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18,456,422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18,881,250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and Childcare</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02/07/2014</w:t>
            </w:r>
          </w:p>
        </w:tc>
        <w:tc>
          <w:tcPr>
            <w:tcW w:w="1320" w:type="dxa"/>
            <w:vAlign w:val="bottom"/>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2.69%</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L+225</w:t>
            </w:r>
          </w:p>
        </w:tc>
        <w:tc>
          <w:tcPr>
            <w:tcW w:w="240" w:type="dxa"/>
            <w:vAlign w:val="bottom"/>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9,653,378</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9,653,378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6,651,178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Furnishings,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Housewares and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Durable Consumer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Products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09/10/2015</w:t>
            </w:r>
          </w:p>
        </w:tc>
        <w:tc>
          <w:tcPr>
            <w:tcW w:w="1320" w:type="dxa"/>
            <w:vAlign w:val="bottom"/>
          </w:tcPr>
          <w:p>
            <w:pPr>
              <w:jc w:val="center"/>
              <w:spacing w:after="0" w:line="138" w:lineRule="exact"/>
              <w:rPr>
                <w:sz w:val="20"/>
                <w:szCs w:val="20"/>
                <w:color w:val="auto"/>
              </w:rPr>
            </w:pPr>
            <w:r>
              <w:rPr>
                <w:rFonts w:ascii="Arial" w:cs="Arial" w:eastAsia="Arial" w:hAnsi="Arial"/>
                <w:sz w:val="13"/>
                <w:szCs w:val="13"/>
                <w:color w:val="auto"/>
                <w:w w:val="94"/>
              </w:rPr>
              <w:t>Chemicals, Plastics</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10.00%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P+675</w:t>
            </w:r>
          </w:p>
        </w:tc>
        <w:tc>
          <w:tcPr>
            <w:tcW w:w="240" w:type="dxa"/>
            <w:vAlign w:val="bottom"/>
            <w:vMerge w:val="continue"/>
          </w:tcPr>
          <w:p>
            <w:pPr>
              <w:spacing w:after="0"/>
              <w:rPr>
                <w:sz w:val="11"/>
                <w:szCs w:val="11"/>
                <w:color w:val="auto"/>
              </w:rPr>
            </w:pP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18,952,500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18,048,747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18,383,925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and Rubber</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Pharmaceuticals, LLC</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10/31/2012</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L+1,500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5,000,000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4,949,320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5,075,000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Three River Pharmaceutical, L.L.C.)</w:t>
            </w:r>
          </w:p>
        </w:tc>
        <w:tc>
          <w:tcPr>
            <w:tcW w:w="17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and Childcare</w:t>
            </w: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04/27/2016</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Education</w:t>
            </w:r>
          </w:p>
        </w:tc>
        <w:tc>
          <w:tcPr>
            <w:tcW w:w="740" w:type="dxa"/>
            <w:vAlign w:val="bottom"/>
          </w:tcPr>
          <w:p>
            <w:pPr>
              <w:jc w:val="right"/>
              <w:spacing w:after="0"/>
              <w:rPr>
                <w:sz w:val="20"/>
                <w:szCs w:val="20"/>
                <w:color w:val="auto"/>
              </w:rPr>
            </w:pPr>
            <w:r>
              <w:rPr>
                <w:rFonts w:ascii="Arial" w:cs="Arial" w:eastAsia="Arial" w:hAnsi="Arial"/>
                <w:sz w:val="13"/>
                <w:szCs w:val="13"/>
                <w:color w:val="auto"/>
              </w:rPr>
              <w:t>12.00%</w:t>
            </w:r>
          </w:p>
        </w:tc>
        <w:tc>
          <w:tcPr>
            <w:tcW w:w="220" w:type="dxa"/>
            <w:vAlign w:val="bottom"/>
          </w:tcPr>
          <w:p>
            <w:pPr>
              <w:spacing w:after="0"/>
              <w:rPr>
                <w:sz w:val="12"/>
                <w:szCs w:val="12"/>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26,052,632</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25,578,354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25,596,711</w:t>
            </w: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08/01/2014</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(6)</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L+400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37,778,803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32,661,268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23,045,070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(PIK 1.00%)</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12/30/2016</w:t>
            </w:r>
          </w:p>
        </w:tc>
        <w:tc>
          <w:tcPr>
            <w:tcW w:w="132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7.50%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L+600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1,796,748</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1,771,765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1,733,862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Miscellaneous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12/30/2016</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35,000,000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34,016,141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33,950,000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Miscellaneous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Services</w:t>
            </w: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20"/>
                <w:szCs w:val="20"/>
                <w:color w:val="auto"/>
              </w:rPr>
            </w:pPr>
            <w:r>
              <w:rPr>
                <w:rFonts w:ascii="Arial" w:cs="Arial" w:eastAsia="Arial" w:hAnsi="Arial"/>
                <w:sz w:val="13"/>
                <w:szCs w:val="13"/>
                <w:color w:val="auto"/>
              </w:rPr>
              <w:t>Questex Media Group LLC</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12/16/2012</w:t>
            </w:r>
          </w:p>
        </w:tc>
        <w:tc>
          <w:tcPr>
            <w:tcW w:w="132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740" w:type="dxa"/>
            <w:vAlign w:val="bottom"/>
          </w:tcPr>
          <w:p>
            <w:pPr>
              <w:jc w:val="right"/>
              <w:spacing w:after="0"/>
              <w:rPr>
                <w:sz w:val="20"/>
                <w:szCs w:val="20"/>
                <w:color w:val="auto"/>
              </w:rPr>
            </w:pPr>
            <w:r>
              <w:rPr>
                <w:rFonts w:ascii="Arial" w:cs="Arial" w:eastAsia="Arial" w:hAnsi="Arial"/>
                <w:sz w:val="13"/>
                <w:szCs w:val="13"/>
                <w:color w:val="auto"/>
              </w:rPr>
              <w:t>9.50%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L+550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8,670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8,670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Questex Media Group LLC </w:t>
            </w:r>
            <w:r>
              <w:rPr>
                <w:rFonts w:ascii="Arial" w:cs="Arial" w:eastAsia="Arial" w:hAnsi="Arial"/>
                <w:sz w:val="17"/>
                <w:szCs w:val="17"/>
                <w:color w:val="auto"/>
                <w:vertAlign w:val="superscript"/>
              </w:rPr>
              <w:t>(9)</w:t>
            </w:r>
          </w:p>
        </w:tc>
        <w:tc>
          <w:tcPr>
            <w:tcW w:w="1700" w:type="dxa"/>
            <w:vAlign w:val="bottom"/>
            <w:shd w:val="clear" w:color="auto" w:fill="CCEEFF"/>
          </w:tcPr>
          <w:p>
            <w:pPr>
              <w:jc w:val="center"/>
              <w:ind w:left="913"/>
              <w:spacing w:after="0"/>
              <w:rPr>
                <w:sz w:val="20"/>
                <w:szCs w:val="20"/>
                <w:color w:val="auto"/>
              </w:rPr>
            </w:pPr>
            <w:r>
              <w:rPr>
                <w:rFonts w:ascii="Arial" w:cs="Arial" w:eastAsia="Arial" w:hAnsi="Arial"/>
                <w:sz w:val="13"/>
                <w:szCs w:val="13"/>
                <w:color w:val="auto"/>
                <w:w w:val="92"/>
              </w:rPr>
              <w:t>12/16/2012</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Other Media</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124,933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3"/>
                <w:szCs w:val="13"/>
                <w:color w:val="auto"/>
              </w:rPr>
              <w:t>VPSI, Inc.</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12/23/2015</w:t>
            </w:r>
          </w:p>
        </w:tc>
        <w:tc>
          <w:tcPr>
            <w:tcW w:w="1320" w:type="dxa"/>
            <w:vAlign w:val="bottom"/>
          </w:tcPr>
          <w:p>
            <w:pPr>
              <w:jc w:val="center"/>
              <w:spacing w:after="0" w:line="138" w:lineRule="exact"/>
              <w:rPr>
                <w:sz w:val="20"/>
                <w:szCs w:val="20"/>
                <w:color w:val="auto"/>
              </w:rPr>
            </w:pPr>
            <w:r>
              <w:rPr>
                <w:rFonts w:ascii="Arial" w:cs="Arial" w:eastAsia="Arial" w:hAnsi="Arial"/>
                <w:sz w:val="13"/>
                <w:szCs w:val="13"/>
                <w:color w:val="auto"/>
                <w:w w:val="89"/>
              </w:rPr>
              <w:t>Personal</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12.00%</w:t>
            </w:r>
          </w:p>
        </w:tc>
        <w:tc>
          <w:tcPr>
            <w:tcW w:w="220" w:type="dxa"/>
            <w:vAlign w:val="bottom"/>
          </w:tcPr>
          <w:p>
            <w:pPr>
              <w:spacing w:after="0"/>
              <w:rPr>
                <w:sz w:val="11"/>
                <w:szCs w:val="11"/>
                <w:color w:val="auto"/>
              </w:rPr>
            </w:pPr>
          </w:p>
        </w:tc>
        <w:tc>
          <w:tcPr>
            <w:tcW w:w="960" w:type="dxa"/>
            <w:vAlign w:val="bottom"/>
            <w:gridSpan w:val="2"/>
          </w:tcPr>
          <w:p>
            <w:pPr>
              <w:jc w:val="right"/>
              <w:ind w:right="64"/>
              <w:spacing w:after="0" w:line="138" w:lineRule="exact"/>
              <w:rPr>
                <w:sz w:val="20"/>
                <w:szCs w:val="20"/>
                <w:color w:val="auto"/>
              </w:rPr>
            </w:pPr>
            <w:r>
              <w:rPr>
                <w:rFonts w:ascii="Arial" w:cs="Arial" w:eastAsia="Arial" w:hAnsi="Arial"/>
                <w:sz w:val="10"/>
                <w:szCs w:val="10"/>
                <w:color w:val="auto"/>
              </w:rPr>
              <w:t xml:space="preserve">L+1,000 </w:t>
            </w:r>
            <w:r>
              <w:rPr>
                <w:rFonts w:ascii="Arial" w:cs="Arial" w:eastAsia="Arial" w:hAnsi="Arial"/>
                <w:sz w:val="15"/>
                <w:szCs w:val="15"/>
                <w:color w:val="auto"/>
                <w:vertAlign w:val="superscript"/>
              </w:rPr>
              <w:t>(8)</w:t>
            </w:r>
          </w:p>
        </w:tc>
        <w:tc>
          <w:tcPr>
            <w:tcW w:w="10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16,958,333</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16,719,442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16,873,541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Transportation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700" w:type="dxa"/>
            <w:vAlign w:val="bottom"/>
            <w:shd w:val="clear" w:color="auto" w:fill="CCEEFF"/>
          </w:tcPr>
          <w:p>
            <w:pPr>
              <w:jc w:val="center"/>
              <w:ind w:left="913"/>
              <w:spacing w:after="0" w:line="138" w:lineRule="exact"/>
              <w:rPr>
                <w:sz w:val="20"/>
                <w:szCs w:val="20"/>
                <w:color w:val="auto"/>
              </w:rPr>
            </w:pPr>
            <w:r>
              <w:rPr>
                <w:rFonts w:ascii="Arial" w:cs="Arial" w:eastAsia="Arial" w:hAnsi="Arial"/>
                <w:sz w:val="13"/>
                <w:szCs w:val="13"/>
                <w:color w:val="auto"/>
                <w:w w:val="92"/>
              </w:rPr>
              <w:t>07/15/2016</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11.38%</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4,500,000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4,393,653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4,635,000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Gaming</w:t>
            </w: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260,843,372</w:t>
            </w: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247,427,641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80" w:type="dxa"/>
            <w:vAlign w:val="bottom"/>
            <w:vMerge w:val="restart"/>
          </w:tcPr>
          <w:p>
            <w:pPr>
              <w:jc w:val="center"/>
              <w:ind w:left="713"/>
              <w:spacing w:after="0"/>
              <w:rPr>
                <w:sz w:val="20"/>
                <w:szCs w:val="20"/>
                <w:color w:val="auto"/>
              </w:rPr>
            </w:pPr>
            <w:r>
              <w:rPr>
                <w:rFonts w:ascii="Arial" w:cs="Arial" w:eastAsia="Arial" w:hAnsi="Arial"/>
                <w:sz w:val="13"/>
                <w:szCs w:val="13"/>
                <w:b w:val="1"/>
                <w:bCs w:val="1"/>
                <w:color w:val="auto"/>
              </w:rPr>
              <w:t>Maturity</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Current</w:t>
            </w:r>
          </w:p>
        </w:tc>
        <w:tc>
          <w:tcPr>
            <w:tcW w:w="3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Above</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9"/>
        </w:trPr>
        <w:tc>
          <w:tcPr>
            <w:tcW w:w="39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Coupon</w:t>
            </w: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Second Lien Secured Debt—32.1%</w:t>
            </w:r>
          </w:p>
        </w:tc>
        <w:tc>
          <w:tcPr>
            <w:tcW w:w="14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02/07/2015</w:t>
            </w:r>
          </w:p>
        </w:tc>
        <w:tc>
          <w:tcPr>
            <w:tcW w:w="120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6.49%</w:t>
            </w:r>
          </w:p>
        </w:tc>
        <w:tc>
          <w:tcPr>
            <w:tcW w:w="320" w:type="dxa"/>
            <w:vAlign w:val="bottom"/>
          </w:tcPr>
          <w:p>
            <w:pPr>
              <w:spacing w:after="0"/>
              <w:rPr>
                <w:sz w:val="12"/>
                <w:szCs w:val="12"/>
                <w:color w:val="auto"/>
              </w:rPr>
            </w:pPr>
          </w:p>
        </w:tc>
        <w:tc>
          <w:tcPr>
            <w:tcW w:w="940" w:type="dxa"/>
            <w:vAlign w:val="bottom"/>
            <w:gridSpan w:val="2"/>
          </w:tcPr>
          <w:p>
            <w:pPr>
              <w:ind w:left="280"/>
              <w:spacing w:after="0"/>
              <w:rPr>
                <w:sz w:val="20"/>
                <w:szCs w:val="20"/>
                <w:color w:val="auto"/>
              </w:rPr>
            </w:pPr>
            <w:r>
              <w:rPr>
                <w:rFonts w:ascii="Arial" w:cs="Arial" w:eastAsia="Arial" w:hAnsi="Arial"/>
                <w:sz w:val="13"/>
                <w:szCs w:val="13"/>
                <w:color w:val="auto"/>
              </w:rPr>
              <w:t>L+600</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13,600,000</w:t>
            </w:r>
          </w:p>
        </w:tc>
        <w:tc>
          <w:tcPr>
            <w:tcW w:w="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13,320,338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11,152,000</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480" w:type="dxa"/>
            <w:vAlign w:val="bottom"/>
            <w:shd w:val="clear" w:color="auto" w:fill="CCEEFF"/>
          </w:tcPr>
          <w:p>
            <w:pPr>
              <w:jc w:val="center"/>
              <w:ind w:left="713"/>
              <w:spacing w:after="0"/>
              <w:rPr>
                <w:sz w:val="20"/>
                <w:szCs w:val="20"/>
                <w:color w:val="auto"/>
              </w:rPr>
            </w:pPr>
            <w:r>
              <w:rPr>
                <w:rFonts w:ascii="Arial" w:cs="Arial" w:eastAsia="Arial" w:hAnsi="Arial"/>
                <w:sz w:val="13"/>
                <w:szCs w:val="13"/>
                <w:color w:val="auto"/>
                <w:w w:val="95"/>
              </w:rPr>
              <w:t>02/07/2015</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7.52%</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L+700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11,832,439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1"/>
                <w:szCs w:val="11"/>
                <w:color w:val="auto"/>
              </w:rPr>
              <w:t xml:space="preserve">DirectBuy Holdings, Inc. </w:t>
            </w:r>
            <w:r>
              <w:rPr>
                <w:rFonts w:ascii="Arial" w:cs="Arial" w:eastAsia="Arial" w:hAnsi="Arial"/>
                <w:sz w:val="17"/>
                <w:szCs w:val="17"/>
                <w:color w:val="auto"/>
                <w:vertAlign w:val="superscript"/>
              </w:rPr>
              <w:t>(5),(7)</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02/01/2017</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12.00%</w:t>
            </w:r>
          </w:p>
        </w:tc>
        <w:tc>
          <w:tcPr>
            <w:tcW w:w="320" w:type="dxa"/>
            <w:vAlign w:val="bottom"/>
          </w:tcPr>
          <w:p>
            <w:pPr>
              <w:spacing w:after="0"/>
              <w:rPr>
                <w:sz w:val="12"/>
                <w:szCs w:val="12"/>
                <w:color w:val="auto"/>
              </w:rPr>
            </w:pPr>
          </w:p>
        </w:tc>
        <w:tc>
          <w:tcPr>
            <w:tcW w:w="9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34,000,000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31,964,124</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8,308,920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Eureka Hunter Pipeline, LLC</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08/16/2018</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9"/>
              </w:rPr>
              <w:t>Energy/Utilities</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12.50%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31,000,000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2.75%)</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08/16/2012</w:t>
            </w:r>
          </w:p>
        </w:tc>
        <w:tc>
          <w:tcPr>
            <w:tcW w:w="120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9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19,000,000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18,525,000</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Greatwide Logistics Services, L.L.C.</w:t>
            </w:r>
          </w:p>
        </w:tc>
        <w:tc>
          <w:tcPr>
            <w:tcW w:w="1480" w:type="dxa"/>
            <w:vAlign w:val="bottom"/>
            <w:shd w:val="clear" w:color="auto" w:fill="CCEEFF"/>
          </w:tcPr>
          <w:p>
            <w:pPr>
              <w:jc w:val="center"/>
              <w:ind w:left="713"/>
              <w:spacing w:after="0" w:line="122" w:lineRule="exact"/>
              <w:rPr>
                <w:sz w:val="20"/>
                <w:szCs w:val="20"/>
                <w:color w:val="auto"/>
              </w:rPr>
            </w:pPr>
            <w:r>
              <w:rPr>
                <w:rFonts w:ascii="Arial" w:cs="Arial" w:eastAsia="Arial" w:hAnsi="Arial"/>
                <w:sz w:val="13"/>
                <w:szCs w:val="13"/>
                <w:color w:val="auto"/>
                <w:w w:val="95"/>
              </w:rPr>
              <w:t>03/01/2014</w:t>
            </w:r>
          </w:p>
        </w:tc>
        <w:tc>
          <w:tcPr>
            <w:tcW w:w="12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5"/>
              </w:rPr>
              <w:t>Cargo Transport</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w w:val="95"/>
              </w:rPr>
              <w:t>11.00%</w:t>
            </w:r>
          </w:p>
        </w:tc>
        <w:tc>
          <w:tcPr>
            <w:tcW w:w="320" w:type="dxa"/>
            <w:vAlign w:val="bottom"/>
            <w:shd w:val="clear" w:color="auto" w:fill="CCEEFF"/>
          </w:tcPr>
          <w:p>
            <w:pPr>
              <w:jc w:val="right"/>
              <w:ind w:right="124"/>
              <w:spacing w:after="0" w:line="122" w:lineRule="exact"/>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9"/>
                <w:szCs w:val="9"/>
                <w:color w:val="auto"/>
              </w:rPr>
              <w:t xml:space="preserve">L+700 </w:t>
            </w:r>
            <w:r>
              <w:rPr>
                <w:rFonts w:ascii="Arial" w:cs="Arial" w:eastAsia="Arial" w:hAnsi="Arial"/>
                <w:sz w:val="14"/>
                <w:szCs w:val="14"/>
                <w:color w:val="auto"/>
                <w:vertAlign w:val="superscript"/>
              </w:rPr>
              <w:t>(8)</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2,860,869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2,860,872</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2,782,195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100"/>
              <w:spacing w:after="0" w:line="189" w:lineRule="exact"/>
              <w:rPr>
                <w:sz w:val="20"/>
                <w:szCs w:val="20"/>
                <w:color w:val="auto"/>
              </w:rPr>
            </w:pPr>
            <w:r>
              <w:rPr>
                <w:rFonts w:ascii="Arial" w:cs="Arial" w:eastAsia="Arial" w:hAnsi="Arial"/>
                <w:sz w:val="21"/>
                <w:szCs w:val="21"/>
                <w:color w:val="auto"/>
                <w:vertAlign w:val="superscript"/>
              </w:rPr>
              <w:t>(PIK</w:t>
            </w:r>
            <w:r>
              <w:rPr>
                <w:rFonts w:ascii="Arial" w:cs="Arial" w:eastAsia="Arial" w:hAnsi="Arial"/>
                <w:sz w:val="12"/>
                <w:szCs w:val="12"/>
                <w:color w:val="auto"/>
              </w:rPr>
              <w:t xml:space="preserve"> 11.00%)</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Questex Media Group LLC, Term Loan A</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12/15/2014</w:t>
            </w:r>
          </w:p>
        </w:tc>
        <w:tc>
          <w:tcPr>
            <w:tcW w:w="120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9.50%</w:t>
            </w:r>
          </w:p>
        </w:tc>
        <w:tc>
          <w:tcPr>
            <w:tcW w:w="32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 xml:space="preserve">L+650 </w:t>
            </w:r>
            <w:r>
              <w:rPr>
                <w:rFonts w:ascii="Arial" w:cs="Arial" w:eastAsia="Arial" w:hAnsi="Arial"/>
                <w:sz w:val="17"/>
                <w:szCs w:val="17"/>
                <w:color w:val="auto"/>
                <w:vertAlign w:val="superscript"/>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2,963,341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2,963,341</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2,702,567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Questex Media Group LLC, Term Loan B</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12/15/2015</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11.50%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0"/>
                <w:szCs w:val="10"/>
                <w:color w:val="auto"/>
              </w:rPr>
              <w:t xml:space="preserve">L+750 </w:t>
            </w:r>
            <w:r>
              <w:rPr>
                <w:rFonts w:ascii="Arial" w:cs="Arial" w:eastAsia="Arial" w:hAnsi="Arial"/>
                <w:sz w:val="15"/>
                <w:szCs w:val="15"/>
                <w:color w:val="auto"/>
                <w:vertAlign w:val="superscript"/>
              </w:rPr>
              <w:t>(8)</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2,047,984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2,047,984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1,796,082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60" w:type="dxa"/>
            <w:vAlign w:val="bottom"/>
            <w:gridSpan w:val="5"/>
            <w:shd w:val="clear" w:color="auto" w:fill="CCEEFF"/>
          </w:tcPr>
          <w:p>
            <w:pPr>
              <w:ind w:left="100"/>
              <w:spacing w:after="0"/>
              <w:rPr>
                <w:sz w:val="20"/>
                <w:szCs w:val="20"/>
                <w:color w:val="auto"/>
              </w:rPr>
            </w:pPr>
            <w:r>
              <w:rPr>
                <w:rFonts w:ascii="Arial" w:cs="Arial" w:eastAsia="Arial" w:hAnsi="Arial"/>
                <w:sz w:val="13"/>
                <w:szCs w:val="13"/>
                <w:color w:val="auto"/>
              </w:rPr>
              <w:t>(PIK 11.50%)</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RAM Energy Resources, Inc.</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09/13/2016</w:t>
            </w: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Oil and Gas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11.00%</w:t>
            </w:r>
          </w:p>
        </w:tc>
        <w:tc>
          <w:tcPr>
            <w:tcW w:w="32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 xml:space="preserve">L+900 </w:t>
            </w:r>
            <w:r>
              <w:rPr>
                <w:rFonts w:ascii="Arial" w:cs="Arial" w:eastAsia="Arial" w:hAnsi="Arial"/>
                <w:sz w:val="17"/>
                <w:szCs w:val="17"/>
                <w:color w:val="auto"/>
                <w:vertAlign w:val="superscript"/>
              </w:rPr>
              <w:t>(8)</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17,000,000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16,685,212</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Realogy Corp.</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10/15/2017</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Buildings and Real</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13.50%</w:t>
            </w:r>
          </w:p>
        </w:tc>
        <w:tc>
          <w:tcPr>
            <w:tcW w:w="3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10,000,000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10,000,000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9,987,500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Estate</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09/01/2018</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12.13%</w:t>
            </w:r>
          </w:p>
        </w:tc>
        <w:tc>
          <w:tcPr>
            <w:tcW w:w="320" w:type="dxa"/>
            <w:vAlign w:val="bottom"/>
          </w:tcPr>
          <w:p>
            <w:pPr>
              <w:spacing w:after="0"/>
              <w:rPr>
                <w:sz w:val="11"/>
                <w:szCs w:val="11"/>
                <w:color w:val="auto"/>
              </w:rPr>
            </w:pP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16,000,000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15,734,975</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16,840,000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and Gaming</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06/15/2015</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6.05%</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L+575</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13,500,000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11,950,247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12,555,000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Childcare</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3"/>
                <w:szCs w:val="13"/>
                <w:color w:val="auto"/>
              </w:rPr>
              <w:t>TransFirst Holdings, Inc.</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06/15/2015</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Financial Services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6.30%</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280"/>
              <w:spacing w:after="0"/>
              <w:rPr>
                <w:sz w:val="20"/>
                <w:szCs w:val="20"/>
                <w:color w:val="auto"/>
              </w:rPr>
            </w:pPr>
            <w:r>
              <w:rPr>
                <w:rFonts w:ascii="Arial" w:cs="Arial" w:eastAsia="Arial" w:hAnsi="Arial"/>
                <w:sz w:val="13"/>
                <w:szCs w:val="13"/>
                <w:color w:val="auto"/>
              </w:rPr>
              <w:t>L+600</w:t>
            </w:r>
          </w:p>
        </w:tc>
        <w:tc>
          <w:tcPr>
            <w:tcW w:w="640" w:type="dxa"/>
            <w:vAlign w:val="bottom"/>
          </w:tcPr>
          <w:p>
            <w:pPr>
              <w:jc w:val="right"/>
              <w:spacing w:after="0"/>
              <w:rPr>
                <w:sz w:val="20"/>
                <w:szCs w:val="20"/>
                <w:color w:val="auto"/>
              </w:rPr>
            </w:pPr>
            <w:r>
              <w:rPr>
                <w:rFonts w:ascii="Arial" w:cs="Arial" w:eastAsia="Arial" w:hAnsi="Arial"/>
                <w:sz w:val="13"/>
                <w:szCs w:val="13"/>
                <w:color w:val="auto"/>
              </w:rPr>
              <w:t>7,767,209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7,401,003</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6,861,032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176,285,535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149,564,296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3"/>
                <w:szCs w:val="13"/>
                <w:b w:val="1"/>
                <w:bCs w:val="1"/>
                <w:color w:val="auto"/>
              </w:rPr>
              <w:t>Subordinated Debt/Corporate Notes—66.2%</w:t>
            </w:r>
          </w:p>
        </w:tc>
        <w:tc>
          <w:tcPr>
            <w:tcW w:w="1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1480" w:type="dxa"/>
            <w:vAlign w:val="bottom"/>
            <w:shd w:val="clear" w:color="auto" w:fill="CCEEFF"/>
          </w:tcPr>
          <w:p>
            <w:pPr>
              <w:jc w:val="center"/>
              <w:ind w:left="713"/>
              <w:spacing w:after="0"/>
              <w:rPr>
                <w:sz w:val="20"/>
                <w:szCs w:val="20"/>
                <w:color w:val="auto"/>
              </w:rPr>
            </w:pPr>
            <w:r>
              <w:rPr>
                <w:rFonts w:ascii="Arial" w:cs="Arial" w:eastAsia="Arial" w:hAnsi="Arial"/>
                <w:sz w:val="13"/>
                <w:szCs w:val="13"/>
                <w:color w:val="auto"/>
                <w:w w:val="95"/>
              </w:rPr>
              <w:t>11/15/2015</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11.63%</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35,552,000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34,012,908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29,508,160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Diversitech Corporation</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01/29/2017</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96"/>
              </w:rPr>
              <w:t>Manufacturing/Basic</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13.50%</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11,000,000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10,795,649</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11,000,000</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9"/>
              </w:rPr>
              <w:t>Industry</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tcPr>
          <w:p>
            <w:pPr>
              <w:jc w:val="right"/>
              <w:ind w:right="244"/>
              <w:spacing w:after="0"/>
              <w:rPr>
                <w:sz w:val="20"/>
                <w:szCs w:val="20"/>
                <w:color w:val="auto"/>
              </w:rPr>
            </w:pPr>
            <w:r>
              <w:rPr>
                <w:rFonts w:ascii="Arial" w:cs="Arial" w:eastAsia="Arial" w:hAnsi="Arial"/>
                <w:sz w:val="13"/>
                <w:szCs w:val="13"/>
                <w:color w:val="auto"/>
              </w:rPr>
              <w:t>2.00%)</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Escort, Inc.</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06/01/2016</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Electronics</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14.75%</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24,730,869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24,155,285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24,162,059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2.75%)</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JF Acquisition, LLC</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12/30/2017</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rPr>
              <w:t>Distribution</w:t>
            </w:r>
          </w:p>
        </w:tc>
        <w:tc>
          <w:tcPr>
            <w:tcW w:w="380" w:type="dxa"/>
            <w:vAlign w:val="bottom"/>
            <w:gridSpan w:val="2"/>
            <w:vMerge w:val="restart"/>
          </w:tcPr>
          <w:p>
            <w:pPr>
              <w:ind w:left="100"/>
              <w:spacing w:after="0"/>
              <w:rPr>
                <w:sz w:val="20"/>
                <w:szCs w:val="20"/>
                <w:color w:val="auto"/>
              </w:rPr>
            </w:pPr>
            <w:r>
              <w:rPr>
                <w:rFonts w:ascii="Arial" w:cs="Arial" w:eastAsia="Arial" w:hAnsi="Arial"/>
                <w:sz w:val="13"/>
                <w:szCs w:val="13"/>
                <w:color w:val="auto"/>
              </w:rPr>
              <w:t>(PIK</w:t>
            </w: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14.00%</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17,000,000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16,532,911</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16,532,500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80" w:type="dxa"/>
            <w:vAlign w:val="bottom"/>
            <w:gridSpan w:val="3"/>
          </w:tcPr>
          <w:p>
            <w:pPr>
              <w:jc w:val="right"/>
              <w:ind w:right="244"/>
              <w:spacing w:after="0"/>
              <w:rPr>
                <w:sz w:val="20"/>
                <w:szCs w:val="20"/>
                <w:color w:val="auto"/>
              </w:rPr>
            </w:pPr>
            <w:r>
              <w:rPr>
                <w:rFonts w:ascii="Arial" w:cs="Arial" w:eastAsia="Arial" w:hAnsi="Arial"/>
                <w:sz w:val="13"/>
                <w:szCs w:val="13"/>
                <w:color w:val="auto"/>
              </w:rPr>
              <w:t>2.00%)</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Last Mile Funding, Corp. (3PD, Inc.)</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06/30/2016</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14.50%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44,740,417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43,712,995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43,621,907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2.50%)</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Learning Care Group (US) Inc.</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06/30/2016</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93"/>
              </w:rPr>
              <w:t>Education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15.00%</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4,909,506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4,256,457</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4,467,650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gridSpan w:val="5"/>
          </w:tcPr>
          <w:p>
            <w:pPr>
              <w:ind w:left="100"/>
              <w:spacing w:after="0"/>
              <w:rPr>
                <w:sz w:val="20"/>
                <w:szCs w:val="20"/>
                <w:color w:val="auto"/>
              </w:rPr>
            </w:pPr>
            <w:r>
              <w:rPr>
                <w:rFonts w:ascii="Arial" w:cs="Arial" w:eastAsia="Arial" w:hAnsi="Arial"/>
                <w:sz w:val="13"/>
                <w:szCs w:val="13"/>
                <w:color w:val="auto"/>
              </w:rPr>
              <w:t>(PIK 15.00%)</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LTI Flexible Products, Inc.</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01/26/2017</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Chemical, Plastic</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13.88%</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34,098,837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33,311,575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34,780,814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and Rubber</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1.88%)</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Mailsouth, Inc.</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06/15/2017</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95"/>
              </w:rPr>
              <w:t>Printing and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14.50%</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15,000,000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14,594,825</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14,805,000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tcPr>
          <w:p>
            <w:pPr>
              <w:jc w:val="right"/>
              <w:ind w:right="244"/>
              <w:spacing w:after="0"/>
              <w:rPr>
                <w:sz w:val="20"/>
                <w:szCs w:val="20"/>
                <w:color w:val="auto"/>
              </w:rPr>
            </w:pPr>
            <w:r>
              <w:rPr>
                <w:rFonts w:ascii="Arial" w:cs="Arial" w:eastAsia="Arial" w:hAnsi="Arial"/>
                <w:sz w:val="13"/>
                <w:szCs w:val="13"/>
                <w:color w:val="auto"/>
              </w:rPr>
              <w:t>2.00%)</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MedQuist, Inc.</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10/14/2016</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13.00%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19,000,000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18,509,377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19,950,000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2.00%)</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PAS Technologies, Inc.</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05/12/2017</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89"/>
              </w:rPr>
              <w:t>Aerospace and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14.02%</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17,123,218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16,746,057</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16,541,029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Defense</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tcPr>
          <w:p>
            <w:pPr>
              <w:jc w:val="right"/>
              <w:ind w:right="244"/>
              <w:spacing w:after="0"/>
              <w:rPr>
                <w:sz w:val="20"/>
                <w:szCs w:val="20"/>
                <w:color w:val="auto"/>
              </w:rPr>
            </w:pPr>
            <w:r>
              <w:rPr>
                <w:rFonts w:ascii="Arial" w:cs="Arial" w:eastAsia="Arial" w:hAnsi="Arial"/>
                <w:sz w:val="13"/>
                <w:szCs w:val="13"/>
                <w:color w:val="auto"/>
              </w:rPr>
              <w:t>2.02%)</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12/03/2016</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Mining, Steel, Iron</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13.50%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26,300,041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25,814,168</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26,063,341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and</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2.00%)</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Non-Precious Metals</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Realogy Corp.</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04/15/2018</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94"/>
              </w:rPr>
              <w:t>Buildings and Real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11.00%</w:t>
            </w:r>
          </w:p>
        </w:tc>
        <w:tc>
          <w:tcPr>
            <w:tcW w:w="320" w:type="dxa"/>
            <w:vAlign w:val="bottom"/>
          </w:tcPr>
          <w:p>
            <w:pPr>
              <w:spacing w:after="0"/>
              <w:rPr>
                <w:sz w:val="11"/>
                <w:szCs w:val="11"/>
                <w:color w:val="auto"/>
              </w:rPr>
            </w:pP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10,000,000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9,180,496</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5,700,000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Estate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TRAK Acquisition Corp.</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12/29/2015</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15.00%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12,020,950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11,675,229</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12,020,950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2.50%)</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line="138" w:lineRule="exact"/>
              <w:rPr>
                <w:sz w:val="20"/>
                <w:szCs w:val="20"/>
                <w:color w:val="auto"/>
              </w:rPr>
            </w:pPr>
            <w:r>
              <w:rPr>
                <w:rFonts w:ascii="Arial" w:cs="Arial" w:eastAsia="Arial" w:hAnsi="Arial"/>
                <w:sz w:val="13"/>
                <w:szCs w:val="13"/>
                <w:color w:val="auto"/>
              </w:rPr>
              <w:t>UP Support Services Inc. (f/k/a UP Acquisition Sub, Inc.)</w:t>
            </w:r>
          </w:p>
        </w:tc>
        <w:tc>
          <w:tcPr>
            <w:tcW w:w="1480" w:type="dxa"/>
            <w:vAlign w:val="bottom"/>
          </w:tcPr>
          <w:p>
            <w:pPr>
              <w:jc w:val="center"/>
              <w:ind w:left="713"/>
              <w:spacing w:after="0" w:line="138" w:lineRule="exact"/>
              <w:rPr>
                <w:sz w:val="20"/>
                <w:szCs w:val="20"/>
                <w:color w:val="auto"/>
              </w:rPr>
            </w:pPr>
            <w:r>
              <w:rPr>
                <w:rFonts w:ascii="Arial" w:cs="Arial" w:eastAsia="Arial" w:hAnsi="Arial"/>
                <w:sz w:val="13"/>
                <w:szCs w:val="13"/>
                <w:color w:val="auto"/>
                <w:w w:val="95"/>
              </w:rPr>
              <w:t>02/08/2015</w:t>
            </w:r>
          </w:p>
        </w:tc>
        <w:tc>
          <w:tcPr>
            <w:tcW w:w="1200" w:type="dxa"/>
            <w:vAlign w:val="bottom"/>
          </w:tcPr>
          <w:p>
            <w:pPr>
              <w:jc w:val="center"/>
              <w:spacing w:after="0" w:line="138" w:lineRule="exact"/>
              <w:rPr>
                <w:sz w:val="20"/>
                <w:szCs w:val="20"/>
                <w:color w:val="auto"/>
              </w:rPr>
            </w:pPr>
            <w:r>
              <w:rPr>
                <w:rFonts w:ascii="Arial" w:cs="Arial" w:eastAsia="Arial" w:hAnsi="Arial"/>
                <w:sz w:val="13"/>
                <w:szCs w:val="13"/>
                <w:color w:val="auto"/>
                <w:w w:val="96"/>
              </w:rPr>
              <w:t>Oil and Gas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w w:val="95"/>
              </w:rPr>
              <w:t>18.75%</w:t>
            </w:r>
          </w:p>
        </w:tc>
        <w:tc>
          <w:tcPr>
            <w:tcW w:w="320" w:type="dxa"/>
            <w:vAlign w:val="bottom"/>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27,507,761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8"/>
              </w:rPr>
              <w:t>27,378,663</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22,006,209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gridSpan w:val="5"/>
          </w:tcPr>
          <w:p>
            <w:pPr>
              <w:ind w:left="100"/>
              <w:spacing w:after="0"/>
              <w:rPr>
                <w:sz w:val="20"/>
                <w:szCs w:val="20"/>
                <w:color w:val="auto"/>
              </w:rPr>
            </w:pPr>
            <w:r>
              <w:rPr>
                <w:rFonts w:ascii="Arial" w:cs="Arial" w:eastAsia="Arial" w:hAnsi="Arial"/>
                <w:sz w:val="13"/>
                <w:szCs w:val="13"/>
                <w:color w:val="auto"/>
              </w:rPr>
              <w:t>(PIK 18.75%)</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Veritext Corp.</w:t>
            </w:r>
          </w:p>
        </w:tc>
        <w:tc>
          <w:tcPr>
            <w:tcW w:w="1480" w:type="dxa"/>
            <w:vAlign w:val="bottom"/>
            <w:shd w:val="clear" w:color="auto" w:fill="CCEEFF"/>
          </w:tcPr>
          <w:p>
            <w:pPr>
              <w:jc w:val="center"/>
              <w:ind w:left="713"/>
              <w:spacing w:after="0" w:line="138" w:lineRule="exact"/>
              <w:rPr>
                <w:sz w:val="20"/>
                <w:szCs w:val="20"/>
                <w:color w:val="auto"/>
              </w:rPr>
            </w:pPr>
            <w:r>
              <w:rPr>
                <w:rFonts w:ascii="Arial" w:cs="Arial" w:eastAsia="Arial" w:hAnsi="Arial"/>
                <w:sz w:val="13"/>
                <w:szCs w:val="13"/>
                <w:color w:val="auto"/>
                <w:w w:val="95"/>
              </w:rPr>
              <w:t>12/31/2015</w:t>
            </w:r>
          </w:p>
        </w:tc>
        <w:tc>
          <w:tcPr>
            <w:tcW w:w="12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14.00%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16,200,000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15,869,716</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16,200,000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(PIK</w:t>
            </w:r>
          </w:p>
        </w:tc>
        <w:tc>
          <w:tcPr>
            <w:tcW w:w="7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3.00%)</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1"/>
                <w:szCs w:val="11"/>
                <w:color w:val="auto"/>
              </w:rPr>
              <w:t xml:space="preserve">Veritext Corp. </w:t>
            </w:r>
            <w:r>
              <w:rPr>
                <w:rFonts w:ascii="Arial" w:cs="Arial" w:eastAsia="Arial" w:hAnsi="Arial"/>
                <w:sz w:val="17"/>
                <w:szCs w:val="17"/>
                <w:color w:val="auto"/>
                <w:vertAlign w:val="superscript"/>
              </w:rPr>
              <w:t>(9)</w:t>
            </w:r>
          </w:p>
        </w:tc>
        <w:tc>
          <w:tcPr>
            <w:tcW w:w="1480" w:type="dxa"/>
            <w:vAlign w:val="bottom"/>
          </w:tcPr>
          <w:p>
            <w:pPr>
              <w:jc w:val="center"/>
              <w:ind w:left="713"/>
              <w:spacing w:after="0"/>
              <w:rPr>
                <w:sz w:val="20"/>
                <w:szCs w:val="20"/>
                <w:color w:val="auto"/>
              </w:rPr>
            </w:pPr>
            <w:r>
              <w:rPr>
                <w:rFonts w:ascii="Arial" w:cs="Arial" w:eastAsia="Arial" w:hAnsi="Arial"/>
                <w:sz w:val="13"/>
                <w:szCs w:val="13"/>
                <w:color w:val="auto"/>
                <w:w w:val="95"/>
              </w:rPr>
              <w:t>12/31/2012</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9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10,800,000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10,530,000</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317,076,311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308,159,619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w:t>
            </w:r>
          </w:p>
        </w:tc>
        <w:tc>
          <w:tcPr>
            <w:tcW w:w="158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rPr>
              <w:t>Industry</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Current</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Above</w:t>
            </w: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6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Coupon</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Preferred Equity/Partnership Interests—1.7% </w:t>
            </w:r>
            <w:r>
              <w:rPr>
                <w:rFonts w:ascii="Arial" w:cs="Arial" w:eastAsia="Arial" w:hAnsi="Arial"/>
                <w:sz w:val="22"/>
                <w:szCs w:val="22"/>
                <w:b w:val="1"/>
                <w:bCs w:val="1"/>
                <w:color w:val="auto"/>
                <w:vertAlign w:val="superscript"/>
              </w:rPr>
              <w:t>(7)</w:t>
            </w:r>
          </w:p>
        </w:tc>
        <w:tc>
          <w:tcPr>
            <w:tcW w:w="9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tcPr>
          <w:p>
            <w:pPr>
              <w:ind w:left="240"/>
              <w:spacing w:after="0" w:line="138" w:lineRule="exact"/>
              <w:rPr>
                <w:sz w:val="20"/>
                <w:szCs w:val="20"/>
                <w:color w:val="auto"/>
              </w:rPr>
            </w:pPr>
            <w:r>
              <w:rPr>
                <w:rFonts w:ascii="Arial" w:cs="Arial" w:eastAsia="Arial" w:hAnsi="Arial"/>
                <w:sz w:val="13"/>
                <w:szCs w:val="13"/>
                <w:color w:val="auto"/>
              </w:rPr>
              <w:t>6.00%</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211</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500,000</w:t>
            </w:r>
          </w:p>
        </w:tc>
        <w:tc>
          <w:tcPr>
            <w:tcW w:w="160" w:type="dxa"/>
            <w:vAlign w:val="bottom"/>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524,053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(American Surgical Holdings, Inc.)</w:t>
            </w:r>
          </w:p>
        </w:tc>
        <w:tc>
          <w:tcPr>
            <w:tcW w:w="920" w:type="dxa"/>
            <w:vAlign w:val="bottom"/>
          </w:tcPr>
          <w:p>
            <w:pPr>
              <w:spacing w:after="0"/>
              <w:rPr>
                <w:sz w:val="13"/>
                <w:szCs w:val="13"/>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 (Advanstar, Inc.)</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5"/>
              </w:rPr>
              <w:t>Other Media</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CI (IHS) Investment Holdings, LLC (Interactive Health Solutions)</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tcPr>
          <w:p>
            <w:pPr>
              <w:ind w:left="240"/>
              <w:spacing w:after="0" w:line="138" w:lineRule="exact"/>
              <w:rPr>
                <w:sz w:val="20"/>
                <w:szCs w:val="20"/>
                <w:color w:val="auto"/>
              </w:rPr>
            </w:pPr>
            <w:r>
              <w:rPr>
                <w:rFonts w:ascii="Arial" w:cs="Arial" w:eastAsia="Arial" w:hAnsi="Arial"/>
                <w:sz w:val="13"/>
                <w:szCs w:val="13"/>
                <w:color w:val="auto"/>
              </w:rPr>
              <w:t>8.00%</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76,357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765,307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801,193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CI (IHS) Investment Holdings, LLC (Interactive Health Solutions) </w:t>
            </w:r>
            <w:r>
              <w:rPr>
                <w:rFonts w:ascii="Arial" w:cs="Arial" w:eastAsia="Arial" w:hAnsi="Arial"/>
                <w:sz w:val="15"/>
                <w:szCs w:val="15"/>
                <w:color w:val="auto"/>
                <w:vertAlign w:val="superscript"/>
              </w:rPr>
              <w:t>(9)</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38,179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382,654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382,654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1"/>
              </w:rPr>
              <w:t>Aerospace and Defense</w:t>
            </w:r>
          </w:p>
        </w:tc>
        <w:tc>
          <w:tcPr>
            <w:tcW w:w="720" w:type="dxa"/>
            <w:vAlign w:val="bottom"/>
            <w:gridSpan w:val="2"/>
          </w:tcPr>
          <w:p>
            <w:pPr>
              <w:ind w:left="240"/>
              <w:spacing w:after="0" w:line="138" w:lineRule="exact"/>
              <w:rPr>
                <w:sz w:val="20"/>
                <w:szCs w:val="20"/>
                <w:color w:val="auto"/>
              </w:rPr>
            </w:pPr>
            <w:r>
              <w:rPr>
                <w:rFonts w:ascii="Arial" w:cs="Arial" w:eastAsia="Arial" w:hAnsi="Arial"/>
                <w:sz w:val="13"/>
                <w:szCs w:val="13"/>
                <w:color w:val="auto"/>
              </w:rPr>
              <w:t>8.00%</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20,000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1,980,000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1,690,298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(PAS Technologies, Inc.)</w:t>
            </w: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A</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1"/>
              </w:rPr>
              <w:t>Insurance</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9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TZ Holdings, L.P., Series B</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1"/>
              </w:rPr>
              <w:t>Insurance</w:t>
            </w:r>
          </w:p>
        </w:tc>
        <w:tc>
          <w:tcPr>
            <w:tcW w:w="720" w:type="dxa"/>
            <w:vAlign w:val="bottom"/>
            <w:gridSpan w:val="2"/>
          </w:tcPr>
          <w:p>
            <w:pPr>
              <w:ind w:left="240"/>
              <w:spacing w:after="0" w:line="138" w:lineRule="exact"/>
              <w:rPr>
                <w:sz w:val="20"/>
                <w:szCs w:val="20"/>
                <w:color w:val="auto"/>
              </w:rPr>
            </w:pPr>
            <w:r>
              <w:rPr>
                <w:rFonts w:ascii="Arial" w:cs="Arial" w:eastAsia="Arial" w:hAnsi="Arial"/>
                <w:sz w:val="13"/>
                <w:szCs w:val="13"/>
                <w:color w:val="auto"/>
              </w:rPr>
              <w:t>6.50%</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1,312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1,312,006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1,602,660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Universal Pegasus International, Inc.</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3"/>
              </w:rPr>
              <w:t>Oil and Gas</w:t>
            </w:r>
          </w:p>
        </w:tc>
        <w:tc>
          <w:tcPr>
            <w:tcW w:w="7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3"/>
                <w:szCs w:val="13"/>
                <w:color w:val="auto"/>
              </w:rPr>
              <w:t>8.00%</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101,175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2,738,050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UP Holdings, Inc.)</w:t>
            </w:r>
          </w:p>
        </w:tc>
        <w:tc>
          <w:tcPr>
            <w:tcW w:w="9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color w:val="auto"/>
              </w:rPr>
              <w:t>Verde Parent Holdings, Inc. (VPSI, Inc)</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2"/>
              </w:rPr>
              <w:t>Personal Transportation</w:t>
            </w: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8.00%</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1,824,167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1,824,167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2,002,398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9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10,506,900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7,689,076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line="156" w:lineRule="exact"/>
              <w:rPr>
                <w:sz w:val="20"/>
                <w:szCs w:val="20"/>
                <w:color w:val="auto"/>
              </w:rPr>
            </w:pPr>
            <w:r>
              <w:rPr>
                <w:rFonts w:ascii="Arial" w:cs="Arial" w:eastAsia="Arial" w:hAnsi="Arial"/>
                <w:sz w:val="11"/>
                <w:szCs w:val="11"/>
                <w:b w:val="1"/>
                <w:bCs w:val="1"/>
                <w:color w:val="auto"/>
              </w:rPr>
              <w:t>Common Equity/Warrants/Partnership Interests—9.2%</w:t>
            </w:r>
            <w:r>
              <w:rPr>
                <w:rFonts w:ascii="Arial" w:cs="Arial" w:eastAsia="Arial" w:hAnsi="Arial"/>
                <w:sz w:val="18"/>
                <w:szCs w:val="18"/>
                <w:b w:val="1"/>
                <w:bCs w:val="1"/>
                <w:color w:val="auto"/>
                <w:vertAlign w:val="superscript"/>
              </w:rPr>
              <w:t>(7)</w:t>
            </w: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AH Holdings, Inc.</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2"/>
              </w:rPr>
              <w:t>03/23/2021</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 (Warrants)</w:t>
            </w:r>
          </w:p>
        </w:tc>
        <w:tc>
          <w:tcPr>
            <w:tcW w:w="9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CEA Autumn Management, L.L.C.</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2"/>
              </w:rPr>
              <w:t>Broadcasting and</w:t>
            </w:r>
          </w:p>
        </w:tc>
        <w:tc>
          <w:tcPr>
            <w:tcW w:w="72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1,333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3"/>
              </w:rPr>
              <w:t>Entertainment</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 (Interactive Health Solutions)</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23,416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234,693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245,698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(Interactive Health Solutions) </w:t>
            </w:r>
            <w:r>
              <w:rPr>
                <w:rFonts w:ascii="Arial" w:cs="Arial" w:eastAsia="Arial" w:hAnsi="Arial"/>
                <w:sz w:val="15"/>
                <w:szCs w:val="15"/>
                <w:color w:val="auto"/>
                <w:vertAlign w:val="superscript"/>
              </w:rPr>
              <w:t>(9)</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11,708</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117,346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117,346</w:t>
            </w:r>
          </w:p>
        </w:tc>
        <w:tc>
          <w:tcPr>
            <w:tcW w:w="0" w:type="dxa"/>
            <w:vAlign w:val="bottom"/>
          </w:tcPr>
          <w:p>
            <w:pPr>
              <w:spacing w:after="0"/>
              <w:rPr>
                <w:sz w:val="1"/>
                <w:szCs w:val="1"/>
                <w:color w:val="auto"/>
              </w:rPr>
            </w:pPr>
          </w:p>
        </w:tc>
      </w:tr>
      <w:tr>
        <w:trPr>
          <w:trHeight w:val="159"/>
        </w:trPr>
        <w:tc>
          <w:tcPr>
            <w:tcW w:w="4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CT Technologies Holdings, LLC (CT Technologies Intermediate Holdings, Inc.)</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0"/>
              </w:rPr>
              <w:t>Business Services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2,277,209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8,093,698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DirectBuy Investors, L.P.</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Consumer Products</w:t>
            </w:r>
          </w:p>
        </w:tc>
        <w:tc>
          <w:tcPr>
            <w:tcW w:w="7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Corporation, LLC, Class A</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1,079,920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1,236,832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8,514,153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Kadmon Holdings, LLC) (Kadmon Pharmaceuticals, LLC)</w:t>
            </w:r>
          </w:p>
        </w:tc>
        <w:tc>
          <w:tcPr>
            <w:tcW w:w="9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Kadmon Corporation, LLC, Class D</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3"/>
              </w:rPr>
              <w:t>Healthcare, Education and</w:t>
            </w:r>
          </w:p>
        </w:tc>
        <w:tc>
          <w:tcPr>
            <w:tcW w:w="72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1,079,920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(f/k/a Kadmon Holdings, LLC) (Kadmon Pharmaceuticals, LLC)</w:t>
            </w:r>
          </w:p>
        </w:tc>
        <w:tc>
          <w:tcPr>
            <w:tcW w:w="920" w:type="dxa"/>
            <w:vAlign w:val="bottom"/>
          </w:tcPr>
          <w:p>
            <w:pPr>
              <w:spacing w:after="0"/>
              <w:rPr>
                <w:sz w:val="13"/>
                <w:szCs w:val="13"/>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2"/>
              </w:rPr>
              <w:t>04/27/2020</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6"/>
              </w:rPr>
              <w:t>Education</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779,920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Arial" w:cs="Arial" w:eastAsia="Arial" w:hAnsi="Arial"/>
                <w:sz w:val="13"/>
                <w:szCs w:val="13"/>
                <w:color w:val="auto"/>
              </w:rPr>
              <w:t>Magnum Hunter Resources Corporation (Eureka Hunter Pipeline LLC)</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3"/>
              </w:rPr>
              <w:t>Oil and Gas</w:t>
            </w:r>
          </w:p>
        </w:tc>
        <w:tc>
          <w:tcPr>
            <w:tcW w:w="7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1,221,932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3,239,999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6,586,213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Magnum Hunter Resources Corporation (Warrants)</w:t>
            </w:r>
          </w:p>
        </w:tc>
        <w:tc>
          <w:tcPr>
            <w:tcW w:w="92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2"/>
              </w:rPr>
              <w:t>10/14/2013</w:t>
            </w:r>
          </w:p>
        </w:tc>
        <w:tc>
          <w:tcPr>
            <w:tcW w:w="15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3"/>
                <w:szCs w:val="13"/>
                <w:color w:val="auto"/>
                <w:w w:val="93"/>
              </w:rPr>
              <w:t>Oil and Gas</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122,193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105,697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114,039</w:t>
            </w: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(Eureka Hunter Pipeline LLC)</w:t>
            </w:r>
          </w:p>
        </w:tc>
        <w:tc>
          <w:tcPr>
            <w:tcW w:w="9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MidOcean PPL Holdings, Inc. (Pre-Paid LegalServices, Inc.)</w:t>
            </w:r>
          </w:p>
        </w:tc>
        <w:tc>
          <w:tcPr>
            <w:tcW w:w="92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1"/>
              </w:rPr>
              <w:t>Personal, Food and</w:t>
            </w:r>
          </w:p>
        </w:tc>
        <w:tc>
          <w:tcPr>
            <w:tcW w:w="72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3,286,131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4"/>
              </w:rPr>
              <w:t>Miscellaneous Services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MidOcean JF Holdings Corp. (JF Acquisition, LLC)</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8"/>
              </w:rPr>
              <w:t>Distribution</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Arial" w:cs="Arial" w:eastAsia="Arial" w:hAnsi="Arial"/>
                <w:sz w:val="13"/>
                <w:szCs w:val="13"/>
                <w:color w:val="auto"/>
              </w:rPr>
              <w:t>PAS Tech Holdings, Inc. (PAS Technologies, Inc.)</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Aerospace and Defense</w:t>
            </w:r>
          </w:p>
        </w:tc>
        <w:tc>
          <w:tcPr>
            <w:tcW w:w="7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QMG HoldCo, LLC, Class A (Questex Media Group, Inc.)</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5"/>
              </w:rPr>
              <w:t>Other Media</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1,306,167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1,884,805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Arial" w:cs="Arial" w:eastAsia="Arial" w:hAnsi="Arial"/>
                <w:sz w:val="13"/>
                <w:szCs w:val="13"/>
                <w:color w:val="auto"/>
              </w:rPr>
              <w:t>QMG HoldCo, LLC, Class B (Questex Media Group, Inc.)</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5"/>
              </w:rPr>
              <w:t>Other Media</w:t>
            </w:r>
          </w:p>
        </w:tc>
        <w:tc>
          <w:tcPr>
            <w:tcW w:w="7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231,406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TRAK Acquisition Corp. (Warrants)</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2"/>
              </w:rPr>
              <w:t>12/29/2019</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0"/>
              </w:rPr>
              <w:t>Business Services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726,744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line="122" w:lineRule="exact"/>
              <w:rPr>
                <w:sz w:val="20"/>
                <w:szCs w:val="20"/>
                <w:color w:val="auto"/>
              </w:rPr>
            </w:pPr>
            <w:r>
              <w:rPr>
                <w:rFonts w:ascii="Arial" w:cs="Arial" w:eastAsia="Arial" w:hAnsi="Arial"/>
                <w:sz w:val="13"/>
                <w:szCs w:val="13"/>
                <w:color w:val="auto"/>
              </w:rPr>
              <w:t>Transportation 100 Holdco, L.L.C.</w:t>
            </w:r>
          </w:p>
        </w:tc>
        <w:tc>
          <w:tcPr>
            <w:tcW w:w="920" w:type="dxa"/>
            <w:vAlign w:val="bottom"/>
          </w:tcPr>
          <w:p>
            <w:pPr>
              <w:jc w:val="center"/>
              <w:ind w:left="133"/>
              <w:spacing w:after="0" w:line="122" w:lineRule="exact"/>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line="122" w:lineRule="exact"/>
              <w:rPr>
                <w:sz w:val="20"/>
                <w:szCs w:val="20"/>
                <w:color w:val="auto"/>
              </w:rPr>
            </w:pPr>
            <w:r>
              <w:rPr>
                <w:rFonts w:ascii="Arial" w:cs="Arial" w:eastAsia="Arial" w:hAnsi="Arial"/>
                <w:sz w:val="13"/>
                <w:szCs w:val="13"/>
                <w:color w:val="auto"/>
                <w:w w:val="92"/>
              </w:rPr>
              <w:t>Cargo Transport</w:t>
            </w:r>
          </w:p>
        </w:tc>
        <w:tc>
          <w:tcPr>
            <w:tcW w:w="720" w:type="dxa"/>
            <w:vAlign w:val="bottom"/>
            <w:gridSpan w:val="2"/>
          </w:tcPr>
          <w:p>
            <w:pPr>
              <w:ind w:left="280"/>
              <w:spacing w:after="0" w:line="122"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line="122"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137,923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3"/>
                <w:szCs w:val="13"/>
                <w:color w:val="auto"/>
              </w:rPr>
              <w:t>2,111,588</w:t>
            </w: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461,877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20"/>
              <w:spacing w:after="0" w:line="176" w:lineRule="exact"/>
              <w:rPr>
                <w:sz w:val="20"/>
                <w:szCs w:val="20"/>
                <w:color w:val="auto"/>
              </w:rPr>
            </w:pPr>
            <w:r>
              <w:rPr>
                <w:rFonts w:ascii="Arial" w:cs="Arial" w:eastAsia="Arial" w:hAnsi="Arial"/>
                <w:sz w:val="12"/>
                <w:szCs w:val="12"/>
                <w:color w:val="auto"/>
              </w:rPr>
              <w:t xml:space="preserve">(Greatwide Logistics Services, L.L.C.) </w:t>
            </w:r>
            <w:r>
              <w:rPr>
                <w:rFonts w:ascii="Arial" w:cs="Arial" w:eastAsia="Arial" w:hAnsi="Arial"/>
                <w:sz w:val="20"/>
                <w:szCs w:val="20"/>
                <w:color w:val="auto"/>
                <w:vertAlign w:val="superscript"/>
              </w:rPr>
              <w:t>(11)</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TZ Holdings, L.P. (Trizetto Group, Inc.)</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Insurance</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1,419,533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Universal Pegasus International, Inc. (f/k/a UP Holdings, Inc.)</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3"/>
              </w:rPr>
              <w:t>Oil and Gas</w:t>
            </w:r>
          </w:p>
        </w:tc>
        <w:tc>
          <w:tcPr>
            <w:tcW w:w="7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110,742</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Verde Parent Holdings, Inc. (VPSI, Inc.)</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2"/>
              </w:rPr>
              <w:t>Personal Transportation</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20"/>
                <w:szCs w:val="20"/>
                <w:color w:val="auto"/>
              </w:rPr>
            </w:pPr>
            <w:r>
              <w:rPr>
                <w:rFonts w:ascii="Arial" w:cs="Arial" w:eastAsia="Arial" w:hAnsi="Arial"/>
                <w:sz w:val="13"/>
                <w:szCs w:val="13"/>
                <w:color w:val="auto"/>
              </w:rPr>
              <w:t>VText Holdings, Inc. (Veritext Corp.)</w:t>
            </w:r>
          </w:p>
        </w:tc>
        <w:tc>
          <w:tcPr>
            <w:tcW w:w="920" w:type="dxa"/>
            <w:vAlign w:val="bottom"/>
          </w:tcPr>
          <w:p>
            <w:pPr>
              <w:jc w:val="center"/>
              <w:ind w:left="133"/>
              <w:spacing w:after="0"/>
              <w:rPr>
                <w:sz w:val="20"/>
                <w:szCs w:val="20"/>
                <w:color w:val="auto"/>
              </w:rPr>
            </w:pPr>
            <w:r>
              <w:rPr>
                <w:rFonts w:ascii="Arial" w:cs="Arial" w:eastAsia="Arial" w:hAnsi="Arial"/>
                <w:sz w:val="13"/>
                <w:szCs w:val="13"/>
                <w:color w:val="auto"/>
                <w:w w:val="91"/>
              </w:rPr>
              <w:t>—</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color w:val="auto"/>
                <w:w w:val="90"/>
              </w:rPr>
              <w:t>Business Services</w:t>
            </w:r>
          </w:p>
        </w:tc>
        <w:tc>
          <w:tcPr>
            <w:tcW w:w="7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35,526</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4,050,000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8,420,600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9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25,607,775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42,841,111</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790,319,893</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1"/>
              </w:rPr>
              <w:t>755,681,743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jc w:val="center"/>
              <w:ind w:right="115"/>
              <w:spacing w:after="0"/>
              <w:rPr>
                <w:sz w:val="20"/>
                <w:szCs w:val="20"/>
                <w:color w:val="auto"/>
              </w:rPr>
            </w:pPr>
            <w:r>
              <w:rPr>
                <w:rFonts w:ascii="Arial" w:cs="Arial" w:eastAsia="Arial" w:hAnsi="Arial"/>
                <w:sz w:val="13"/>
                <w:szCs w:val="13"/>
                <w:b w:val="1"/>
                <w:bCs w:val="1"/>
                <w:color w:val="auto"/>
                <w:w w:val="90"/>
              </w:rPr>
              <w:t>Basis Point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right="115"/>
              <w:spacing w:after="0"/>
              <w:rPr>
                <w:sz w:val="20"/>
                <w:szCs w:val="20"/>
                <w:color w:val="auto"/>
              </w:rPr>
            </w:pPr>
            <w:r>
              <w:rPr>
                <w:rFonts w:ascii="Arial" w:cs="Arial" w:eastAsia="Arial" w:hAnsi="Arial"/>
                <w:sz w:val="13"/>
                <w:szCs w:val="13"/>
                <w:b w:val="1"/>
                <w:bCs w:val="1"/>
                <w:color w:val="auto"/>
                <w:w w:val="90"/>
              </w:rPr>
              <w:t>Spread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60" w:type="dxa"/>
            <w:vAlign w:val="bottom"/>
          </w:tcPr>
          <w:p>
            <w:pPr>
              <w:jc w:val="right"/>
              <w:ind w:right="356"/>
              <w:spacing w:after="0" w:line="134"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115"/>
              <w:spacing w:after="0" w:line="134" w:lineRule="exact"/>
              <w:rPr>
                <w:sz w:val="20"/>
                <w:szCs w:val="20"/>
                <w:color w:val="auto"/>
              </w:rPr>
            </w:pPr>
            <w:r>
              <w:rPr>
                <w:rFonts w:ascii="Arial" w:cs="Arial" w:eastAsia="Arial" w:hAnsi="Arial"/>
                <w:sz w:val="13"/>
                <w:szCs w:val="13"/>
                <w:b w:val="1"/>
                <w:bCs w:val="1"/>
                <w:color w:val="auto"/>
                <w:w w:val="90"/>
              </w:rPr>
              <w:t>Above</w:t>
            </w:r>
          </w:p>
        </w:tc>
        <w:tc>
          <w:tcPr>
            <w:tcW w:w="860" w:type="dxa"/>
            <w:vAlign w:val="bottom"/>
          </w:tcPr>
          <w:p>
            <w:pPr>
              <w:jc w:val="right"/>
              <w:ind w:right="293"/>
              <w:spacing w:after="0" w:line="134" w:lineRule="exact"/>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tcPr>
          <w:p>
            <w:pPr>
              <w:jc w:val="center"/>
              <w:ind w:right="53"/>
              <w:spacing w:after="0"/>
              <w:rPr>
                <w:sz w:val="20"/>
                <w:szCs w:val="20"/>
                <w:color w:val="auto"/>
              </w:rPr>
            </w:pPr>
            <w:r>
              <w:rPr>
                <w:rFonts w:ascii="Arial" w:cs="Arial" w:eastAsia="Arial" w:hAnsi="Arial"/>
                <w:sz w:val="13"/>
                <w:szCs w:val="13"/>
                <w:b w:val="1"/>
                <w:bCs w:val="1"/>
                <w:color w:val="auto"/>
              </w:rPr>
              <w:t>Maturity</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tcPr>
          <w:p>
            <w:pPr>
              <w:jc w:val="right"/>
              <w:ind w:right="376"/>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ind w:right="115"/>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gridSpan w:val="2"/>
            <w:shd w:val="clear" w:color="auto" w:fill="CCEEFF"/>
          </w:tcPr>
          <w:p>
            <w:pPr>
              <w:spacing w:after="0" w:line="209" w:lineRule="exact"/>
              <w:rPr>
                <w:sz w:val="20"/>
                <w:szCs w:val="20"/>
                <w:color w:val="auto"/>
              </w:rPr>
            </w:pPr>
            <w:r>
              <w:rPr>
                <w:rFonts w:ascii="Arial" w:cs="Arial" w:eastAsia="Arial" w:hAnsi="Arial"/>
                <w:sz w:val="13"/>
                <w:szCs w:val="13"/>
                <w:b w:val="1"/>
                <w:bCs w:val="1"/>
                <w:color w:val="auto"/>
                <w:w w:val="98"/>
              </w:rPr>
              <w:t xml:space="preserve">Investments in Non-Controlled, Affiliated Portfolio Companies—9.3% </w:t>
            </w:r>
            <w:r>
              <w:rPr>
                <w:rFonts w:ascii="Arial" w:cs="Arial" w:eastAsia="Arial" w:hAnsi="Arial"/>
                <w:sz w:val="22"/>
                <w:szCs w:val="22"/>
                <w:b w:val="1"/>
                <w:bCs w:val="1"/>
                <w:color w:val="auto"/>
                <w:w w:val="98"/>
                <w:vertAlign w:val="superscript"/>
              </w:rPr>
              <w:t>(1),(2)</w:t>
            </w:r>
          </w:p>
        </w:tc>
        <w:tc>
          <w:tcPr>
            <w:tcW w:w="1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20"/>
                <w:szCs w:val="20"/>
                <w:color w:val="auto"/>
              </w:rPr>
            </w:pPr>
            <w:r>
              <w:rPr>
                <w:rFonts w:ascii="Arial" w:cs="Arial" w:eastAsia="Arial" w:hAnsi="Arial"/>
                <w:sz w:val="13"/>
                <w:szCs w:val="13"/>
                <w:b w:val="1"/>
                <w:bCs w:val="1"/>
                <w:color w:val="auto"/>
              </w:rPr>
              <w:t>First Lien Secured Debt—1.4%</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EnviroSolutions, Inc. </w:t>
            </w:r>
            <w:r>
              <w:rPr>
                <w:rFonts w:ascii="Arial" w:cs="Arial" w:eastAsia="Arial" w:hAnsi="Arial"/>
                <w:sz w:val="17"/>
                <w:szCs w:val="17"/>
                <w:color w:val="auto"/>
                <w:vertAlign w:val="superscript"/>
              </w:rPr>
              <w:t>(9)</w:t>
            </w:r>
          </w:p>
        </w:tc>
        <w:tc>
          <w:tcPr>
            <w:tcW w:w="72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07/29/2013</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6,666,666</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6,666,666</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6,666,666</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20"/>
                <w:szCs w:val="20"/>
                <w:color w:val="auto"/>
              </w:rPr>
            </w:pPr>
            <w:r>
              <w:rPr>
                <w:rFonts w:ascii="Arial" w:cs="Arial" w:eastAsia="Arial" w:hAnsi="Arial"/>
                <w:sz w:val="13"/>
                <w:szCs w:val="13"/>
                <w:b w:val="1"/>
                <w:bCs w:val="1"/>
                <w:color w:val="auto"/>
              </w:rPr>
              <w:t>Second Lien Secured Debt—2.8%</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72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07/29/2014</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ind w:left="360"/>
              <w:spacing w:after="0" w:line="149" w:lineRule="exact"/>
              <w:rPr>
                <w:sz w:val="20"/>
                <w:szCs w:val="20"/>
                <w:color w:val="auto"/>
              </w:rPr>
            </w:pPr>
            <w:r>
              <w:rPr>
                <w:rFonts w:ascii="Arial" w:cs="Arial" w:eastAsia="Arial" w:hAnsi="Arial"/>
                <w:sz w:val="11"/>
                <w:szCs w:val="11"/>
                <w:color w:val="auto"/>
              </w:rPr>
              <w:t xml:space="preserve">L+600 </w:t>
            </w:r>
            <w:r>
              <w:rPr>
                <w:rFonts w:ascii="Arial" w:cs="Arial" w:eastAsia="Arial" w:hAnsi="Arial"/>
                <w:sz w:val="17"/>
                <w:szCs w:val="17"/>
                <w:color w:val="auto"/>
                <w:vertAlign w:val="superscript"/>
              </w:rPr>
              <w:t>(8)</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5,503,515</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5,503,515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5,503,515</w:t>
            </w:r>
          </w:p>
        </w:tc>
        <w:tc>
          <w:tcPr>
            <w:tcW w:w="0" w:type="dxa"/>
            <w:vAlign w:val="bottom"/>
          </w:tcPr>
          <w:p>
            <w:pPr>
              <w:spacing w:after="0"/>
              <w:rPr>
                <w:sz w:val="1"/>
                <w:szCs w:val="1"/>
                <w:color w:val="auto"/>
              </w:rPr>
            </w:pPr>
          </w:p>
        </w:tc>
      </w:tr>
      <w:tr>
        <w:trPr>
          <w:trHeight w:val="138"/>
        </w:trPr>
        <w:tc>
          <w:tcPr>
            <w:tcW w:w="3900" w:type="dxa"/>
            <w:vAlign w:val="bottom"/>
          </w:tcPr>
          <w:p>
            <w:pPr>
              <w:spacing w:after="0" w:line="138" w:lineRule="exact"/>
              <w:rPr>
                <w:sz w:val="20"/>
                <w:szCs w:val="20"/>
                <w:color w:val="auto"/>
              </w:rPr>
            </w:pPr>
            <w:r>
              <w:rPr>
                <w:rFonts w:ascii="Arial" w:cs="Arial" w:eastAsia="Arial" w:hAnsi="Arial"/>
                <w:sz w:val="13"/>
                <w:szCs w:val="13"/>
                <w:color w:val="auto"/>
              </w:rPr>
              <w:t>Performance, Inc.</w:t>
            </w:r>
          </w:p>
        </w:tc>
        <w:tc>
          <w:tcPr>
            <w:tcW w:w="720" w:type="dxa"/>
            <w:vAlign w:val="bottom"/>
          </w:tcPr>
          <w:p>
            <w:pPr>
              <w:jc w:val="center"/>
              <w:ind w:right="33"/>
              <w:spacing w:after="0" w:line="138" w:lineRule="exact"/>
              <w:rPr>
                <w:sz w:val="20"/>
                <w:szCs w:val="20"/>
                <w:color w:val="auto"/>
              </w:rPr>
            </w:pPr>
            <w:r>
              <w:rPr>
                <w:rFonts w:ascii="Arial" w:cs="Arial" w:eastAsia="Arial" w:hAnsi="Arial"/>
                <w:sz w:val="13"/>
                <w:szCs w:val="13"/>
                <w:color w:val="auto"/>
                <w:w w:val="95"/>
              </w:rPr>
              <w:t>01/16/2015</w:t>
            </w:r>
          </w:p>
        </w:tc>
        <w:tc>
          <w:tcPr>
            <w:tcW w:w="1500" w:type="dxa"/>
            <w:vAlign w:val="bottom"/>
          </w:tcPr>
          <w:p>
            <w:pPr>
              <w:jc w:val="center"/>
              <w:spacing w:after="0" w:line="138" w:lineRule="exact"/>
              <w:rPr>
                <w:sz w:val="20"/>
                <w:szCs w:val="20"/>
                <w:color w:val="auto"/>
              </w:rPr>
            </w:pPr>
            <w:r>
              <w:rPr>
                <w:rFonts w:ascii="Arial" w:cs="Arial" w:eastAsia="Arial" w:hAnsi="Arial"/>
                <w:sz w:val="13"/>
                <w:szCs w:val="13"/>
                <w:color w:val="auto"/>
                <w:w w:val="93"/>
              </w:rPr>
              <w:t>Leisure, Amusement</w:t>
            </w:r>
          </w:p>
        </w:tc>
        <w:tc>
          <w:tcPr>
            <w:tcW w:w="1060" w:type="dxa"/>
            <w:vAlign w:val="bottom"/>
          </w:tcPr>
          <w:p>
            <w:pPr>
              <w:jc w:val="right"/>
              <w:ind w:right="156"/>
              <w:spacing w:after="0" w:line="138" w:lineRule="exact"/>
              <w:rPr>
                <w:sz w:val="20"/>
                <w:szCs w:val="20"/>
                <w:color w:val="auto"/>
              </w:rPr>
            </w:pPr>
            <w:r>
              <w:rPr>
                <w:rFonts w:ascii="Arial" w:cs="Arial" w:eastAsia="Arial" w:hAnsi="Arial"/>
                <w:sz w:val="13"/>
                <w:szCs w:val="13"/>
                <w:color w:val="auto"/>
              </w:rPr>
              <w:t>7.25%</w:t>
            </w:r>
          </w:p>
        </w:tc>
        <w:tc>
          <w:tcPr>
            <w:tcW w:w="980" w:type="dxa"/>
            <w:vAlign w:val="bottom"/>
          </w:tcPr>
          <w:p>
            <w:pPr>
              <w:ind w:left="360"/>
              <w:spacing w:after="0" w:line="138" w:lineRule="exact"/>
              <w:rPr>
                <w:sz w:val="20"/>
                <w:szCs w:val="20"/>
                <w:color w:val="auto"/>
              </w:rPr>
            </w:pPr>
            <w:r>
              <w:rPr>
                <w:rFonts w:ascii="Arial" w:cs="Arial" w:eastAsia="Arial" w:hAnsi="Arial"/>
                <w:sz w:val="10"/>
                <w:szCs w:val="10"/>
                <w:color w:val="auto"/>
              </w:rPr>
              <w:t xml:space="preserve">L+625 </w:t>
            </w:r>
            <w:r>
              <w:rPr>
                <w:rFonts w:ascii="Arial" w:cs="Arial" w:eastAsia="Arial" w:hAnsi="Arial"/>
                <w:sz w:val="15"/>
                <w:szCs w:val="15"/>
                <w:color w:val="auto"/>
                <w:vertAlign w:val="superscript"/>
              </w:rPr>
              <w:t>(8)</w:t>
            </w:r>
          </w:p>
        </w:tc>
        <w:tc>
          <w:tcPr>
            <w:tcW w:w="8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8,000,000</w:t>
            </w:r>
          </w:p>
        </w:tc>
        <w:tc>
          <w:tcPr>
            <w:tcW w:w="22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8,000,000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7,380,000</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5"/>
              </w:rPr>
              <w:t>Motion Pictures and</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13,503,515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12,883,515</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20"/>
                <w:szCs w:val="20"/>
                <w:color w:val="auto"/>
              </w:rPr>
            </w:pPr>
            <w:r>
              <w:rPr>
                <w:rFonts w:ascii="Arial" w:cs="Arial" w:eastAsia="Arial" w:hAnsi="Arial"/>
                <w:sz w:val="13"/>
                <w:szCs w:val="13"/>
                <w:b w:val="1"/>
                <w:bCs w:val="1"/>
                <w:color w:val="auto"/>
              </w:rPr>
              <w:t>Subordinated Debt/Corporate Notes—1.4%</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72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07/16/2015</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Leisure, Amusement,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15.00% </w:t>
            </w:r>
            <w:r>
              <w:rPr>
                <w:rFonts w:ascii="Arial" w:cs="Arial" w:eastAsia="Arial" w:hAnsi="Arial"/>
                <w:sz w:val="17"/>
                <w:szCs w:val="17"/>
                <w:color w:val="auto"/>
                <w:vertAlign w:val="superscript"/>
              </w:rPr>
              <w:t>(6)</w:t>
            </w:r>
          </w:p>
        </w:tc>
        <w:tc>
          <w:tcPr>
            <w:tcW w:w="9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7,030,091</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6,878,179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6,678,586</w:t>
            </w:r>
          </w:p>
        </w:tc>
        <w:tc>
          <w:tcPr>
            <w:tcW w:w="0" w:type="dxa"/>
            <w:vAlign w:val="bottom"/>
          </w:tcPr>
          <w:p>
            <w:pPr>
              <w:spacing w:after="0"/>
              <w:rPr>
                <w:sz w:val="1"/>
                <w:szCs w:val="1"/>
                <w:color w:val="auto"/>
              </w:rPr>
            </w:pPr>
          </w:p>
        </w:tc>
      </w:tr>
      <w:tr>
        <w:trPr>
          <w:trHeight w:val="145"/>
        </w:trPr>
        <w:tc>
          <w:tcPr>
            <w:tcW w:w="39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jc w:val="center"/>
              <w:spacing w:after="0" w:line="145" w:lineRule="exact"/>
              <w:rPr>
                <w:sz w:val="20"/>
                <w:szCs w:val="20"/>
                <w:color w:val="auto"/>
              </w:rPr>
            </w:pPr>
            <w:r>
              <w:rPr>
                <w:rFonts w:ascii="Arial" w:cs="Arial" w:eastAsia="Arial" w:hAnsi="Arial"/>
                <w:sz w:val="13"/>
                <w:szCs w:val="13"/>
                <w:color w:val="auto"/>
                <w:w w:val="95"/>
              </w:rPr>
              <w:t>Motion Pictures and</w:t>
            </w:r>
          </w:p>
        </w:tc>
        <w:tc>
          <w:tcPr>
            <w:tcW w:w="1060" w:type="dxa"/>
            <w:vAlign w:val="bottom"/>
            <w:tcBorders>
              <w:top w:val="single" w:sz="8" w:color="CCEEFF"/>
            </w:tcBorders>
            <w:shd w:val="clear" w:color="auto" w:fill="CCEEFF"/>
          </w:tcPr>
          <w:p>
            <w:pPr>
              <w:jc w:val="right"/>
              <w:ind w:right="116"/>
              <w:spacing w:after="0" w:line="145" w:lineRule="exact"/>
              <w:rPr>
                <w:sz w:val="20"/>
                <w:szCs w:val="20"/>
                <w:color w:val="auto"/>
              </w:rPr>
            </w:pPr>
            <w:r>
              <w:rPr>
                <w:rFonts w:ascii="Arial" w:cs="Arial" w:eastAsia="Arial" w:hAnsi="Arial"/>
                <w:sz w:val="13"/>
                <w:szCs w:val="13"/>
                <w:color w:val="auto"/>
              </w:rPr>
              <w:t>(PIK 15.00%)</w:t>
            </w:r>
          </w:p>
        </w:tc>
        <w:tc>
          <w:tcPr>
            <w:tcW w:w="9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Interest—3.7% </w:t>
            </w:r>
            <w:r>
              <w:rPr>
                <w:rFonts w:ascii="Arial" w:cs="Arial" w:eastAsia="Arial" w:hAnsi="Arial"/>
                <w:sz w:val="17"/>
                <w:szCs w:val="17"/>
                <w:b w:val="1"/>
                <w:bCs w:val="1"/>
                <w:color w:val="auto"/>
                <w:vertAlign w:val="superscript"/>
              </w:rPr>
              <w:t>(7)</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95,806</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6,563,999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15,671,349</w:t>
            </w:r>
          </w:p>
        </w:tc>
        <w:tc>
          <w:tcPr>
            <w:tcW w:w="0" w:type="dxa"/>
            <w:vAlign w:val="bottom"/>
          </w:tcPr>
          <w:p>
            <w:pPr>
              <w:spacing w:after="0"/>
              <w:rPr>
                <w:sz w:val="1"/>
                <w:szCs w:val="1"/>
                <w:color w:val="auto"/>
              </w:rPr>
            </w:pPr>
          </w:p>
        </w:tc>
      </w:tr>
      <w:tr>
        <w:trPr>
          <w:trHeight w:val="138"/>
        </w:trPr>
        <w:tc>
          <w:tcPr>
            <w:tcW w:w="3900" w:type="dxa"/>
            <w:vAlign w:val="bottom"/>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720" w:type="dxa"/>
            <w:vAlign w:val="bottom"/>
          </w:tcPr>
          <w:p>
            <w:pPr>
              <w:ind w:left="200"/>
              <w:spacing w:after="0" w:line="138" w:lineRule="exact"/>
              <w:rPr>
                <w:sz w:val="20"/>
                <w:szCs w:val="20"/>
                <w:color w:val="auto"/>
              </w:rPr>
            </w:pPr>
            <w:r>
              <w:rPr>
                <w:rFonts w:ascii="Arial" w:cs="Arial" w:eastAsia="Arial" w:hAnsi="Arial"/>
                <w:sz w:val="13"/>
                <w:szCs w:val="13"/>
                <w:color w:val="auto"/>
              </w:rPr>
              <w:t>—</w:t>
            </w:r>
          </w:p>
        </w:tc>
        <w:tc>
          <w:tcPr>
            <w:tcW w:w="1500" w:type="dxa"/>
            <w:vAlign w:val="bottom"/>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060" w:type="dxa"/>
            <w:vAlign w:val="bottom"/>
          </w:tcPr>
          <w:p>
            <w:pPr>
              <w:jc w:val="right"/>
              <w:ind w:right="336"/>
              <w:spacing w:after="0" w:line="138" w:lineRule="exact"/>
              <w:rPr>
                <w:sz w:val="20"/>
                <w:szCs w:val="20"/>
                <w:color w:val="auto"/>
              </w:rPr>
            </w:pPr>
            <w:r>
              <w:rPr>
                <w:rFonts w:ascii="Arial" w:cs="Arial" w:eastAsia="Arial" w:hAnsi="Arial"/>
                <w:sz w:val="13"/>
                <w:szCs w:val="13"/>
                <w:color w:val="auto"/>
              </w:rPr>
              <w:t>—</w:t>
            </w:r>
          </w:p>
        </w:tc>
        <w:tc>
          <w:tcPr>
            <w:tcW w:w="98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375,000</w:t>
            </w:r>
          </w:p>
        </w:tc>
        <w:tc>
          <w:tcPr>
            <w:tcW w:w="22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3,750,000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1,352,598</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5"/>
              </w:rPr>
              <w:t>Motion Pictures and</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10,313,999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17,023,947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0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37,362,359</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43,252,714</w:t>
            </w:r>
          </w:p>
        </w:tc>
        <w:tc>
          <w:tcPr>
            <w:tcW w:w="0" w:type="dxa"/>
            <w:vAlign w:val="bottom"/>
          </w:tcPr>
          <w:p>
            <w:pPr>
              <w:spacing w:after="0"/>
              <w:rPr>
                <w:sz w:val="1"/>
                <w:szCs w:val="1"/>
                <w:color w:val="auto"/>
              </w:rPr>
            </w:pPr>
          </w:p>
        </w:tc>
      </w:tr>
      <w:tr>
        <w:trPr>
          <w:trHeight w:val="115"/>
        </w:trPr>
        <w:tc>
          <w:tcPr>
            <w:tcW w:w="3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Companies—2.5% </w:t>
            </w:r>
            <w:r>
              <w:rPr>
                <w:rFonts w:ascii="Arial" w:cs="Arial" w:eastAsia="Arial" w:hAnsi="Arial"/>
                <w:sz w:val="17"/>
                <w:szCs w:val="17"/>
                <w:b w:val="1"/>
                <w:bCs w:val="1"/>
                <w:color w:val="auto"/>
                <w:vertAlign w:val="superscript"/>
              </w:rPr>
              <w:t>(1),(2)</w:t>
            </w: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20"/>
                <w:szCs w:val="20"/>
                <w:color w:val="auto"/>
              </w:rPr>
            </w:pPr>
            <w:r>
              <w:rPr>
                <w:rFonts w:ascii="Arial" w:cs="Arial" w:eastAsia="Arial" w:hAnsi="Arial"/>
                <w:sz w:val="13"/>
                <w:szCs w:val="13"/>
                <w:b w:val="1"/>
                <w:bCs w:val="1"/>
                <w:color w:val="auto"/>
              </w:rPr>
              <w:t>First Lien Secured Debt—1.6%</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jc w:val="center"/>
              <w:ind w:right="33"/>
              <w:spacing w:after="0" w:line="138" w:lineRule="exact"/>
              <w:rPr>
                <w:sz w:val="20"/>
                <w:szCs w:val="20"/>
                <w:color w:val="auto"/>
              </w:rPr>
            </w:pPr>
            <w:r>
              <w:rPr>
                <w:rFonts w:ascii="Arial" w:cs="Arial" w:eastAsia="Arial" w:hAnsi="Arial"/>
                <w:sz w:val="13"/>
                <w:szCs w:val="13"/>
                <w:color w:val="auto"/>
                <w:w w:val="95"/>
              </w:rPr>
              <w:t>06/30/2020</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 xml:space="preserve">14.00% </w:t>
            </w:r>
            <w:r>
              <w:rPr>
                <w:rFonts w:ascii="Arial" w:cs="Arial" w:eastAsia="Arial" w:hAnsi="Arial"/>
                <w:sz w:val="15"/>
                <w:szCs w:val="15"/>
                <w:color w:val="auto"/>
                <w:vertAlign w:val="superscript"/>
              </w:rPr>
              <w:t>(6)</w:t>
            </w:r>
          </w:p>
        </w:tc>
        <w:tc>
          <w:tcPr>
            <w:tcW w:w="98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7,600,000</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7,600,000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7,987,551</w:t>
            </w:r>
          </w:p>
        </w:tc>
        <w:tc>
          <w:tcPr>
            <w:tcW w:w="0" w:type="dxa"/>
            <w:vAlign w:val="bottom"/>
          </w:tcPr>
          <w:p>
            <w:pPr>
              <w:spacing w:after="0"/>
              <w:rPr>
                <w:sz w:val="1"/>
                <w:szCs w:val="1"/>
                <w:color w:val="auto"/>
              </w:rPr>
            </w:pPr>
          </w:p>
        </w:tc>
      </w:tr>
      <w:tr>
        <w:trPr>
          <w:trHeight w:val="173"/>
        </w:trPr>
        <w:tc>
          <w:tcPr>
            <w:tcW w:w="3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(PIK 14.00%)</w:t>
            </w:r>
          </w:p>
        </w:tc>
        <w:tc>
          <w:tcPr>
            <w:tcW w:w="9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900" w:type="dxa"/>
            <w:vAlign w:val="bottom"/>
          </w:tcPr>
          <w:p>
            <w:pPr>
              <w:spacing w:after="0"/>
              <w:rPr>
                <w:sz w:val="20"/>
                <w:szCs w:val="20"/>
                <w:color w:val="auto"/>
              </w:rPr>
            </w:pPr>
            <w:r>
              <w:rPr>
                <w:rFonts w:ascii="Arial" w:cs="Arial" w:eastAsia="Arial" w:hAnsi="Arial"/>
                <w:sz w:val="13"/>
                <w:szCs w:val="13"/>
                <w:b w:val="1"/>
                <w:bCs w:val="1"/>
                <w:color w:val="auto"/>
              </w:rPr>
              <w:t>Subordinated Debt/Corporate Notes—0.4%</w:t>
            </w: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jc w:val="center"/>
              <w:ind w:right="33"/>
              <w:spacing w:after="0" w:line="138" w:lineRule="exact"/>
              <w:rPr>
                <w:sz w:val="20"/>
                <w:szCs w:val="20"/>
                <w:color w:val="auto"/>
              </w:rPr>
            </w:pPr>
            <w:r>
              <w:rPr>
                <w:rFonts w:ascii="Arial" w:cs="Arial" w:eastAsia="Arial" w:hAnsi="Arial"/>
                <w:sz w:val="13"/>
                <w:szCs w:val="13"/>
                <w:color w:val="auto"/>
                <w:w w:val="95"/>
              </w:rPr>
              <w:t>06/30/2020</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 xml:space="preserve">14.00% </w:t>
            </w:r>
            <w:r>
              <w:rPr>
                <w:rFonts w:ascii="Arial" w:cs="Arial" w:eastAsia="Arial" w:hAnsi="Arial"/>
                <w:sz w:val="15"/>
                <w:szCs w:val="15"/>
                <w:color w:val="auto"/>
                <w:vertAlign w:val="superscript"/>
              </w:rPr>
              <w:t>(6)</w:t>
            </w:r>
          </w:p>
        </w:tc>
        <w:tc>
          <w:tcPr>
            <w:tcW w:w="98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1,900,000</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1,725,094</w:t>
            </w:r>
          </w:p>
        </w:tc>
        <w:tc>
          <w:tcPr>
            <w:tcW w:w="0" w:type="dxa"/>
            <w:vAlign w:val="bottom"/>
          </w:tcPr>
          <w:p>
            <w:pPr>
              <w:spacing w:after="0"/>
              <w:rPr>
                <w:sz w:val="1"/>
                <w:szCs w:val="1"/>
                <w:color w:val="auto"/>
              </w:rPr>
            </w:pPr>
          </w:p>
        </w:tc>
      </w:tr>
      <w:tr>
        <w:trPr>
          <w:trHeight w:val="173"/>
        </w:trPr>
        <w:tc>
          <w:tcPr>
            <w:tcW w:w="3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(PIK 14.00%)</w:t>
            </w:r>
          </w:p>
        </w:tc>
        <w:tc>
          <w:tcPr>
            <w:tcW w:w="9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900" w:type="dxa"/>
            <w:vAlign w:val="bottom"/>
          </w:tcPr>
          <w:p>
            <w:pPr>
              <w:spacing w:after="0"/>
              <w:rPr>
                <w:sz w:val="20"/>
                <w:szCs w:val="20"/>
                <w:color w:val="auto"/>
              </w:rPr>
            </w:pPr>
            <w:r>
              <w:rPr>
                <w:rFonts w:ascii="Arial" w:cs="Arial" w:eastAsia="Arial" w:hAnsi="Arial"/>
                <w:sz w:val="13"/>
                <w:szCs w:val="13"/>
                <w:b w:val="1"/>
                <w:bCs w:val="1"/>
                <w:color w:val="auto"/>
              </w:rPr>
              <w:t xml:space="preserve">Preferred Equity—0.5% </w:t>
            </w:r>
            <w:r>
              <w:rPr>
                <w:rFonts w:ascii="Arial" w:cs="Arial" w:eastAsia="Arial" w:hAnsi="Arial"/>
                <w:sz w:val="22"/>
                <w:szCs w:val="22"/>
                <w:b w:val="1"/>
                <w:bCs w:val="1"/>
                <w:color w:val="auto"/>
                <w:vertAlign w:val="superscript"/>
              </w:rPr>
              <w:t>(7)</w:t>
            </w: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14.00%</w:t>
            </w:r>
          </w:p>
        </w:tc>
        <w:tc>
          <w:tcPr>
            <w:tcW w:w="9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2,000</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1,787,355</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(7)</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20"/>
                <w:szCs w:val="20"/>
                <w:color w:val="auto"/>
              </w:rPr>
            </w:pPr>
            <w:r>
              <w:rPr>
                <w:rFonts w:ascii="Arial" w:cs="Arial" w:eastAsia="Arial" w:hAnsi="Arial"/>
                <w:sz w:val="13"/>
                <w:szCs w:val="13"/>
                <w:b w:val="1"/>
                <w:bCs w:val="1"/>
                <w:color w:val="auto"/>
              </w:rPr>
              <w:t>Investments in Controlled, Affiliated Portfolio Companies</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11,500,100</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11,500,000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Investments—174.1%</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839,182,352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810,434,457</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20"/>
                <w:szCs w:val="20"/>
                <w:color w:val="auto"/>
              </w:rPr>
            </w:pPr>
            <w:r>
              <w:rPr>
                <w:rFonts w:ascii="Arial" w:cs="Arial" w:eastAsia="Arial" w:hAnsi="Arial"/>
                <w:sz w:val="13"/>
                <w:szCs w:val="13"/>
                <w:b w:val="1"/>
                <w:bCs w:val="1"/>
                <w:color w:val="auto"/>
              </w:rPr>
              <w:t>Cash Equivalents—9.0%</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42,075,768</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42,075,768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42,075,768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and Cash Equivalents—183.1%</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881,258,120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852,510,225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Assets—(83.1%)</w:t>
            </w: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(386,800,643)</w:t>
            </w: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465,709,582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44"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3"/>
          <w:szCs w:val="13"/>
          <w:color w:val="auto"/>
        </w:rPr>
      </w:pPr>
    </w:p>
    <w:p>
      <w:pPr>
        <w:ind w:left="340" w:right="3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right="36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Prime or “P”.</w:t>
      </w:r>
    </w:p>
    <w:p>
      <w:pPr>
        <w:ind w:left="340" w:right="10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usually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payable in cash and/or through payment-in-kind, or PIK. The PIK percentage represents the payment in PIK at the date of the report and is subject to change.</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760" w:type="dxa"/>
            <w:vAlign w:val="bottom"/>
            <w:vMerge w:val="restart"/>
          </w:tcPr>
          <w:p>
            <w:pPr>
              <w:jc w:val="center"/>
              <w:ind w:left="973"/>
              <w:spacing w:after="0"/>
              <w:rPr>
                <w:sz w:val="20"/>
                <w:szCs w:val="20"/>
                <w:color w:val="auto"/>
              </w:rPr>
            </w:pPr>
            <w:r>
              <w:rPr>
                <w:rFonts w:ascii="Arial" w:cs="Arial" w:eastAsia="Arial" w:hAnsi="Arial"/>
                <w:sz w:val="13"/>
                <w:szCs w:val="13"/>
                <w:b w:val="1"/>
                <w:bCs w:val="1"/>
                <w:color w:val="auto"/>
              </w:rPr>
              <w:t>Maturity</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auto"/>
              </w:rPr>
              <w:t>Current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auto"/>
              </w:rPr>
              <w:t>Coupon</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gridSpan w:val="2"/>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Investments in Non-Controlled, Non-Affiliated Portfolio Companies—167.2%</w:t>
            </w:r>
            <w:r>
              <w:rPr>
                <w:rFonts w:ascii="Arial" w:cs="Arial" w:eastAsia="Arial" w:hAnsi="Arial"/>
                <w:sz w:val="22"/>
                <w:szCs w:val="22"/>
                <w:b w:val="1"/>
                <w:bCs w:val="1"/>
                <w:color w:val="auto"/>
                <w:vertAlign w:val="superscript"/>
              </w:rPr>
              <w:t>(1),(2)</w:t>
            </w:r>
          </w:p>
        </w:tc>
        <w:tc>
          <w:tcPr>
            <w:tcW w:w="1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b w:val="1"/>
                <w:bCs w:val="1"/>
                <w:color w:val="auto"/>
              </w:rPr>
              <w:t>First Lien Secured Debt—60.6%</w:t>
            </w:r>
          </w:p>
        </w:tc>
        <w:tc>
          <w:tcPr>
            <w:tcW w:w="1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03/23/2015</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20,300,000</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19,748,930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20,300,000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10/01/2016</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660" w:type="dxa"/>
            <w:vAlign w:val="bottom"/>
          </w:tcPr>
          <w:p>
            <w:pPr>
              <w:jc w:val="right"/>
              <w:spacing w:after="0"/>
              <w:rPr>
                <w:sz w:val="20"/>
                <w:szCs w:val="20"/>
                <w:color w:val="auto"/>
              </w:rPr>
            </w:pPr>
            <w:r>
              <w:rPr>
                <w:rFonts w:ascii="Arial" w:cs="Arial" w:eastAsia="Arial" w:hAnsi="Arial"/>
                <w:sz w:val="13"/>
                <w:szCs w:val="13"/>
                <w:color w:val="auto"/>
              </w:rPr>
              <w:t>11.63%</w:t>
            </w:r>
          </w:p>
        </w:tc>
        <w:tc>
          <w:tcPr>
            <w:tcW w:w="220" w:type="dxa"/>
            <w:vAlign w:val="bottom"/>
          </w:tcPr>
          <w:p>
            <w:pPr>
              <w:spacing w:after="0"/>
              <w:rPr>
                <w:sz w:val="12"/>
                <w:szCs w:val="12"/>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7,500,000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7,328,729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04/01/2018</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Logistics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988,872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07/29/2016</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12.38%</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L+988</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11,358,254</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11,024,166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11,310,924</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and Gaming</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11/20/2014</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Communications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11/03/2015</w:t>
            </w: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660" w:type="dxa"/>
            <w:vAlign w:val="bottom"/>
          </w:tcPr>
          <w:p>
            <w:pPr>
              <w:jc w:val="right"/>
              <w:spacing w:after="0"/>
              <w:rPr>
                <w:sz w:val="20"/>
                <w:szCs w:val="20"/>
                <w:color w:val="auto"/>
              </w:rPr>
            </w:pPr>
            <w:r>
              <w:rPr>
                <w:rFonts w:ascii="Arial" w:cs="Arial" w:eastAsia="Arial" w:hAnsi="Arial"/>
                <w:sz w:val="13"/>
                <w:szCs w:val="13"/>
                <w:color w:val="auto"/>
              </w:rPr>
              <w:t>12.00%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L+1,000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6,475,000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6,362,696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Good Sam Enterprises, LLC </w:t>
            </w:r>
            <w:r>
              <w:rPr>
                <w:rFonts w:ascii="Arial" w:cs="Arial" w:eastAsia="Arial" w:hAnsi="Arial"/>
                <w:sz w:val="15"/>
                <w:szCs w:val="15"/>
                <w:color w:val="auto"/>
                <w:vertAlign w:val="superscript"/>
              </w:rPr>
              <w:t>(5)</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12/01/2016</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Products</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12,000,000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11,759,625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11,220,000</w:t>
            </w: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Affinity Group Holdings Inc.)</w:t>
            </w: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Hanley-Wood, L.L.C.</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03/10/2014</w:t>
            </w: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tcPr>
          <w:p>
            <w:pPr>
              <w:jc w:val="right"/>
              <w:spacing w:after="0"/>
              <w:rPr>
                <w:sz w:val="20"/>
                <w:szCs w:val="20"/>
                <w:color w:val="auto"/>
              </w:rPr>
            </w:pPr>
            <w:r>
              <w:rPr>
                <w:rFonts w:ascii="Arial" w:cs="Arial" w:eastAsia="Arial" w:hAnsi="Arial"/>
                <w:sz w:val="13"/>
                <w:szCs w:val="13"/>
                <w:color w:val="auto"/>
              </w:rPr>
              <w:t>2.56%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L+225</w:t>
            </w:r>
          </w:p>
        </w:tc>
        <w:tc>
          <w:tcPr>
            <w:tcW w:w="24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8,662,500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8,662,500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08/07/2014</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Printing and</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14.50%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24,625,000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24,227,464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25,683,875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10/04/2016</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11.50%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19,000,000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18,572,500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Education and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02/07/2014</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2.51%</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L+225</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9,671,622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9,671,622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6,866,851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Furnishings,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Housewares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09/10/2015</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10.00%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P+675</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18,952,500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18,002,959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1"/>
              </w:rPr>
              <w:t>and Rubber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Pharmaceuticals, LLC</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10/22/2011</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L+1,300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29,066,987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27,940,332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30,811,006</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Three Rivers Pharmaceutical, L.L.C.)</w:t>
            </w: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04/27/2016</w:t>
            </w: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Education</w:t>
            </w:r>
          </w:p>
        </w:tc>
        <w:tc>
          <w:tcPr>
            <w:tcW w:w="660" w:type="dxa"/>
            <w:vAlign w:val="bottom"/>
          </w:tcPr>
          <w:p>
            <w:pPr>
              <w:jc w:val="right"/>
              <w:spacing w:after="0"/>
              <w:rPr>
                <w:sz w:val="20"/>
                <w:szCs w:val="20"/>
                <w:color w:val="auto"/>
              </w:rPr>
            </w:pPr>
            <w:r>
              <w:rPr>
                <w:rFonts w:ascii="Arial" w:cs="Arial" w:eastAsia="Arial" w:hAnsi="Arial"/>
                <w:sz w:val="13"/>
                <w:szCs w:val="13"/>
                <w:color w:val="auto"/>
              </w:rPr>
              <w:t>12.00%</w:t>
            </w:r>
          </w:p>
        </w:tc>
        <w:tc>
          <w:tcPr>
            <w:tcW w:w="220" w:type="dxa"/>
            <w:vAlign w:val="bottom"/>
          </w:tcPr>
          <w:p>
            <w:pPr>
              <w:spacing w:after="0"/>
              <w:rPr>
                <w:sz w:val="12"/>
                <w:szCs w:val="12"/>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26,052,632</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25,555,967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25,401,316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08/01/2014</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37,779,699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32,241,162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26,130,971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12/30/2016</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7.50%</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(6)</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L+600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1,970,966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1,900,000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Miscellaneous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12/30/2016</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11.00%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(6)</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35,000,000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33,978,263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Miscellaneous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Services</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Questex Media Group LLC</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12/16/2012</w:t>
            </w: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tcPr>
          <w:p>
            <w:pPr>
              <w:jc w:val="right"/>
              <w:spacing w:after="0"/>
              <w:rPr>
                <w:sz w:val="20"/>
                <w:szCs w:val="20"/>
                <w:color w:val="auto"/>
              </w:rPr>
            </w:pPr>
            <w:r>
              <w:rPr>
                <w:rFonts w:ascii="Arial" w:cs="Arial" w:eastAsia="Arial" w:hAnsi="Arial"/>
                <w:sz w:val="13"/>
                <w:szCs w:val="13"/>
                <w:color w:val="auto"/>
              </w:rPr>
              <w:t>10.50%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L+550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26,721</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26,721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Questex Media Group LLC </w:t>
            </w:r>
            <w:r>
              <w:rPr>
                <w:rFonts w:ascii="Arial" w:cs="Arial" w:eastAsia="Arial" w:hAnsi="Arial"/>
                <w:sz w:val="17"/>
                <w:szCs w:val="17"/>
                <w:color w:val="auto"/>
                <w:vertAlign w:val="superscript"/>
              </w:rPr>
              <w:t>(9)</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12/16/2012</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240,485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VPSI, Inc.</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12/23/2015</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89"/>
              </w:rPr>
              <w:t>Personal</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12.00%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10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17,302,083</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17,047,133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17,215,572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07/15/2016</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11.38%</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4,500,000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4,391,231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4,590,000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Gaming</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289,742,323</w:t>
            </w:r>
          </w:p>
        </w:tc>
        <w:tc>
          <w:tcPr>
            <w:tcW w:w="16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280,144,815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6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Maturity</w:t>
            </w:r>
          </w:p>
        </w:tc>
        <w:tc>
          <w:tcPr>
            <w:tcW w:w="158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7"/>
              </w:rPr>
              <w:t>Industry</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Current</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Above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6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Coupon</w:t>
            </w: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Second Lien Secured Debt—32.9%</w:t>
            </w:r>
          </w:p>
        </w:tc>
        <w:tc>
          <w:tcPr>
            <w:tcW w:w="16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02/07/2015</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6.30%</w:t>
            </w:r>
          </w:p>
        </w:tc>
        <w:tc>
          <w:tcPr>
            <w:tcW w:w="280" w:type="dxa"/>
            <w:vAlign w:val="bottom"/>
          </w:tcPr>
          <w:p>
            <w:pPr>
              <w:spacing w:after="0"/>
              <w:rPr>
                <w:sz w:val="12"/>
                <w:szCs w:val="12"/>
                <w:color w:val="auto"/>
              </w:rPr>
            </w:pPr>
          </w:p>
        </w:tc>
        <w:tc>
          <w:tcPr>
            <w:tcW w:w="960" w:type="dxa"/>
            <w:vAlign w:val="bottom"/>
            <w:gridSpan w:val="2"/>
          </w:tcPr>
          <w:p>
            <w:pPr>
              <w:ind w:left="300"/>
              <w:spacing w:after="0"/>
              <w:rPr>
                <w:sz w:val="20"/>
                <w:szCs w:val="20"/>
                <w:color w:val="auto"/>
              </w:rPr>
            </w:pPr>
            <w:r>
              <w:rPr>
                <w:rFonts w:ascii="Arial" w:cs="Arial" w:eastAsia="Arial" w:hAnsi="Arial"/>
                <w:sz w:val="13"/>
                <w:szCs w:val="13"/>
                <w:color w:val="auto"/>
              </w:rPr>
              <w:t>L+600</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13,600,000</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13,300,431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11,832,000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02/07/2015</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L+700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11,821,275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02/01/2017</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80" w:type="dxa"/>
            <w:vAlign w:val="bottom"/>
          </w:tcPr>
          <w:p>
            <w:pPr>
              <w:spacing w:after="0"/>
              <w:rPr>
                <w:sz w:val="12"/>
                <w:szCs w:val="12"/>
                <w:color w:val="auto"/>
              </w:rPr>
            </w:pP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34,000,000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31,944,865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Eureka Hunter Pipeline, LLC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08/16/2018</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Energy / Utilities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08/15/2012</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rPr>
              <w:t>Energy / Utilities</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18,525,000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Greatwide Logistics Services, L.L.C.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03/01/2014</w:t>
            </w: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2"/>
              </w:rPr>
              <w:t>Cargo Transport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2,860,871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2,860,871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3"/>
                <w:szCs w:val="13"/>
                <w:color w:val="auto"/>
              </w:rPr>
              <w:t>Questex Media Group LLC, Term Loan A</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12/15/2014</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7"/>
              </w:rPr>
              <w:t>Other Media</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9.50%</w:t>
            </w:r>
          </w:p>
        </w:tc>
        <w:tc>
          <w:tcPr>
            <w:tcW w:w="2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 xml:space="preserve">L+650 </w:t>
            </w:r>
            <w:r>
              <w:rPr>
                <w:rFonts w:ascii="Arial" w:cs="Arial" w:eastAsia="Arial" w:hAnsi="Arial"/>
                <w:sz w:val="17"/>
                <w:szCs w:val="17"/>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rPr>
              <w:t>2,971,450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2,971,450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Questex Media Group LLC, Term Loan B</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12/15/2015</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Other Media</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 xml:space="preserve">L+750 </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1,990,370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1,990,370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3"/>
                <w:szCs w:val="13"/>
                <w:color w:val="auto"/>
              </w:rPr>
              <w:t>RAM Energy Resources, Inc.</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09/13/2016</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Oil and Gas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11.00%</w:t>
            </w:r>
          </w:p>
        </w:tc>
        <w:tc>
          <w:tcPr>
            <w:tcW w:w="280" w:type="dxa"/>
            <w:vAlign w:val="bottom"/>
          </w:tcPr>
          <w:p>
            <w:pPr>
              <w:spacing w:after="0"/>
              <w:rPr>
                <w:sz w:val="12"/>
                <w:szCs w:val="12"/>
                <w:color w:val="auto"/>
              </w:rPr>
            </w:pPr>
          </w:p>
        </w:tc>
        <w:tc>
          <w:tcPr>
            <w:tcW w:w="96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 xml:space="preserve">L+900 </w:t>
            </w:r>
            <w:r>
              <w:rPr>
                <w:rFonts w:ascii="Arial" w:cs="Arial" w:eastAsia="Arial" w:hAnsi="Arial"/>
                <w:sz w:val="17"/>
                <w:szCs w:val="17"/>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17,000,000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16,672,749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3240" w:type="dxa"/>
            <w:vAlign w:val="bottom"/>
            <w:gridSpan w:val="3"/>
            <w:shd w:val="clear" w:color="auto" w:fill="CCEEFF"/>
          </w:tcPr>
          <w:p>
            <w:pPr>
              <w:ind w:left="1000"/>
              <w:spacing w:after="0"/>
              <w:rPr>
                <w:sz w:val="20"/>
                <w:szCs w:val="20"/>
                <w:color w:val="auto"/>
              </w:rPr>
            </w:pPr>
            <w:r>
              <w:rPr>
                <w:rFonts w:ascii="Arial" w:cs="Arial" w:eastAsia="Arial" w:hAnsi="Arial"/>
                <w:sz w:val="13"/>
                <w:szCs w:val="13"/>
                <w:color w:val="auto"/>
              </w:rPr>
              <w:t>10/15/2017  Buildings and Real Estate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3240" w:type="dxa"/>
            <w:vAlign w:val="bottom"/>
            <w:gridSpan w:val="3"/>
          </w:tcPr>
          <w:p>
            <w:pPr>
              <w:ind w:left="1000"/>
              <w:spacing w:after="0" w:line="138" w:lineRule="exact"/>
              <w:rPr>
                <w:sz w:val="20"/>
                <w:szCs w:val="20"/>
                <w:color w:val="auto"/>
              </w:rPr>
            </w:pPr>
            <w:r>
              <w:rPr>
                <w:rFonts w:ascii="Arial" w:cs="Arial" w:eastAsia="Arial" w:hAnsi="Arial"/>
                <w:sz w:val="13"/>
                <w:szCs w:val="13"/>
                <w:color w:val="auto"/>
              </w:rPr>
              <w:t>09/01/2018   Hotels, Motels, Inns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12.13%</w:t>
            </w:r>
          </w:p>
        </w:tc>
        <w:tc>
          <w:tcPr>
            <w:tcW w:w="280" w:type="dxa"/>
            <w:vAlign w:val="bottom"/>
          </w:tcPr>
          <w:p>
            <w:pPr>
              <w:spacing w:after="0"/>
              <w:rPr>
                <w:sz w:val="11"/>
                <w:szCs w:val="11"/>
                <w:color w:val="auto"/>
              </w:rPr>
            </w:pP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16,000,000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15,726,668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16,160,000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Gaming</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1660" w:type="dxa"/>
            <w:vAlign w:val="bottom"/>
            <w:shd w:val="clear" w:color="auto" w:fill="CCEEFF"/>
          </w:tcPr>
          <w:p>
            <w:pPr>
              <w:ind w:left="1000"/>
              <w:spacing w:after="0" w:line="138" w:lineRule="exact"/>
              <w:rPr>
                <w:sz w:val="20"/>
                <w:szCs w:val="20"/>
                <w:color w:val="auto"/>
              </w:rPr>
            </w:pPr>
            <w:r>
              <w:rPr>
                <w:rFonts w:ascii="Arial" w:cs="Arial" w:eastAsia="Arial" w:hAnsi="Arial"/>
                <w:sz w:val="13"/>
                <w:szCs w:val="13"/>
                <w:color w:val="auto"/>
                <w:w w:val="98"/>
              </w:rPr>
              <w:t>06/15/2015</w:t>
            </w:r>
          </w:p>
        </w:tc>
        <w:tc>
          <w:tcPr>
            <w:tcW w:w="158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2"/>
              </w:rPr>
              <w:t>Healthcare, Education and</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6.07%</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L+575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13,500,000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11,856,253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12,521,250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8"/>
              </w:rPr>
              <w:t>Childcare</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20"/>
                <w:szCs w:val="20"/>
                <w:color w:val="auto"/>
              </w:rPr>
            </w:pPr>
            <w:r>
              <w:rPr>
                <w:rFonts w:ascii="Arial" w:cs="Arial" w:eastAsia="Arial" w:hAnsi="Arial"/>
                <w:sz w:val="13"/>
                <w:szCs w:val="13"/>
                <w:color w:val="auto"/>
              </w:rPr>
              <w:t>TransFirst Holdings, Inc.</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06/15/2015</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Financial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6.24%</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300"/>
              <w:spacing w:after="0"/>
              <w:rPr>
                <w:sz w:val="20"/>
                <w:szCs w:val="20"/>
                <w:color w:val="auto"/>
              </w:rPr>
            </w:pPr>
            <w:r>
              <w:rPr>
                <w:rFonts w:ascii="Arial" w:cs="Arial" w:eastAsia="Arial" w:hAnsi="Arial"/>
                <w:sz w:val="13"/>
                <w:szCs w:val="13"/>
                <w:color w:val="auto"/>
              </w:rPr>
              <w:t>L+600</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7,811,488</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7,422,480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6,756,937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6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16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176,092,412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152,065,785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20"/>
                <w:szCs w:val="20"/>
                <w:color w:val="auto"/>
              </w:rPr>
            </w:pPr>
            <w:r>
              <w:rPr>
                <w:rFonts w:ascii="Arial" w:cs="Arial" w:eastAsia="Arial" w:hAnsi="Arial"/>
                <w:sz w:val="13"/>
                <w:szCs w:val="13"/>
                <w:b w:val="1"/>
                <w:bCs w:val="1"/>
                <w:color w:val="auto"/>
              </w:rPr>
              <w:t>Subordinated Debt/Corporate Notes—65.0%</w:t>
            </w:r>
          </w:p>
        </w:tc>
        <w:tc>
          <w:tcPr>
            <w:tcW w:w="1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11/15/2015</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26,345,000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26,391,240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20,285,650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0"/>
                <w:szCs w:val="10"/>
                <w:color w:val="auto"/>
              </w:rPr>
              <w:t xml:space="preserve">Aquilex Holdings, LLC </w:t>
            </w:r>
            <w:r>
              <w:rPr>
                <w:rFonts w:ascii="Arial" w:cs="Arial" w:eastAsia="Arial" w:hAnsi="Arial"/>
                <w:sz w:val="15"/>
                <w:szCs w:val="15"/>
                <w:color w:val="auto"/>
                <w:vertAlign w:val="superscript"/>
              </w:rPr>
              <w:t>(5)</w:t>
            </w:r>
          </w:p>
        </w:tc>
        <w:tc>
          <w:tcPr>
            <w:tcW w:w="1660" w:type="dxa"/>
            <w:vAlign w:val="bottom"/>
          </w:tcPr>
          <w:p>
            <w:pPr>
              <w:ind w:left="1000"/>
              <w:spacing w:after="0" w:line="138" w:lineRule="exact"/>
              <w:rPr>
                <w:sz w:val="20"/>
                <w:szCs w:val="20"/>
                <w:color w:val="auto"/>
              </w:rPr>
            </w:pPr>
            <w:r>
              <w:rPr>
                <w:rFonts w:ascii="Arial" w:cs="Arial" w:eastAsia="Arial" w:hAnsi="Arial"/>
                <w:sz w:val="13"/>
                <w:szCs w:val="13"/>
                <w:color w:val="auto"/>
                <w:w w:val="98"/>
              </w:rPr>
              <w:t>12/15/2016</w:t>
            </w:r>
          </w:p>
        </w:tc>
        <w:tc>
          <w:tcPr>
            <w:tcW w:w="15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rPr>
              <w:t>Diversified /</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11.13%</w:t>
            </w:r>
          </w:p>
        </w:tc>
        <w:tc>
          <w:tcPr>
            <w:tcW w:w="280" w:type="dxa"/>
            <w:vAlign w:val="bottom"/>
          </w:tcPr>
          <w:p>
            <w:pPr>
              <w:spacing w:after="0"/>
              <w:rPr>
                <w:sz w:val="11"/>
                <w:szCs w:val="11"/>
                <w:color w:val="auto"/>
              </w:rPr>
            </w:pP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18,885,000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18,440,262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8,309,400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Conglomerate Services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Consolidated Foundries,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04/17/2015</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Aerospace and Defense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14.25%</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8,109,468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7,997,216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8,109,468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3"/>
                <w:szCs w:val="13"/>
                <w:color w:val="auto"/>
              </w:rPr>
              <w:t>Diversitech Corporation</w:t>
            </w:r>
          </w:p>
        </w:tc>
        <w:tc>
          <w:tcPr>
            <w:tcW w:w="1660" w:type="dxa"/>
            <w:vAlign w:val="bottom"/>
          </w:tcPr>
          <w:p>
            <w:pPr>
              <w:ind w:left="1000"/>
              <w:spacing w:after="0" w:line="138" w:lineRule="exact"/>
              <w:rPr>
                <w:sz w:val="20"/>
                <w:szCs w:val="20"/>
                <w:color w:val="auto"/>
              </w:rPr>
            </w:pPr>
            <w:r>
              <w:rPr>
                <w:rFonts w:ascii="Arial" w:cs="Arial" w:eastAsia="Arial" w:hAnsi="Arial"/>
                <w:sz w:val="13"/>
                <w:szCs w:val="13"/>
                <w:color w:val="auto"/>
                <w:w w:val="98"/>
              </w:rPr>
              <w:t>01/29/2017</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7"/>
              </w:rPr>
              <w:t>Manufacturing / Basic</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w w:val="98"/>
              </w:rPr>
              <w:t>11,000,000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10,783,491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10,780,000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Industry</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Escort,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06/01/2016</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Electronics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14.75%</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24,560,142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23,964,150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24,314,541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3"/>
                <w:szCs w:val="13"/>
                <w:color w:val="auto"/>
              </w:rPr>
              <w:t>Last Mile Funding, Corp. (3PD, Inc.)</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06/30/2016</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Cargo Transport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44,456,391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43,380,579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43,344,981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06/30/2016</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3"/>
              </w:rPr>
              <w:t>Education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4,566,982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3,891,689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4,133,119</w:t>
            </w:r>
          </w:p>
        </w:tc>
        <w:tc>
          <w:tcPr>
            <w:tcW w:w="0" w:type="dxa"/>
            <w:vAlign w:val="bottom"/>
          </w:tcPr>
          <w:p>
            <w:pPr>
              <w:spacing w:after="0"/>
              <w:rPr>
                <w:sz w:val="1"/>
                <w:szCs w:val="1"/>
                <w:color w:val="auto"/>
              </w:rPr>
            </w:pP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3"/>
                <w:szCs w:val="13"/>
                <w:color w:val="auto"/>
              </w:rPr>
              <w:t>LTI Flexible Products, Inc.</w:t>
            </w:r>
          </w:p>
        </w:tc>
        <w:tc>
          <w:tcPr>
            <w:tcW w:w="1660" w:type="dxa"/>
            <w:vAlign w:val="bottom"/>
          </w:tcPr>
          <w:p>
            <w:pPr>
              <w:ind w:left="1000"/>
              <w:spacing w:after="0" w:line="138" w:lineRule="exact"/>
              <w:rPr>
                <w:sz w:val="20"/>
                <w:szCs w:val="20"/>
                <w:color w:val="auto"/>
              </w:rPr>
            </w:pPr>
            <w:r>
              <w:rPr>
                <w:rFonts w:ascii="Arial" w:cs="Arial" w:eastAsia="Arial" w:hAnsi="Arial"/>
                <w:sz w:val="13"/>
                <w:szCs w:val="13"/>
                <w:color w:val="auto"/>
                <w:w w:val="98"/>
              </w:rPr>
              <w:t>01/26/2017</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4"/>
              </w:rPr>
              <w:t>Chemical, Plastic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13.88%</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33,937,985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33,119,280</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33,768,295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Rubber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Mailsouth,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06/15/2017</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Printing and Publishing</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14,579,991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20"/>
                <w:szCs w:val="20"/>
                <w:color w:val="auto"/>
              </w:rPr>
            </w:pPr>
            <w:r>
              <w:rPr>
                <w:rFonts w:ascii="Arial" w:cs="Arial" w:eastAsia="Arial" w:hAnsi="Arial"/>
                <w:sz w:val="13"/>
                <w:szCs w:val="13"/>
                <w:color w:val="auto"/>
              </w:rPr>
              <w:t>MedQuist, Inc.</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10/14/2016</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13.00%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18,492,685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PAS Technologies,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05/12/2017</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Aerospace and Defense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14.02%</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16,785,000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16,400,403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16,600,365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3240" w:type="dxa"/>
            <w:vAlign w:val="bottom"/>
            <w:gridSpan w:val="3"/>
          </w:tcPr>
          <w:p>
            <w:pPr>
              <w:ind w:left="1000"/>
              <w:spacing w:after="0" w:line="138" w:lineRule="exact"/>
              <w:rPr>
                <w:sz w:val="20"/>
                <w:szCs w:val="20"/>
                <w:color w:val="auto"/>
              </w:rPr>
            </w:pPr>
            <w:r>
              <w:rPr>
                <w:rFonts w:ascii="Arial" w:cs="Arial" w:eastAsia="Arial" w:hAnsi="Arial"/>
                <w:sz w:val="13"/>
                <w:szCs w:val="13"/>
                <w:color w:val="auto"/>
              </w:rPr>
              <w:t>12/03/2016   Mining, Steel, Iron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26,169,195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25,667,843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25,645,811</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Non-Precious Metals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3240" w:type="dxa"/>
            <w:vAlign w:val="bottom"/>
            <w:gridSpan w:val="3"/>
            <w:shd w:val="clear" w:color="auto" w:fill="CCEEFF"/>
          </w:tcPr>
          <w:p>
            <w:pPr>
              <w:ind w:left="1000"/>
              <w:spacing w:after="0"/>
              <w:rPr>
                <w:sz w:val="20"/>
                <w:szCs w:val="20"/>
                <w:color w:val="auto"/>
              </w:rPr>
            </w:pPr>
            <w:r>
              <w:rPr>
                <w:rFonts w:ascii="Arial" w:cs="Arial" w:eastAsia="Arial" w:hAnsi="Arial"/>
                <w:sz w:val="13"/>
                <w:szCs w:val="13"/>
                <w:color w:val="auto"/>
              </w:rPr>
              <w:t>04/15/2018  Buildings and Real Estate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9,159,259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3"/>
                <w:szCs w:val="13"/>
                <w:color w:val="auto"/>
              </w:rPr>
              <w:t>TRAK Acquisition Corp.</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12/29/2015</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15.00%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12,020,950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11,683,548</w:t>
            </w: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11,984,887</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UP Support Services Inc.</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02/08/2015</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Oil and Gas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26,276,070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26,063,224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24,173,984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3"/>
                <w:szCs w:val="13"/>
                <w:color w:val="auto"/>
              </w:rPr>
              <w:t>Veritext Corp.</w:t>
            </w:r>
          </w:p>
        </w:tc>
        <w:tc>
          <w:tcPr>
            <w:tcW w:w="1660" w:type="dxa"/>
            <w:vAlign w:val="bottom"/>
          </w:tcPr>
          <w:p>
            <w:pPr>
              <w:ind w:left="1000"/>
              <w:spacing w:after="0"/>
              <w:rPr>
                <w:sz w:val="20"/>
                <w:szCs w:val="20"/>
                <w:color w:val="auto"/>
              </w:rPr>
            </w:pPr>
            <w:r>
              <w:rPr>
                <w:rFonts w:ascii="Arial" w:cs="Arial" w:eastAsia="Arial" w:hAnsi="Arial"/>
                <w:sz w:val="13"/>
                <w:szCs w:val="13"/>
                <w:color w:val="auto"/>
                <w:w w:val="98"/>
              </w:rPr>
              <w:t>12/31/2015</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15,000,000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14,686,238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Veritext Corp. </w:t>
            </w:r>
            <w:r>
              <w:rPr>
                <w:rFonts w:ascii="Arial" w:cs="Arial" w:eastAsia="Arial" w:hAnsi="Arial"/>
                <w:sz w:val="17"/>
                <w:szCs w:val="17"/>
                <w:color w:val="auto"/>
                <w:vertAlign w:val="superscript"/>
              </w:rPr>
              <w:t>(9)</w:t>
            </w:r>
          </w:p>
        </w:tc>
        <w:tc>
          <w:tcPr>
            <w:tcW w:w="166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8"/>
              </w:rPr>
              <w:t>12/31/2012</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11,700,000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60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1"/>
              </w:rPr>
              <w:t>316,401,098</w:t>
            </w:r>
          </w:p>
        </w:tc>
        <w:tc>
          <w:tcPr>
            <w:tcW w:w="16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1"/>
              </w:rPr>
              <w:t>300,840,501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6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Maturity</w:t>
            </w:r>
          </w:p>
        </w:tc>
        <w:tc>
          <w:tcPr>
            <w:tcW w:w="156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rPr>
              <w:t>Industry</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Above</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6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Preferred Equity/Partnership Interests—1.7% </w:t>
            </w:r>
            <w:r>
              <w:rPr>
                <w:rFonts w:ascii="Arial" w:cs="Arial" w:eastAsia="Arial" w:hAnsi="Arial"/>
                <w:sz w:val="22"/>
                <w:szCs w:val="22"/>
                <w:b w:val="1"/>
                <w:bCs w:val="1"/>
                <w:color w:val="auto"/>
                <w:vertAlign w:val="superscript"/>
              </w:rPr>
              <w:t>(7)</w:t>
            </w:r>
          </w:p>
        </w:tc>
        <w:tc>
          <w:tcPr>
            <w:tcW w:w="9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line="138" w:lineRule="exact"/>
              <w:rPr>
                <w:sz w:val="20"/>
                <w:szCs w:val="20"/>
                <w:color w:val="auto"/>
              </w:rPr>
            </w:pPr>
            <w:r>
              <w:rPr>
                <w:rFonts w:ascii="Arial" w:cs="Arial" w:eastAsia="Arial" w:hAnsi="Arial"/>
                <w:sz w:val="13"/>
                <w:szCs w:val="13"/>
                <w:color w:val="auto"/>
              </w:rPr>
              <w:t>AH Holdings, Inc. (American Surgical Holdings, Inc.)</w:t>
            </w:r>
          </w:p>
        </w:tc>
        <w:tc>
          <w:tcPr>
            <w:tcW w:w="960" w:type="dxa"/>
            <w:vAlign w:val="bottom"/>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Healthcare, Education and</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6.00%</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211</w:t>
            </w:r>
          </w:p>
        </w:tc>
        <w:tc>
          <w:tcPr>
            <w:tcW w:w="1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500,000</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491,004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 (Advanstar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318,896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20"/>
                <w:szCs w:val="20"/>
                <w:color w:val="auto"/>
              </w:rPr>
            </w:pPr>
            <w:r>
              <w:rPr>
                <w:rFonts w:ascii="Arial" w:cs="Arial" w:eastAsia="Arial" w:hAnsi="Arial"/>
                <w:sz w:val="13"/>
                <w:szCs w:val="13"/>
                <w:color w:val="auto"/>
              </w:rPr>
              <w:t>CFHC Holdings, Inc., Class A (Consolidated Foundries, Inc.)</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12.00%</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909,248</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1,328,977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PAS Tech Holdings, Inc., Series A-1 (PAS Technologies,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8.00%</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1,980,000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2,026,969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20"/>
                <w:szCs w:val="20"/>
                <w:color w:val="auto"/>
              </w:rPr>
            </w:pPr>
            <w:r>
              <w:rPr>
                <w:rFonts w:ascii="Arial" w:cs="Arial" w:eastAsia="Arial" w:hAnsi="Arial"/>
                <w:sz w:val="13"/>
                <w:szCs w:val="13"/>
                <w:color w:val="auto"/>
              </w:rPr>
              <w:t>TZ Holdings, L.P., Series A (Trizetto Group, Inc.)</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Insurance</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685,820</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685,820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TZ Holdings, L.P., Series B (Trizetto Group,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Insurance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6.50%</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1,312,006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1,581,165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line="138" w:lineRule="exact"/>
              <w:rPr>
                <w:sz w:val="20"/>
                <w:szCs w:val="20"/>
                <w:color w:val="auto"/>
              </w:rPr>
            </w:pPr>
            <w:r>
              <w:rPr>
                <w:rFonts w:ascii="Arial" w:cs="Arial" w:eastAsia="Arial" w:hAnsi="Arial"/>
                <w:sz w:val="13"/>
                <w:szCs w:val="13"/>
                <w:color w:val="auto"/>
              </w:rPr>
              <w:t>Universal Pegasus International, Inc. (UP Support</w:t>
            </w:r>
          </w:p>
        </w:tc>
        <w:tc>
          <w:tcPr>
            <w:tcW w:w="960" w:type="dxa"/>
            <w:vAlign w:val="bottom"/>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Oil and Gas</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8.00%</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101,175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2,738,050</w:t>
            </w:r>
          </w:p>
        </w:tc>
        <w:tc>
          <w:tcPr>
            <w:tcW w:w="8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60" w:type="dxa"/>
            <w:vAlign w:val="bottom"/>
          </w:tcPr>
          <w:p>
            <w:pPr>
              <w:ind w:left="220"/>
              <w:spacing w:after="0"/>
              <w:rPr>
                <w:sz w:val="20"/>
                <w:szCs w:val="20"/>
                <w:color w:val="auto"/>
              </w:rPr>
            </w:pPr>
            <w:r>
              <w:rPr>
                <w:rFonts w:ascii="Arial" w:cs="Arial" w:eastAsia="Arial" w:hAnsi="Arial"/>
                <w:sz w:val="13"/>
                <w:szCs w:val="13"/>
                <w:color w:val="auto"/>
              </w:rPr>
              <w:t>Services, Inc.)</w:t>
            </w:r>
          </w:p>
        </w:tc>
        <w:tc>
          <w:tcPr>
            <w:tcW w:w="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Verde Parent Holdings, Inc. (VPSI,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Personal Transportation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8.00%</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1,824,167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1,824,167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1,911,003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vMerge w:val="continue"/>
          </w:tcPr>
          <w:p>
            <w:pPr>
              <w:spacing w:after="0"/>
              <w:rPr>
                <w:sz w:val="23"/>
                <w:szCs w:val="23"/>
                <w:color w:val="auto"/>
              </w:rPr>
            </w:pPr>
          </w:p>
        </w:tc>
        <w:tc>
          <w:tcPr>
            <w:tcW w:w="9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10,268,187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8,024,938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Interests—7.0%</w:t>
            </w:r>
            <w:r>
              <w:rPr>
                <w:rFonts w:ascii="Arial" w:cs="Arial" w:eastAsia="Arial" w:hAnsi="Arial"/>
                <w:sz w:val="17"/>
                <w:szCs w:val="17"/>
                <w:b w:val="1"/>
                <w:bCs w:val="1"/>
                <w:color w:val="auto"/>
                <w:vertAlign w:val="superscript"/>
              </w:rPr>
              <w:t>(7)</w:t>
            </w:r>
          </w:p>
        </w:tc>
        <w:tc>
          <w:tcPr>
            <w:tcW w:w="9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line="138" w:lineRule="exact"/>
              <w:rPr>
                <w:sz w:val="20"/>
                <w:szCs w:val="20"/>
                <w:color w:val="auto"/>
              </w:rPr>
            </w:pPr>
            <w:r>
              <w:rPr>
                <w:rFonts w:ascii="Arial" w:cs="Arial" w:eastAsia="Arial" w:hAnsi="Arial"/>
                <w:sz w:val="13"/>
                <w:szCs w:val="13"/>
                <w:color w:val="auto"/>
              </w:rPr>
              <w:t>AH Holdings, Inc. (American Surgical Holdings, Inc.) (Warrants)</w:t>
            </w:r>
          </w:p>
        </w:tc>
        <w:tc>
          <w:tcPr>
            <w:tcW w:w="960" w:type="dxa"/>
            <w:vAlign w:val="bottom"/>
          </w:tcPr>
          <w:p>
            <w:pPr>
              <w:jc w:val="center"/>
              <w:ind w:left="173"/>
              <w:spacing w:after="0" w:line="138" w:lineRule="exact"/>
              <w:rPr>
                <w:sz w:val="20"/>
                <w:szCs w:val="20"/>
                <w:color w:val="auto"/>
              </w:rPr>
            </w:pPr>
            <w:r>
              <w:rPr>
                <w:rFonts w:ascii="Arial" w:cs="Arial" w:eastAsia="Arial" w:hAnsi="Arial"/>
                <w:sz w:val="13"/>
                <w:szCs w:val="13"/>
                <w:color w:val="auto"/>
                <w:w w:val="92"/>
              </w:rPr>
              <w:t>03/23/2021</w:t>
            </w:r>
          </w:p>
        </w:tc>
        <w:tc>
          <w:tcPr>
            <w:tcW w:w="15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Healthcare, Education and</w:t>
            </w: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753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CEA Autumn Management, L.L.C.</w:t>
            </w:r>
          </w:p>
        </w:tc>
        <w:tc>
          <w:tcPr>
            <w:tcW w:w="960" w:type="dxa"/>
            <w:vAlign w:val="bottom"/>
            <w:shd w:val="clear" w:color="auto" w:fill="CCEEFF"/>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4"/>
              </w:rPr>
              <w:t>Broadcasting and</w:t>
            </w:r>
          </w:p>
        </w:tc>
        <w:tc>
          <w:tcPr>
            <w:tcW w:w="80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280,176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3"/>
              </w:rPr>
              <w:t>Entertainment</w:t>
            </w: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20"/>
                <w:szCs w:val="20"/>
                <w:color w:val="auto"/>
              </w:rPr>
            </w:pPr>
            <w:r>
              <w:rPr>
                <w:rFonts w:ascii="Arial" w:cs="Arial" w:eastAsia="Arial" w:hAnsi="Arial"/>
                <w:sz w:val="13"/>
                <w:szCs w:val="13"/>
                <w:color w:val="auto"/>
              </w:rPr>
              <w:t>CFHC Holdings, Inc. (Consolidated Foundries, Inc.)</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18,556</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1,443,556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CT Technologies Holdings, LLC (CT Technologies Intermediate Holdings,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Business Services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2,277,209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8,431,871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20"/>
                <w:szCs w:val="20"/>
                <w:color w:val="auto"/>
              </w:rPr>
            </w:pPr>
            <w:r>
              <w:rPr>
                <w:rFonts w:ascii="Arial" w:cs="Arial" w:eastAsia="Arial" w:hAnsi="Arial"/>
                <w:sz w:val="13"/>
                <w:szCs w:val="13"/>
                <w:color w:val="auto"/>
              </w:rPr>
              <w:t>DirectBuy Investors, L.P.</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Consumer Products</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1,350,000</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Corporation, LLC, Class A (f/k/a Kadmon Holdings, LLC) (Kadmon</w:t>
            </w:r>
          </w:p>
        </w:tc>
        <w:tc>
          <w:tcPr>
            <w:tcW w:w="960" w:type="dxa"/>
            <w:vAlign w:val="bottom"/>
            <w:shd w:val="clear" w:color="auto" w:fill="CCEEFF"/>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3"/>
              </w:rPr>
              <w:t>Healthcare, Education and</w:t>
            </w:r>
          </w:p>
        </w:tc>
        <w:tc>
          <w:tcPr>
            <w:tcW w:w="80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1,079,920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1,236,832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295,205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Pharmaceuticals, LLC)</w:t>
            </w:r>
          </w:p>
        </w:tc>
        <w:tc>
          <w:tcPr>
            <w:tcW w:w="9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Childcare</w:t>
            </w: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line="138" w:lineRule="exact"/>
              <w:rPr>
                <w:sz w:val="20"/>
                <w:szCs w:val="20"/>
                <w:color w:val="auto"/>
              </w:rPr>
            </w:pPr>
            <w:r>
              <w:rPr>
                <w:rFonts w:ascii="Arial" w:cs="Arial" w:eastAsia="Arial" w:hAnsi="Arial"/>
                <w:sz w:val="13"/>
                <w:szCs w:val="13"/>
                <w:color w:val="auto"/>
              </w:rPr>
              <w:t>Kadmon Corporation, LLC, Class D (f/k/a Kadmon Holdings, LLC) (Kadmon</w:t>
            </w:r>
          </w:p>
        </w:tc>
        <w:tc>
          <w:tcPr>
            <w:tcW w:w="960" w:type="dxa"/>
            <w:vAlign w:val="bottom"/>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Healthcare, Education and</w:t>
            </w: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1,079,920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1,028,807</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tcPr>
          <w:p>
            <w:pPr>
              <w:ind w:left="220"/>
              <w:spacing w:after="0"/>
              <w:rPr>
                <w:sz w:val="20"/>
                <w:szCs w:val="20"/>
                <w:color w:val="auto"/>
              </w:rPr>
            </w:pPr>
            <w:r>
              <w:rPr>
                <w:rFonts w:ascii="Arial" w:cs="Arial" w:eastAsia="Arial" w:hAnsi="Arial"/>
                <w:sz w:val="13"/>
                <w:szCs w:val="13"/>
                <w:color w:val="auto"/>
              </w:rPr>
              <w:t>Pharmaceuticals, LLC)</w:t>
            </w:r>
          </w:p>
        </w:tc>
        <w:tc>
          <w:tcPr>
            <w:tcW w:w="960" w:type="dxa"/>
            <w:vAlign w:val="bottom"/>
          </w:tcPr>
          <w:p>
            <w:pPr>
              <w:spacing w:after="0"/>
              <w:rPr>
                <w:sz w:val="13"/>
                <w:szCs w:val="13"/>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Childcare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2"/>
              </w:rPr>
              <w:t>04/27/2020</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Education</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779,920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112,064</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20"/>
                <w:szCs w:val="20"/>
                <w:color w:val="auto"/>
              </w:rPr>
            </w:pPr>
            <w:r>
              <w:rPr>
                <w:rFonts w:ascii="Arial" w:cs="Arial" w:eastAsia="Arial" w:hAnsi="Arial"/>
                <w:sz w:val="13"/>
                <w:szCs w:val="13"/>
                <w:color w:val="auto"/>
              </w:rPr>
              <w:t>Magnum Hunter Resources Corporation</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Oil and Gas</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1,221,932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3,239,999</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Magnum Hunter Resources Corporation (Warrants)</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2"/>
              </w:rPr>
              <w:t>10/14/2013</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3"/>
              </w:rPr>
              <w:t>Oil and Gas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105,697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line="138" w:lineRule="exact"/>
              <w:rPr>
                <w:sz w:val="20"/>
                <w:szCs w:val="20"/>
                <w:color w:val="auto"/>
              </w:rPr>
            </w:pPr>
            <w:r>
              <w:rPr>
                <w:rFonts w:ascii="Arial" w:cs="Arial" w:eastAsia="Arial" w:hAnsi="Arial"/>
                <w:sz w:val="13"/>
                <w:szCs w:val="13"/>
                <w:color w:val="auto"/>
              </w:rPr>
              <w:t>MidOcean PPL Holdings, Inc. (Pre-Paid LegalServices, Inc.)</w:t>
            </w:r>
          </w:p>
        </w:tc>
        <w:tc>
          <w:tcPr>
            <w:tcW w:w="960" w:type="dxa"/>
            <w:vAlign w:val="bottom"/>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1"/>
              </w:rPr>
              <w:t>Personal, Food and</w:t>
            </w: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3,320,146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Miscellaneous Services</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PAS Tech Holdings, Inc. (PAS Technologies,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20"/>
                <w:szCs w:val="20"/>
                <w:color w:val="auto"/>
              </w:rPr>
            </w:pPr>
            <w:r>
              <w:rPr>
                <w:rFonts w:ascii="Arial" w:cs="Arial" w:eastAsia="Arial" w:hAnsi="Arial"/>
                <w:sz w:val="13"/>
                <w:szCs w:val="13"/>
                <w:color w:val="auto"/>
              </w:rPr>
              <w:t>QMG HoldCo, LLC, Class A (Questex Media Group, Inc.)</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4,325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1,306,167</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1,352,585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QMG HoldCo, LLC, Class B (Questex Media Group, Inc.)</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20"/>
                <w:szCs w:val="20"/>
                <w:color w:val="auto"/>
              </w:rPr>
            </w:pPr>
            <w:r>
              <w:rPr>
                <w:rFonts w:ascii="Arial" w:cs="Arial" w:eastAsia="Arial" w:hAnsi="Arial"/>
                <w:sz w:val="13"/>
                <w:szCs w:val="13"/>
                <w:color w:val="auto"/>
              </w:rPr>
              <w:t>TRAK Acquisition Corp. (Warrants)</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2"/>
              </w:rPr>
              <w:t>12/29/2019</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Business Services</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29,400</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Transportation 100 Holdco, L.L.C. (Greatwide Logistics</w:t>
            </w:r>
          </w:p>
        </w:tc>
        <w:tc>
          <w:tcPr>
            <w:tcW w:w="960" w:type="dxa"/>
            <w:vAlign w:val="bottom"/>
            <w:shd w:val="clear" w:color="auto" w:fill="CCEEFF"/>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2"/>
              </w:rPr>
              <w:t>Cargo Transport</w:t>
            </w:r>
          </w:p>
        </w:tc>
        <w:tc>
          <w:tcPr>
            <w:tcW w:w="80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137,923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2,111,588</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1,521,406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Services, L.L.C.)</w:t>
            </w:r>
          </w:p>
        </w:tc>
        <w:tc>
          <w:tcPr>
            <w:tcW w:w="9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20"/>
                <w:szCs w:val="20"/>
                <w:color w:val="auto"/>
              </w:rPr>
            </w:pPr>
            <w:r>
              <w:rPr>
                <w:rFonts w:ascii="Arial" w:cs="Arial" w:eastAsia="Arial" w:hAnsi="Arial"/>
                <w:sz w:val="13"/>
                <w:szCs w:val="13"/>
                <w:color w:val="auto"/>
              </w:rPr>
              <w:t>TZ Holdings, L.P. (Trizetto Group, Inc.)</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Insurance</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9,843</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Universal Pegasus International, Inc. (UP Support</w:t>
            </w:r>
          </w:p>
        </w:tc>
        <w:tc>
          <w:tcPr>
            <w:tcW w:w="960" w:type="dxa"/>
            <w:vAlign w:val="bottom"/>
            <w:shd w:val="clear" w:color="auto" w:fill="CCEEFF"/>
          </w:tcPr>
          <w:p>
            <w:pPr>
              <w:jc w:val="center"/>
              <w:ind w:left="173"/>
              <w:spacing w:after="0" w:line="138" w:lineRule="exact"/>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3"/>
              </w:rPr>
              <w:t>Oil and Gas</w:t>
            </w:r>
          </w:p>
        </w:tc>
        <w:tc>
          <w:tcPr>
            <w:tcW w:w="80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110,742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1,107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Services, Inc.)</w:t>
            </w:r>
          </w:p>
        </w:tc>
        <w:tc>
          <w:tcPr>
            <w:tcW w:w="9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20"/>
                <w:szCs w:val="20"/>
                <w:color w:val="auto"/>
              </w:rPr>
            </w:pPr>
            <w:r>
              <w:rPr>
                <w:rFonts w:ascii="Arial" w:cs="Arial" w:eastAsia="Arial" w:hAnsi="Arial"/>
                <w:sz w:val="13"/>
                <w:szCs w:val="13"/>
                <w:color w:val="auto"/>
              </w:rPr>
              <w:t>Verde Parent Holdings, Inc. (VPSI, Inc.)</w:t>
            </w:r>
          </w:p>
        </w:tc>
        <w:tc>
          <w:tcPr>
            <w:tcW w:w="96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Personal Transportation</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9,166</w:t>
            </w: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VText Holdings, Inc. (Veritext Corp.)</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15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Business Services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4,050,000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60" w:type="dxa"/>
            <w:vAlign w:val="bottom"/>
            <w:vMerge w:val="continue"/>
          </w:tcPr>
          <w:p>
            <w:pPr>
              <w:spacing w:after="0"/>
              <w:rPr>
                <w:sz w:val="22"/>
                <w:szCs w:val="22"/>
                <w:color w:val="auto"/>
              </w:rPr>
            </w:pPr>
          </w:p>
        </w:tc>
        <w:tc>
          <w:tcPr>
            <w:tcW w:w="9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23,574,291</w:t>
            </w:r>
          </w:p>
        </w:tc>
        <w:tc>
          <w:tcPr>
            <w:tcW w:w="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32,299,342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9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816,078,311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center"/>
              <w:ind w:right="73"/>
              <w:spacing w:after="0"/>
              <w:rPr>
                <w:sz w:val="20"/>
                <w:szCs w:val="20"/>
                <w:color w:val="auto"/>
              </w:rPr>
            </w:pPr>
            <w:r>
              <w:rPr>
                <w:rFonts w:ascii="Arial" w:cs="Arial" w:eastAsia="Arial" w:hAnsi="Arial"/>
                <w:sz w:val="13"/>
                <w:szCs w:val="13"/>
                <w:b w:val="1"/>
                <w:bCs w:val="1"/>
                <w:color w:val="auto"/>
                <w:w w:val="90"/>
              </w:rPr>
              <w:t>Basis Point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center"/>
              <w:ind w:right="93"/>
              <w:spacing w:after="0"/>
              <w:rPr>
                <w:sz w:val="20"/>
                <w:szCs w:val="20"/>
                <w:color w:val="auto"/>
              </w:rPr>
            </w:pPr>
            <w:r>
              <w:rPr>
                <w:rFonts w:ascii="Arial" w:cs="Arial" w:eastAsia="Arial" w:hAnsi="Arial"/>
                <w:sz w:val="13"/>
                <w:szCs w:val="13"/>
                <w:b w:val="1"/>
                <w:bCs w:val="1"/>
                <w:color w:val="auto"/>
                <w:w w:val="95"/>
              </w:rPr>
              <w:t>Spread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jc w:val="right"/>
              <w:ind w:right="276"/>
              <w:spacing w:after="0" w:line="134" w:lineRule="exact"/>
              <w:rPr>
                <w:sz w:val="20"/>
                <w:szCs w:val="20"/>
                <w:color w:val="auto"/>
              </w:rPr>
            </w:pPr>
            <w:r>
              <w:rPr>
                <w:rFonts w:ascii="Arial" w:cs="Arial" w:eastAsia="Arial" w:hAnsi="Arial"/>
                <w:sz w:val="13"/>
                <w:szCs w:val="13"/>
                <w:b w:val="1"/>
                <w:bCs w:val="1"/>
                <w:color w:val="auto"/>
              </w:rPr>
              <w:t>Current</w:t>
            </w:r>
          </w:p>
        </w:tc>
        <w:tc>
          <w:tcPr>
            <w:tcW w:w="940" w:type="dxa"/>
            <w:vAlign w:val="bottom"/>
          </w:tcPr>
          <w:p>
            <w:pPr>
              <w:jc w:val="center"/>
              <w:ind w:right="93"/>
              <w:spacing w:after="0" w:line="134" w:lineRule="exact"/>
              <w:rPr>
                <w:sz w:val="20"/>
                <w:szCs w:val="20"/>
                <w:color w:val="auto"/>
              </w:rPr>
            </w:pPr>
            <w:r>
              <w:rPr>
                <w:rFonts w:ascii="Arial" w:cs="Arial" w:eastAsia="Arial" w:hAnsi="Arial"/>
                <w:sz w:val="13"/>
                <w:szCs w:val="13"/>
                <w:b w:val="1"/>
                <w:bCs w:val="1"/>
                <w:color w:val="auto"/>
                <w:w w:val="95"/>
              </w:rPr>
              <w:t>Above</w:t>
            </w:r>
          </w:p>
        </w:tc>
        <w:tc>
          <w:tcPr>
            <w:tcW w:w="840" w:type="dxa"/>
            <w:vAlign w:val="bottom"/>
            <w:gridSpan w:val="2"/>
          </w:tcPr>
          <w:p>
            <w:pPr>
              <w:jc w:val="right"/>
              <w:ind w:right="340"/>
              <w:spacing w:after="0" w:line="134" w:lineRule="exact"/>
              <w:rPr>
                <w:sz w:val="20"/>
                <w:szCs w:val="20"/>
                <w:color w:val="auto"/>
              </w:rPr>
            </w:pPr>
            <w:r>
              <w:rPr>
                <w:rFonts w:ascii="Arial" w:cs="Arial" w:eastAsia="Arial" w:hAnsi="Arial"/>
                <w:sz w:val="13"/>
                <w:szCs w:val="13"/>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680" w:type="dxa"/>
            <w:vAlign w:val="bottom"/>
          </w:tcPr>
          <w:p>
            <w:pPr>
              <w:ind w:left="60"/>
              <w:spacing w:after="0"/>
              <w:rPr>
                <w:sz w:val="20"/>
                <w:szCs w:val="20"/>
                <w:color w:val="auto"/>
              </w:rPr>
            </w:pPr>
            <w:r>
              <w:rPr>
                <w:rFonts w:ascii="Arial" w:cs="Arial" w:eastAsia="Arial" w:hAnsi="Arial"/>
                <w:sz w:val="13"/>
                <w:szCs w:val="13"/>
                <w:b w:val="1"/>
                <w:bCs w:val="1"/>
                <w:color w:val="auto"/>
              </w:rPr>
              <w:t>Maturity</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860" w:type="dxa"/>
            <w:vAlign w:val="bottom"/>
          </w:tcPr>
          <w:p>
            <w:pPr>
              <w:jc w:val="right"/>
              <w:ind w:right="276"/>
              <w:spacing w:after="0"/>
              <w:rPr>
                <w:sz w:val="20"/>
                <w:szCs w:val="20"/>
                <w:color w:val="auto"/>
              </w:rPr>
            </w:pPr>
            <w:r>
              <w:rPr>
                <w:rFonts w:ascii="Arial" w:cs="Arial" w:eastAsia="Arial" w:hAnsi="Arial"/>
                <w:sz w:val="13"/>
                <w:szCs w:val="13"/>
                <w:b w:val="1"/>
                <w:bCs w:val="1"/>
                <w:color w:val="auto"/>
              </w:rPr>
              <w:t>Coupon</w:t>
            </w:r>
          </w:p>
        </w:tc>
        <w:tc>
          <w:tcPr>
            <w:tcW w:w="940" w:type="dxa"/>
            <w:vAlign w:val="bottom"/>
          </w:tcPr>
          <w:p>
            <w:pPr>
              <w:jc w:val="center"/>
              <w:ind w:right="9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w w:val="98"/>
              </w:rPr>
              <w:t xml:space="preserve">Investments in Non-Controlled, Affiliated Portfolio Companies—8.8% </w:t>
            </w:r>
            <w:r>
              <w:rPr>
                <w:rFonts w:ascii="Arial" w:cs="Arial" w:eastAsia="Arial" w:hAnsi="Arial"/>
                <w:sz w:val="22"/>
                <w:szCs w:val="22"/>
                <w:b w:val="1"/>
                <w:bCs w:val="1"/>
                <w:color w:val="auto"/>
                <w:w w:val="98"/>
                <w:vertAlign w:val="superscript"/>
              </w:rPr>
              <w:t>(1),(2)</w:t>
            </w:r>
          </w:p>
        </w:tc>
        <w:tc>
          <w:tcPr>
            <w:tcW w:w="6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b w:val="1"/>
                <w:bCs w:val="1"/>
                <w:color w:val="auto"/>
              </w:rPr>
              <w:t>First Lien Secured Debt—1.4%</w:t>
            </w: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EnviroSolutions, Inc. </w:t>
            </w:r>
            <w:r>
              <w:rPr>
                <w:rFonts w:ascii="Arial" w:cs="Arial" w:eastAsia="Arial" w:hAnsi="Arial"/>
                <w:sz w:val="17"/>
                <w:szCs w:val="17"/>
                <w:color w:val="auto"/>
                <w:vertAlign w:val="superscript"/>
              </w:rPr>
              <w:t>(9)</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07/29/2013</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6,666,666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6,666,666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6,666,666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b w:val="1"/>
                <w:bCs w:val="1"/>
                <w:color w:val="auto"/>
              </w:rPr>
              <w:t>Second Lien Secured Debt—2.9%</w:t>
            </w: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vMerge w:val="restart"/>
          </w:tcPr>
          <w:p>
            <w:pPr>
              <w:ind w:left="360"/>
              <w:spacing w:after="0"/>
              <w:rPr>
                <w:sz w:val="20"/>
                <w:szCs w:val="20"/>
                <w:color w:val="auto"/>
              </w:rPr>
            </w:pPr>
            <w:r>
              <w:rPr>
                <w:rFonts w:ascii="Arial" w:cs="Arial" w:eastAsia="Arial" w:hAnsi="Arial"/>
                <w:sz w:val="13"/>
                <w:szCs w:val="13"/>
                <w:color w:val="auto"/>
                <w:w w:val="96"/>
              </w:rPr>
              <w:t xml:space="preserve">L+600 </w:t>
            </w:r>
            <w:r>
              <w:rPr>
                <w:rFonts w:ascii="Arial" w:cs="Arial" w:eastAsia="Arial" w:hAnsi="Arial"/>
                <w:sz w:val="22"/>
                <w:szCs w:val="22"/>
                <w:color w:val="auto"/>
                <w:w w:val="96"/>
                <w:vertAlign w:val="superscript"/>
              </w:rPr>
              <w:t>(8)</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20"/>
                <w:szCs w:val="20"/>
                <w:color w:val="auto"/>
              </w:rPr>
            </w:pPr>
            <w:r>
              <w:rPr>
                <w:rFonts w:ascii="Arial" w:cs="Arial" w:eastAsia="Arial" w:hAnsi="Arial"/>
                <w:sz w:val="13"/>
                <w:szCs w:val="13"/>
                <w:color w:val="auto"/>
              </w:rPr>
              <w:t>EnviroSolutions, Inc.</w:t>
            </w:r>
          </w:p>
        </w:tc>
        <w:tc>
          <w:tcPr>
            <w:tcW w:w="680" w:type="dxa"/>
            <w:vAlign w:val="bottom"/>
          </w:tcPr>
          <w:p>
            <w:pPr>
              <w:jc w:val="center"/>
              <w:spacing w:after="0"/>
              <w:rPr>
                <w:sz w:val="20"/>
                <w:szCs w:val="20"/>
                <w:color w:val="auto"/>
              </w:rPr>
            </w:pPr>
            <w:r>
              <w:rPr>
                <w:rFonts w:ascii="Arial" w:cs="Arial" w:eastAsia="Arial" w:hAnsi="Arial"/>
                <w:sz w:val="13"/>
                <w:szCs w:val="13"/>
                <w:color w:val="auto"/>
                <w:w w:val="95"/>
              </w:rPr>
              <w:t>07/29/2014</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Environmental Services</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8.00%</w:t>
            </w:r>
          </w:p>
        </w:tc>
        <w:tc>
          <w:tcPr>
            <w:tcW w:w="940" w:type="dxa"/>
            <w:vAlign w:val="bottom"/>
            <w:vMerge w:val="continue"/>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5,870,416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5,870,416</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5,870,416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0"/>
                <w:szCs w:val="20"/>
                <w:color w:val="auto"/>
              </w:rPr>
            </w:pPr>
            <w:r>
              <w:rPr>
                <w:rFonts w:ascii="Arial" w:cs="Arial" w:eastAsia="Arial" w:hAnsi="Arial"/>
                <w:sz w:val="13"/>
                <w:szCs w:val="13"/>
                <w:color w:val="auto"/>
              </w:rPr>
              <w:t>Performance, Inc.</w:t>
            </w:r>
          </w:p>
        </w:tc>
        <w:tc>
          <w:tcPr>
            <w:tcW w:w="680" w:type="dxa"/>
            <w:vAlign w:val="bottom"/>
          </w:tcPr>
          <w:p>
            <w:pPr>
              <w:jc w:val="center"/>
              <w:spacing w:after="0"/>
              <w:rPr>
                <w:sz w:val="20"/>
                <w:szCs w:val="20"/>
                <w:color w:val="auto"/>
              </w:rPr>
            </w:pPr>
            <w:r>
              <w:rPr>
                <w:rFonts w:ascii="Arial" w:cs="Arial" w:eastAsia="Arial" w:hAnsi="Arial"/>
                <w:sz w:val="13"/>
                <w:szCs w:val="13"/>
                <w:color w:val="auto"/>
                <w:w w:val="95"/>
              </w:rPr>
              <w:t>01/16/2015</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Leisure, Amusement</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7.25%</w:t>
            </w:r>
          </w:p>
        </w:tc>
        <w:tc>
          <w:tcPr>
            <w:tcW w:w="940" w:type="dxa"/>
            <w:vAlign w:val="bottom"/>
          </w:tcPr>
          <w:p>
            <w:pPr>
              <w:ind w:left="360"/>
              <w:spacing w:after="0" w:line="246" w:lineRule="exact"/>
              <w:rPr>
                <w:sz w:val="20"/>
                <w:szCs w:val="20"/>
                <w:color w:val="auto"/>
              </w:rPr>
            </w:pPr>
            <w:r>
              <w:rPr>
                <w:rFonts w:ascii="Arial" w:cs="Arial" w:eastAsia="Arial" w:hAnsi="Arial"/>
                <w:sz w:val="13"/>
                <w:szCs w:val="13"/>
                <w:color w:val="auto"/>
                <w:w w:val="96"/>
              </w:rPr>
              <w:t xml:space="preserve">L+625 </w:t>
            </w:r>
            <w:r>
              <w:rPr>
                <w:rFonts w:ascii="Arial" w:cs="Arial" w:eastAsia="Arial" w:hAnsi="Arial"/>
                <w:sz w:val="22"/>
                <w:szCs w:val="22"/>
                <w:color w:val="auto"/>
                <w:w w:val="96"/>
                <w:vertAlign w:val="superscript"/>
              </w:rPr>
              <w:t>(8)</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8,000,000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8,000,000</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7,336,000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Motion Pictures</w:t>
            </w: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and Entertainment</w:t>
            </w: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13,870,416</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13,206,416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20"/>
                <w:szCs w:val="20"/>
                <w:color w:val="auto"/>
              </w:rPr>
            </w:pPr>
            <w:r>
              <w:rPr>
                <w:rFonts w:ascii="Arial" w:cs="Arial" w:eastAsia="Arial" w:hAnsi="Arial"/>
                <w:sz w:val="13"/>
                <w:szCs w:val="13"/>
                <w:b w:val="1"/>
                <w:bCs w:val="1"/>
                <w:color w:val="auto"/>
              </w:rPr>
              <w:t>Subordinated Debt/Corporate Notes—1.4%</w:t>
            </w:r>
          </w:p>
        </w:tc>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07/16/2015</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Leisure, Amusement,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15.00% </w:t>
            </w:r>
            <w:r>
              <w:rPr>
                <w:rFonts w:ascii="Arial" w:cs="Arial" w:eastAsia="Arial" w:hAnsi="Arial"/>
                <w:sz w:val="17"/>
                <w:szCs w:val="17"/>
                <w:color w:val="auto"/>
                <w:vertAlign w:val="superscript"/>
              </w:rPr>
              <w:t>(6)</w:t>
            </w:r>
          </w:p>
        </w:tc>
        <w:tc>
          <w:tcPr>
            <w:tcW w:w="9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6,775,991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6,617,860</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6,403,311</w:t>
            </w:r>
          </w:p>
        </w:tc>
        <w:tc>
          <w:tcPr>
            <w:tcW w:w="0" w:type="dxa"/>
            <w:vAlign w:val="bottom"/>
          </w:tcPr>
          <w:p>
            <w:pPr>
              <w:spacing w:after="0"/>
              <w:rPr>
                <w:sz w:val="1"/>
                <w:szCs w:val="1"/>
                <w:color w:val="auto"/>
              </w:rPr>
            </w:pPr>
          </w:p>
        </w:tc>
      </w:tr>
      <w:tr>
        <w:trPr>
          <w:trHeight w:val="145"/>
        </w:trPr>
        <w:tc>
          <w:tcPr>
            <w:tcW w:w="46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jc w:val="center"/>
              <w:spacing w:after="0" w:line="145" w:lineRule="exact"/>
              <w:rPr>
                <w:sz w:val="20"/>
                <w:szCs w:val="20"/>
                <w:color w:val="auto"/>
              </w:rPr>
            </w:pPr>
            <w:r>
              <w:rPr>
                <w:rFonts w:ascii="Arial" w:cs="Arial" w:eastAsia="Arial" w:hAnsi="Arial"/>
                <w:sz w:val="13"/>
                <w:szCs w:val="13"/>
                <w:color w:val="auto"/>
                <w:w w:val="95"/>
              </w:rPr>
              <w:t>Motion Pictures and</w:t>
            </w:r>
          </w:p>
        </w:tc>
        <w:tc>
          <w:tcPr>
            <w:tcW w:w="8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Entertainment</w:t>
            </w: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Interest—3.1% </w:t>
            </w:r>
            <w:r>
              <w:rPr>
                <w:rFonts w:ascii="Arial" w:cs="Arial" w:eastAsia="Arial" w:hAnsi="Arial"/>
                <w:sz w:val="17"/>
                <w:szCs w:val="17"/>
                <w:b w:val="1"/>
                <w:bCs w:val="1"/>
                <w:color w:val="auto"/>
                <w:vertAlign w:val="superscript"/>
              </w:rPr>
              <w:t>(7)</w:t>
            </w: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8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37,382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2,710,036</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5,641,925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color w:val="auto"/>
              </w:rPr>
              <w:t>EnviroSolutions, Inc. (Warrants)</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Environmental Services</w:t>
            </w:r>
          </w:p>
        </w:tc>
        <w:tc>
          <w:tcPr>
            <w:tcW w:w="86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40" w:type="dxa"/>
            <w:vAlign w:val="bottom"/>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50,102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3,129,447</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7,561,205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860" w:type="dxa"/>
            <w:vAlign w:val="bottom"/>
            <w:shd w:val="clear" w:color="auto" w:fill="CCEEFF"/>
          </w:tcPr>
          <w:p>
            <w:pPr>
              <w:jc w:val="right"/>
              <w:ind w:right="336"/>
              <w:spacing w:after="0" w:line="13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375,000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3,750,000</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1,193,610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Entertainment</w:t>
            </w: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9,589,483</w:t>
            </w: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14,396,740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36,744,425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40,673,133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Investments in Controlled, Affiliated Portfolio Companies—2.9% </w:t>
            </w:r>
            <w:r>
              <w:rPr>
                <w:rFonts w:ascii="Arial" w:cs="Arial" w:eastAsia="Arial" w:hAnsi="Arial"/>
                <w:sz w:val="18"/>
                <w:szCs w:val="18"/>
                <w:b w:val="1"/>
                <w:bCs w:val="1"/>
                <w:color w:val="auto"/>
                <w:vertAlign w:val="superscript"/>
              </w:rPr>
              <w:t>(1),(2)</w:t>
            </w:r>
          </w:p>
        </w:tc>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Debt—2.1%</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680" w:type="dxa"/>
            <w:vAlign w:val="bottom"/>
          </w:tcPr>
          <w:p>
            <w:pPr>
              <w:jc w:val="center"/>
              <w:spacing w:after="0"/>
              <w:rPr>
                <w:sz w:val="20"/>
                <w:szCs w:val="20"/>
                <w:color w:val="auto"/>
              </w:rPr>
            </w:pPr>
            <w:r>
              <w:rPr>
                <w:rFonts w:ascii="Arial" w:cs="Arial" w:eastAsia="Arial" w:hAnsi="Arial"/>
                <w:sz w:val="13"/>
                <w:szCs w:val="13"/>
                <w:color w:val="auto"/>
                <w:w w:val="95"/>
              </w:rPr>
              <w:t>06/30/2020</w:t>
            </w: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60" w:type="dxa"/>
            <w:vAlign w:val="bottom"/>
          </w:tcPr>
          <w:p>
            <w:pPr>
              <w:jc w:val="right"/>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(6)</w:t>
            </w:r>
          </w:p>
        </w:tc>
        <w:tc>
          <w:tcPr>
            <w:tcW w:w="940" w:type="dxa"/>
            <w:vAlign w:val="bottom"/>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9,200,000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9,200,000</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9,676,650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Notes—0.5%</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680" w:type="dxa"/>
            <w:vAlign w:val="bottom"/>
          </w:tcPr>
          <w:p>
            <w:pPr>
              <w:jc w:val="center"/>
              <w:spacing w:after="0"/>
              <w:rPr>
                <w:sz w:val="20"/>
                <w:szCs w:val="20"/>
                <w:color w:val="auto"/>
              </w:rPr>
            </w:pPr>
            <w:r>
              <w:rPr>
                <w:rFonts w:ascii="Arial" w:cs="Arial" w:eastAsia="Arial" w:hAnsi="Arial"/>
                <w:sz w:val="13"/>
                <w:szCs w:val="13"/>
                <w:color w:val="auto"/>
                <w:w w:val="95"/>
              </w:rPr>
              <w:t>06/30/2020</w:t>
            </w: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60" w:type="dxa"/>
            <w:vAlign w:val="bottom"/>
          </w:tcPr>
          <w:p>
            <w:pPr>
              <w:jc w:val="right"/>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(6)</w:t>
            </w:r>
          </w:p>
        </w:tc>
        <w:tc>
          <w:tcPr>
            <w:tcW w:w="940" w:type="dxa"/>
            <w:vAlign w:val="bottom"/>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2,300,000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2,300,000</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2,085,357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Equity—0.4% </w:t>
            </w:r>
            <w:r>
              <w:rPr>
                <w:rFonts w:ascii="Arial" w:cs="Arial" w:eastAsia="Arial" w:hAnsi="Arial"/>
                <w:sz w:val="17"/>
                <w:szCs w:val="17"/>
                <w:b w:val="1"/>
                <w:bCs w:val="1"/>
                <w:color w:val="auto"/>
                <w:vertAlign w:val="superscript"/>
              </w:rPr>
              <w:t>(7)</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60" w:type="dxa"/>
            <w:vAlign w:val="bottom"/>
          </w:tcPr>
          <w:p>
            <w:pPr>
              <w:jc w:val="right"/>
              <w:ind w:right="156"/>
              <w:spacing w:after="0"/>
              <w:rPr>
                <w:sz w:val="20"/>
                <w:szCs w:val="20"/>
                <w:color w:val="auto"/>
              </w:rPr>
            </w:pPr>
            <w:r>
              <w:rPr>
                <w:rFonts w:ascii="Arial" w:cs="Arial" w:eastAsia="Arial" w:hAnsi="Arial"/>
                <w:sz w:val="13"/>
                <w:szCs w:val="13"/>
                <w:color w:val="auto"/>
              </w:rPr>
              <w:t>14.00%</w:t>
            </w:r>
          </w:p>
        </w:tc>
        <w:tc>
          <w:tcPr>
            <w:tcW w:w="940" w:type="dxa"/>
            <w:vAlign w:val="bottom"/>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2,000,000</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1,737.994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(7)</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6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40" w:type="dxa"/>
            <w:vAlign w:val="bottom"/>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Investments in Controlled, Affiliated Portfolio Companies</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13,500,100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13,500,001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Arial" w:cs="Arial" w:eastAsia="Arial" w:hAnsi="Arial"/>
                <w:sz w:val="13"/>
                <w:szCs w:val="13"/>
                <w:b w:val="1"/>
                <w:bCs w:val="1"/>
                <w:color w:val="auto"/>
              </w:rPr>
              <w:t>Total Investments—178.9%</w:t>
            </w: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866,322,836</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827,548,515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Equivalents—15.5%</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71,604,519</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71,604,519</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71,604,519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3"/>
                <w:szCs w:val="13"/>
                <w:b w:val="1"/>
                <w:bCs w:val="1"/>
                <w:color w:val="auto"/>
              </w:rPr>
              <w:t>Total Investments and Cash and Cash Equivalents—194.3%</w:t>
            </w:r>
          </w:p>
        </w:tc>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937,927,355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899,153,034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Assets—(94.3%)</w:t>
            </w: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3"/>
              </w:rPr>
              <w:t>(436,495,838)</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3"/>
                <w:szCs w:val="13"/>
                <w:b w:val="1"/>
                <w:bCs w:val="1"/>
                <w:color w:val="auto"/>
              </w:rPr>
              <w:t>Net Assets—100.0%</w:t>
            </w: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462,657,196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-3574415</wp:posOffset>
            </wp:positionV>
            <wp:extent cx="71323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540" w:hanging="332"/>
        <w:spacing w:after="0" w:line="201"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182" w:lineRule="auto"/>
        <w:tabs>
          <w:tab w:leader="none" w:pos="34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Valued based on our accounting policy (see Note 2 to our Consolidated Financial Statements).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Prime rate.</w:t>
      </w:r>
    </w:p>
    <w:p>
      <w:pPr>
        <w:ind w:left="340" w:right="680" w:hanging="332"/>
        <w:spacing w:after="0" w:line="182" w:lineRule="auto"/>
        <w:tabs>
          <w:tab w:leader="none" w:pos="34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usually to qualified institutional buyers.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Coupon is payable in cash and/or through PIK.</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Non-income producing securities.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Coupon is subject to a LIBOR or Prime rate floor.</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Represents the purchase of a security with delayed settlement (unfunded investment). This security does not have a basis point spread above an index.</w:t>
      </w:r>
    </w:p>
    <w:p>
      <w:pPr>
        <w:ind w:left="340" w:hanging="332"/>
        <w:spacing w:after="0" w:line="185"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Non-U.S. company or principal place of business outside the United States.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1940 Act. PennantPark Investment’s objective is to generate both current income and capital appreciation through debt and equity investments. We invest primarily in U.S. middle-market companies in the form of senior secured loans, mezzanine debt and equity investments.</w:t>
      </w:r>
    </w:p>
    <w:p>
      <w:pPr>
        <w:spacing w:after="0" w:line="112"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24.3 million shares of common stock through follow-on public offerings, resulting in net proceeds of $242.5 million.</w:t>
      </w:r>
    </w:p>
    <w:p>
      <w:pPr>
        <w:spacing w:after="0" w:line="106" w:lineRule="exact"/>
        <w:rPr>
          <w:sz w:val="20"/>
          <w:szCs w:val="20"/>
          <w:color w:val="auto"/>
        </w:rPr>
      </w:pPr>
    </w:p>
    <w:p>
      <w:pPr>
        <w:jc w:val="both"/>
        <w:ind w:right="300" w:firstLine="449"/>
        <w:spacing w:after="0" w:line="259" w:lineRule="auto"/>
        <w:rPr>
          <w:sz w:val="20"/>
          <w:szCs w:val="20"/>
          <w:color w:val="auto"/>
        </w:rPr>
      </w:pPr>
      <w:r>
        <w:rPr>
          <w:rFonts w:ascii="Arial" w:cs="Arial" w:eastAsia="Arial" w:hAnsi="Arial"/>
          <w:sz w:val="18"/>
          <w:szCs w:val="18"/>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40" w:lineRule="exact"/>
        <w:rPr>
          <w:sz w:val="20"/>
          <w:szCs w:val="20"/>
          <w:color w:val="auto"/>
        </w:rPr>
      </w:pPr>
    </w:p>
    <w:p>
      <w:pPr>
        <w:ind w:right="300" w:firstLine="449"/>
        <w:spacing w:after="0" w:line="254" w:lineRule="auto"/>
        <w:rPr>
          <w:sz w:val="20"/>
          <w:szCs w:val="20"/>
          <w:color w:val="auto"/>
        </w:rPr>
      </w:pPr>
      <w:r>
        <w:rPr>
          <w:rFonts w:ascii="Arial" w:cs="Arial" w:eastAsia="Arial" w:hAnsi="Arial"/>
          <w:sz w:val="18"/>
          <w:szCs w:val="18"/>
          <w:color w:val="auto"/>
        </w:rPr>
        <w:t>SBIC LP and its general partner, SBIC GP, were organized in Delaware as a limited partnership and a limited liability company, respectively, in May, 2010 and began operations on June 11, 2010. SBIC LP received a license from the Small Business Administration, or SBA, to operate as an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44"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 to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under the Securities and Exchange Act of 1934, as amended, or the Exchange Act, we are providing a Consolidated Statement of Changes in Net Assets in lieu of a Consolidated Statement of Changes in Stockholders’ Equity.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20" w:hanging="447"/>
        <w:spacing w:after="0" w:line="331"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480" w:hanging="248"/>
        <w:spacing w:after="0"/>
        <w:tabs>
          <w:tab w:leader="none" w:pos="4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our senior secured revolving credit agreement, or the Credit facility, values during the reporting period, including any reversal of previously recorded unrealized appreciation or depreciation, when gains or losses are realized.</w:t>
      </w:r>
    </w:p>
    <w:p>
      <w:pPr>
        <w:spacing w:after="0" w:line="11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recorded an excise tax of approximately $0.1 million for the three months ended December 31, 2011 and 2010.</w:t>
      </w:r>
    </w:p>
    <w:p>
      <w:pPr>
        <w:spacing w:after="0" w:line="118"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 and the state department of revenue.</w:t>
      </w:r>
    </w:p>
    <w:p>
      <w:pPr>
        <w:spacing w:after="0" w:line="147" w:lineRule="exact"/>
        <w:rPr>
          <w:sz w:val="20"/>
          <w:szCs w:val="20"/>
          <w:color w:val="auto"/>
        </w:rPr>
      </w:pPr>
    </w:p>
    <w:p>
      <w:pPr>
        <w:ind w:right="420" w:firstLine="449"/>
        <w:spacing w:after="0" w:line="331" w:lineRule="auto"/>
        <w:rPr>
          <w:sz w:val="20"/>
          <w:szCs w:val="20"/>
          <w:color w:val="auto"/>
        </w:rPr>
      </w:pPr>
      <w:r>
        <w:rPr>
          <w:rFonts w:ascii="Arial" w:cs="Arial" w:eastAsia="Arial" w:hAnsi="Arial"/>
          <w:sz w:val="16"/>
          <w:szCs w:val="16"/>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w:t>
      </w:r>
    </w:p>
    <w:p>
      <w:pPr>
        <w:spacing w:after="0" w:line="87"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We have formed and used certain taxable subsidiaries, or the Taxable Subsidiaries, to be taxed as a corporation for federal income tax purposes as listed on our Consolidated Schedule of Investments. These Taxable Subsidiaries allow us to hold portfolio companies organized as pass-through entities and still satisfy RIC requirements. We do not consolidate the taxable subsidiaries for income tax purposes but we do consolidate the results of these subsidiaries for financial reporting purposes.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and Taxable Subsidiaries in our Consolidated Financial Statements.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New Accounting Pronouncement</w:t>
      </w:r>
    </w:p>
    <w:p>
      <w:pPr>
        <w:spacing w:after="0" w:line="90"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In May 2011, the Financial Accounting Standards Board, or FASB, issued Accounting Standards Update, or ASU, 2011-04, Amendments to Achieve Common Fair Value Measurement and Disclosure Requirements in U.S. GAAP and IFRSs, or ASU 2011-04. ASU 2011-04 amends ASC Topic 820, “Fair Value Measurements” ,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w:t>
      </w:r>
    </w:p>
    <w:p>
      <w:pPr>
        <w:spacing w:after="0" w:line="3" w:lineRule="exact"/>
        <w:rPr>
          <w:sz w:val="20"/>
          <w:szCs w:val="20"/>
          <w:color w:val="auto"/>
        </w:rPr>
      </w:pPr>
    </w:p>
    <w:p>
      <w:pPr>
        <w:ind w:right="60" w:firstLine="8"/>
        <w:spacing w:after="0" w:line="29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8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PennantPark Investment’s investment management agreement, or the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The base management fee is calculated at an annual rate of 2.00% on our “average adjusted gross assets” (net of U.S. Treasury Bills and/or temporary draws, if any, on the Credit Facility, as defined in Note 10).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three months ended December 31, 2011 and 2010, the Investment Adviser earned a base management fee of $4.0 million and $3.5 million, respectively, from us.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49"/>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w:t>
      </w:r>
    </w:p>
    <w:p>
      <w:pPr>
        <w:spacing w:after="0" w:line="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current quarter. For the three months ended December 31, 2011 and 2010, the Investment Adviser earned an incentive fee of $3.7 million and $2.8 million, respectively, from us.</w:t>
      </w:r>
    </w:p>
    <w:p>
      <w:pPr>
        <w:spacing w:after="0" w:line="122" w:lineRule="exact"/>
        <w:rPr>
          <w:sz w:val="20"/>
          <w:szCs w:val="20"/>
          <w:color w:val="auto"/>
        </w:rPr>
      </w:pPr>
    </w:p>
    <w:p>
      <w:pPr>
        <w:ind w:right="240" w:firstLine="449"/>
        <w:spacing w:after="0" w:line="317"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in the preceding paragraph) for the three months ended December 31, 2011 resulted in no accrual.</w:t>
      </w:r>
    </w:p>
    <w:p>
      <w:pPr>
        <w:spacing w:after="0" w:line="103"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6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months ended December 31, 2011 and 2010, the Investment Adviser and Administrator, collectively, were reimbursed $0.7 million and $0.6 million, respectively, from us, including expenses it incurred on behalf of the Administrator, for services described above.</w:t>
      </w:r>
    </w:p>
    <w:p>
      <w:pPr>
        <w:spacing w:after="0" w:line="12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 Park Holdings, or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three months ended December 31, 2011 and 2010, the PennantPark Investment was reimbursed $0.2 million and $0.1 million, respectively,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2011 and 2010 totaled $46.1 million and $102.9 million, respectively. Sales and repayments of long-term investments for the three months ended December 31, 2011 and 2010 totaled $69.3 million and $85.5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3"/>
          </w:tcPr>
          <w:p>
            <w:pPr>
              <w:jc w:val="right"/>
              <w:ind w:right="557"/>
              <w:spacing w:after="0"/>
              <w:rPr>
                <w:sz w:val="20"/>
                <w:szCs w:val="20"/>
                <w:color w:val="auto"/>
              </w:rPr>
            </w:pPr>
            <w:r>
              <w:rPr>
                <w:rFonts w:ascii="Arial" w:cs="Arial" w:eastAsia="Arial" w:hAnsi="Arial"/>
                <w:sz w:val="13"/>
                <w:szCs w:val="13"/>
                <w:b w:val="1"/>
                <w:bCs w:val="1"/>
                <w:color w:val="auto"/>
              </w:rPr>
              <w:t>December 31, 2011</w:t>
            </w:r>
          </w:p>
        </w:tc>
        <w:tc>
          <w:tcPr>
            <w:tcW w:w="3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3"/>
                <w:szCs w:val="13"/>
                <w:b w:val="1"/>
                <w:bCs w:val="1"/>
                <w:color w:val="auto"/>
              </w:rPr>
              <w:t>September 30, 2011</w:t>
            </w:r>
          </w:p>
        </w:tc>
      </w:tr>
      <w:tr>
        <w:trPr>
          <w:trHeight w:val="142"/>
        </w:trPr>
        <w:tc>
          <w:tcPr>
            <w:tcW w:w="39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Fair Value</w:t>
            </w:r>
          </w:p>
        </w:tc>
        <w:tc>
          <w:tcPr>
            <w:tcW w:w="3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80" w:type="dxa"/>
            <w:vAlign w:val="bottom"/>
            <w:gridSpan w:val="2"/>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$275,110,038</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$262,081,858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$305,608,989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$296,488,131</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Second lien</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189,789,050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162,447,811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189,962,828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165,272,201</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325,854,490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316,563,299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325,318,958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Preferred equity</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12,506,900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9,476,431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12,268,187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9,762,932</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28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35,921,874</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59,865,058</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100" w:type="dxa"/>
            <w:vAlign w:val="bottom"/>
            <w:shd w:val="clear" w:color="auto" w:fill="CCEEFF"/>
          </w:tcPr>
          <w:p>
            <w:pPr>
              <w:spacing w:after="0"/>
              <w:rPr>
                <w:sz w:val="18"/>
                <w:szCs w:val="18"/>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8"/>
                <w:szCs w:val="18"/>
                <w:color w:val="auto"/>
              </w:rPr>
              <w:t>Total Investments</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839,182,352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810,434,457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866,322,836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827,548,515</w:t>
            </w:r>
          </w:p>
        </w:tc>
        <w:tc>
          <w:tcPr>
            <w:tcW w:w="100" w:type="dxa"/>
            <w:vAlign w:val="bottom"/>
          </w:tcPr>
          <w:p>
            <w:pPr>
              <w:spacing w:after="0"/>
              <w:rPr>
                <w:sz w:val="19"/>
                <w:szCs w:val="19"/>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8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42,075,768</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42,075,768</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881,258,120</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852,510,225</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937,927,355</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899,153,034</w:t>
            </w:r>
          </w:p>
        </w:tc>
        <w:tc>
          <w:tcPr>
            <w:tcW w:w="10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2220" w:type="dxa"/>
            <w:vAlign w:val="bottom"/>
            <w:gridSpan w:val="3"/>
          </w:tcPr>
          <w:p>
            <w:pPr>
              <w:jc w:val="right"/>
              <w:ind w:right="80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8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December 31, 2011 and September 30, 2011.</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300" w:type="dxa"/>
            <w:vAlign w:val="bottom"/>
            <w:vMerge w:val="restart"/>
          </w:tcPr>
          <w:p>
            <w:pPr>
              <w:spacing w:after="0"/>
              <w:rPr>
                <w:sz w:val="13"/>
                <w:szCs w:val="13"/>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3"/>
                <w:szCs w:val="13"/>
                <w:b w:val="1"/>
                <w:bCs w:val="1"/>
                <w:color w:val="auto"/>
                <w:w w:val="92"/>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53"/>
        </w:trPr>
        <w:tc>
          <w:tcPr>
            <w:tcW w:w="1380" w:type="dxa"/>
            <w:vAlign w:val="bottom"/>
            <w:tcBorders>
              <w:bottom w:val="single" w:sz="8" w:color="auto"/>
            </w:tcBorders>
            <w:vMerge w:val="continue"/>
          </w:tcPr>
          <w:p>
            <w:pPr>
              <w:spacing w:after="0"/>
              <w:rPr>
                <w:sz w:val="12"/>
                <w:szCs w:val="12"/>
                <w:color w:val="auto"/>
              </w:rPr>
            </w:pPr>
          </w:p>
        </w:tc>
        <w:tc>
          <w:tcPr>
            <w:tcW w:w="4300" w:type="dxa"/>
            <w:vAlign w:val="bottom"/>
            <w:vMerge w:val="continue"/>
          </w:tcPr>
          <w:p>
            <w:pPr>
              <w:spacing w:after="0"/>
              <w:rPr>
                <w:sz w:val="12"/>
                <w:szCs w:val="12"/>
                <w:color w:val="auto"/>
              </w:rPr>
            </w:pPr>
          </w:p>
        </w:tc>
        <w:tc>
          <w:tcPr>
            <w:tcW w:w="800" w:type="dxa"/>
            <w:vAlign w:val="bottom"/>
          </w:tcPr>
          <w:p>
            <w:pPr>
              <w:jc w:val="right"/>
              <w:ind w:right="174"/>
              <w:spacing w:after="0" w:line="148" w:lineRule="exact"/>
              <w:rPr>
                <w:sz w:val="20"/>
                <w:szCs w:val="20"/>
                <w:color w:val="auto"/>
              </w:rPr>
            </w:pPr>
            <w:r>
              <w:rPr>
                <w:rFonts w:ascii="Arial" w:cs="Arial" w:eastAsia="Arial" w:hAnsi="Arial"/>
                <w:sz w:val="13"/>
                <w:szCs w:val="13"/>
                <w:b w:val="1"/>
                <w:bCs w:val="1"/>
                <w:color w:val="auto"/>
              </w:rPr>
              <w:t>2011</w:t>
            </w:r>
          </w:p>
        </w:tc>
        <w:tc>
          <w:tcPr>
            <w:tcW w:w="102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0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jc w:val="right"/>
              <w:ind w:right="88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9</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Personal Transportation</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Manufacturing / Basic Industry</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4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4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(See Note 10)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80" w:right="274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2011, our ability to observe valuation inputs has not resulted in a reclassification of assets from Level 3 to 2. There were no investments transferred between Level 1 and 2 during the three months ended December 31, 2011.</w:t>
      </w:r>
    </w:p>
    <w:p>
      <w:pPr>
        <w:spacing w:after="0" w:line="14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we employ the valuation policy approved by our board of directors that is consistent with ASC 820 (See Note 2).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At December 31, 2011 and September 30, 2011,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5"/>
              </w:rPr>
              <w:t>Fair Value at December 31, 2011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380" w:type="dxa"/>
            <w:vAlign w:val="bottom"/>
          </w:tcPr>
          <w:p>
            <w:pPr>
              <w:spacing w:after="0"/>
              <w:rPr>
                <w:sz w:val="12"/>
                <w:szCs w:val="12"/>
                <w:color w:val="auto"/>
              </w:rPr>
            </w:pPr>
          </w:p>
        </w:tc>
        <w:tc>
          <w:tcPr>
            <w:tcW w:w="98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$741,092,968</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40,033,161</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$701,059,807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69,341,489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6,586,213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114,038</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810,434,457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6,586,213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40,147,199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763,701,045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42,075,768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42,075,768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852,510,225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48,661,981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40,147,199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763,701,045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191,040,000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191,040,000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3"/>
                <w:szCs w:val="13"/>
                <w:b w:val="1"/>
                <w:bCs w:val="1"/>
                <w:color w:val="auto"/>
                <w:w w:val="94"/>
              </w:rPr>
              <w:t>Fair Value at September 30, 2011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380" w:type="dxa"/>
            <w:vAlign w:val="bottom"/>
          </w:tcPr>
          <w:p>
            <w:pPr>
              <w:spacing w:after="0"/>
              <w:rPr>
                <w:sz w:val="12"/>
                <w:szCs w:val="12"/>
                <w:color w:val="auto"/>
              </w:rPr>
            </w:pPr>
          </w:p>
        </w:tc>
        <w:tc>
          <w:tcPr>
            <w:tcW w:w="98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$771,089,501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38,395,050</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4,044,595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4,044,595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38,456,141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71,604,519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899,153,034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75,649,114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38,456,141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238,792,125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238,792,125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three months ended December 31, 2011 and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13"/>
          </w:tcPr>
          <w:p>
            <w:pPr>
              <w:jc w:val="center"/>
              <w:ind w:right="340"/>
              <w:spacing w:after="0"/>
              <w:rPr>
                <w:sz w:val="20"/>
                <w:szCs w:val="20"/>
                <w:color w:val="auto"/>
              </w:rPr>
            </w:pPr>
            <w:r>
              <w:rPr>
                <w:rFonts w:ascii="Arial" w:cs="Arial" w:eastAsia="Arial" w:hAnsi="Arial"/>
                <w:sz w:val="13"/>
                <w:szCs w:val="13"/>
                <w:b w:val="1"/>
                <w:bCs w:val="1"/>
                <w:color w:val="auto"/>
                <w:w w:val="92"/>
              </w:rPr>
              <w:t>For the three months ended December 31, 2011</w:t>
            </w:r>
          </w:p>
        </w:tc>
        <w:tc>
          <w:tcPr>
            <w:tcW w:w="0" w:type="dxa"/>
            <w:vAlign w:val="bottom"/>
          </w:tcPr>
          <w:p>
            <w:pPr>
              <w:spacing w:after="0"/>
              <w:rPr>
                <w:sz w:val="1"/>
                <w:szCs w:val="1"/>
                <w:color w:val="auto"/>
              </w:rPr>
            </w:pPr>
          </w:p>
        </w:tc>
      </w:tr>
      <w:tr>
        <w:trPr>
          <w:trHeight w:val="129"/>
        </w:trPr>
        <w:tc>
          <w:tcPr>
            <w:tcW w:w="6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1"/>
                <w:szCs w:val="11"/>
                <w:color w:val="auto"/>
              </w:rPr>
            </w:pPr>
          </w:p>
        </w:tc>
        <w:tc>
          <w:tcPr>
            <w:tcW w:w="1340" w:type="dxa"/>
            <w:vAlign w:val="bottom"/>
            <w:tcBorders>
              <w:top w:val="single" w:sz="8" w:color="auto"/>
            </w:tcBorders>
            <w:gridSpan w:val="6"/>
          </w:tcPr>
          <w:p>
            <w:pPr>
              <w:jc w:val="right"/>
              <w:ind w:right="440"/>
              <w:spacing w:after="0" w:line="129" w:lineRule="exact"/>
              <w:rPr>
                <w:sz w:val="20"/>
                <w:szCs w:val="20"/>
                <w:color w:val="auto"/>
              </w:rPr>
            </w:pPr>
            <w:r>
              <w:rPr>
                <w:rFonts w:ascii="Arial" w:cs="Arial" w:eastAsia="Arial" w:hAnsi="Arial"/>
                <w:sz w:val="13"/>
                <w:szCs w:val="13"/>
                <w:b w:val="1"/>
                <w:bCs w:val="1"/>
                <w:color w:val="auto"/>
                <w:w w:val="98"/>
              </w:rPr>
              <w:t>Loan and debt</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rPr>
              <w:t>Equity</w:t>
            </w: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6"/>
          </w:tcPr>
          <w:p>
            <w:pPr>
              <w:jc w:val="right"/>
              <w:ind w:right="520"/>
              <w:spacing w:after="0" w:line="148" w:lineRule="exact"/>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2011</w:t>
            </w:r>
          </w:p>
        </w:tc>
        <w:tc>
          <w:tcPr>
            <w:tcW w:w="1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5"/>
              </w:rPr>
              <w:t>$732,694,451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$52,353,328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$785,047,779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140" w:type="dxa"/>
            <w:vAlign w:val="bottom"/>
            <w:gridSpan w:val="5"/>
          </w:tcPr>
          <w:p>
            <w:pPr>
              <w:jc w:val="right"/>
              <w:ind w:right="20"/>
              <w:spacing w:after="0"/>
              <w:rPr>
                <w:sz w:val="20"/>
                <w:szCs w:val="20"/>
                <w:color w:val="auto"/>
              </w:rPr>
            </w:pPr>
            <w:r>
              <w:rPr>
                <w:rFonts w:ascii="Arial" w:cs="Arial" w:eastAsia="Arial" w:hAnsi="Arial"/>
                <w:sz w:val="18"/>
                <w:szCs w:val="18"/>
                <w:color w:val="auto"/>
              </w:rPr>
              <w:t>138,156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1,871,266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2,009,422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3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(12,316,045)</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7,291,199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(5,024,846)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140" w:type="dxa"/>
            <w:vAlign w:val="bottom"/>
            <w:gridSpan w:val="5"/>
          </w:tcPr>
          <w:p>
            <w:pPr>
              <w:jc w:val="right"/>
              <w:ind w:right="20"/>
              <w:spacing w:after="0"/>
              <w:rPr>
                <w:sz w:val="20"/>
                <w:szCs w:val="20"/>
                <w:color w:val="auto"/>
              </w:rPr>
            </w:pPr>
            <w:r>
              <w:rPr>
                <w:rFonts w:ascii="Arial" w:cs="Arial" w:eastAsia="Arial" w:hAnsi="Arial"/>
                <w:sz w:val="18"/>
                <w:szCs w:val="18"/>
                <w:color w:val="auto"/>
              </w:rPr>
              <w:t>38,620,573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3,924,515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42,545,088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3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(58,077,328)</w:t>
            </w: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(2,799,070)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(60,876,398)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701,059,807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62,641,238</w:t>
            </w: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763,701,045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gridSpan w:val="3"/>
          </w:tcPr>
          <w:p>
            <w:pPr>
              <w:spacing w:after="0"/>
              <w:rPr>
                <w:sz w:val="20"/>
                <w:szCs w:val="20"/>
                <w:color w:val="auto"/>
              </w:rPr>
            </w:pPr>
            <w:r>
              <w:rPr>
                <w:rFonts w:ascii="Arial" w:cs="Arial" w:eastAsia="Arial" w:hAnsi="Arial"/>
                <w:sz w:val="18"/>
                <w:szCs w:val="18"/>
                <w:color w:val="auto"/>
                <w:w w:val="95"/>
              </w:rPr>
              <w:t>Net change in unrealized appreciation (depreciation) for the period reported within</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the net change in unrealized appreciation on investments in our Consolidated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w w:val="95"/>
              </w:rPr>
              <w:t>Statement of Operations attributable to our Level 3 assets still held at the reporting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3"/>
          </w:tcPr>
          <w:p>
            <w:pPr>
              <w:spacing w:after="0"/>
              <w:rPr>
                <w:sz w:val="20"/>
                <w:szCs w:val="20"/>
                <w:color w:val="auto"/>
              </w:rPr>
            </w:pPr>
            <w:r>
              <w:rPr>
                <w:rFonts w:ascii="Arial" w:cs="Arial" w:eastAsia="Arial" w:hAnsi="Arial"/>
                <w:sz w:val="18"/>
                <w:szCs w:val="18"/>
                <w:color w:val="auto"/>
              </w:rPr>
              <w:t>date</w:t>
            </w:r>
          </w:p>
        </w:tc>
        <w:tc>
          <w:tcPr>
            <w:tcW w:w="1340" w:type="dxa"/>
            <w:vAlign w:val="bottom"/>
            <w:gridSpan w:val="6"/>
          </w:tcPr>
          <w:p>
            <w:pPr>
              <w:jc w:val="right"/>
              <w:ind w:right="160"/>
              <w:spacing w:after="0"/>
              <w:rPr>
                <w:sz w:val="20"/>
                <w:szCs w:val="20"/>
                <w:color w:val="auto"/>
              </w:rPr>
            </w:pPr>
            <w:r>
              <w:rPr>
                <w:rFonts w:ascii="Arial" w:cs="Arial" w:eastAsia="Arial" w:hAnsi="Arial"/>
                <w:sz w:val="18"/>
                <w:szCs w:val="18"/>
                <w:color w:val="auto"/>
              </w:rPr>
              <w:t>$  (9,350,312)</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$ 9,135,928</w:t>
            </w:r>
          </w:p>
        </w:tc>
        <w:tc>
          <w:tcPr>
            <w:tcW w:w="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(214,384)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13"/>
          </w:tcPr>
          <w:p>
            <w:pPr>
              <w:jc w:val="center"/>
              <w:ind w:right="140"/>
              <w:spacing w:after="0"/>
              <w:rPr>
                <w:sz w:val="20"/>
                <w:szCs w:val="20"/>
                <w:color w:val="auto"/>
              </w:rPr>
            </w:pPr>
            <w:r>
              <w:rPr>
                <w:rFonts w:ascii="Arial" w:cs="Arial" w:eastAsia="Arial" w:hAnsi="Arial"/>
                <w:sz w:val="13"/>
                <w:szCs w:val="13"/>
                <w:b w:val="1"/>
                <w:bCs w:val="1"/>
                <w:color w:val="auto"/>
                <w:w w:val="92"/>
              </w:rPr>
              <w:t>For the three months ended December 31, 2010</w:t>
            </w:r>
          </w:p>
        </w:tc>
        <w:tc>
          <w:tcPr>
            <w:tcW w:w="0" w:type="dxa"/>
            <w:vAlign w:val="bottom"/>
          </w:tcPr>
          <w:p>
            <w:pPr>
              <w:spacing w:after="0"/>
              <w:rPr>
                <w:sz w:val="1"/>
                <w:szCs w:val="1"/>
                <w:color w:val="auto"/>
              </w:rPr>
            </w:pPr>
          </w:p>
        </w:tc>
      </w:tr>
      <w:tr>
        <w:trPr>
          <w:trHeight w:val="129"/>
        </w:trPr>
        <w:tc>
          <w:tcPr>
            <w:tcW w:w="6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top w:val="single" w:sz="8" w:color="auto"/>
            </w:tcBorders>
            <w:gridSpan w:val="4"/>
          </w:tcPr>
          <w:p>
            <w:pPr>
              <w:jc w:val="right"/>
              <w:ind w:right="240"/>
              <w:spacing w:after="0" w:line="129" w:lineRule="exact"/>
              <w:rPr>
                <w:sz w:val="20"/>
                <w:szCs w:val="20"/>
                <w:color w:val="auto"/>
              </w:rPr>
            </w:pPr>
            <w:r>
              <w:rPr>
                <w:rFonts w:ascii="Arial" w:cs="Arial" w:eastAsia="Arial" w:hAnsi="Arial"/>
                <w:sz w:val="13"/>
                <w:szCs w:val="13"/>
                <w:b w:val="1"/>
                <w:bCs w:val="1"/>
                <w:color w:val="auto"/>
                <w:w w:val="96"/>
              </w:rPr>
              <w:t>Loan and debt</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rPr>
              <w:t>Equity</w:t>
            </w: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right"/>
              <w:ind w:right="320"/>
              <w:spacing w:after="0" w:line="148" w:lineRule="exact"/>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2010</w:t>
            </w:r>
          </w:p>
        </w:tc>
        <w:tc>
          <w:tcPr>
            <w:tcW w:w="380" w:type="dxa"/>
            <w:vAlign w:val="bottom"/>
            <w:gridSpan w:val="3"/>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3"/>
              </w:rPr>
              <w:t>$615,236,138</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5"/>
              </w:rPr>
              <w:t>$45,137,828</w:t>
            </w:r>
          </w:p>
        </w:tc>
        <w:tc>
          <w:tcPr>
            <w:tcW w:w="40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660,373,966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340" w:type="dxa"/>
            <w:vAlign w:val="bottom"/>
            <w:gridSpan w:val="6"/>
          </w:tcPr>
          <w:p>
            <w:pPr>
              <w:jc w:val="right"/>
              <w:ind w:right="20"/>
              <w:spacing w:after="0"/>
              <w:rPr>
                <w:sz w:val="20"/>
                <w:szCs w:val="20"/>
                <w:color w:val="auto"/>
              </w:rPr>
            </w:pPr>
            <w:r>
              <w:rPr>
                <w:rFonts w:ascii="Arial" w:cs="Arial" w:eastAsia="Arial" w:hAnsi="Arial"/>
                <w:sz w:val="18"/>
                <w:szCs w:val="18"/>
                <w:color w:val="auto"/>
              </w:rPr>
              <w:t>2,293,343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2,293,343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13,507,841</w:t>
            </w: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1,860,352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15,368,193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340" w:type="dxa"/>
            <w:vAlign w:val="bottom"/>
            <w:gridSpan w:val="6"/>
          </w:tcPr>
          <w:p>
            <w:pPr>
              <w:jc w:val="right"/>
              <w:ind w:right="20"/>
              <w:spacing w:after="0"/>
              <w:rPr>
                <w:sz w:val="20"/>
                <w:szCs w:val="20"/>
                <w:color w:val="auto"/>
              </w:rPr>
            </w:pPr>
            <w:r>
              <w:rPr>
                <w:rFonts w:ascii="Arial" w:cs="Arial" w:eastAsia="Arial" w:hAnsi="Arial"/>
                <w:sz w:val="18"/>
                <w:szCs w:val="18"/>
                <w:color w:val="auto"/>
              </w:rPr>
              <w:t>100,385,797</w:t>
            </w:r>
          </w:p>
        </w:tc>
        <w:tc>
          <w:tcPr>
            <w:tcW w:w="16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3,737,573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104,123,370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50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(85,535,410)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(85,535,410)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380" w:type="dxa"/>
            <w:vAlign w:val="bottom"/>
            <w:gridSpan w:val="3"/>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(39,546,063)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(39,546,063)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2010</w:t>
            </w: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606,341,646</w:t>
            </w: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50,735,753</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gridSpan w:val="3"/>
          </w:tcPr>
          <w:p>
            <w:pPr>
              <w:spacing w:after="0"/>
              <w:rPr>
                <w:sz w:val="20"/>
                <w:szCs w:val="20"/>
                <w:color w:val="auto"/>
              </w:rPr>
            </w:pPr>
            <w:r>
              <w:rPr>
                <w:rFonts w:ascii="Arial" w:cs="Arial" w:eastAsia="Arial" w:hAnsi="Arial"/>
                <w:sz w:val="18"/>
                <w:szCs w:val="18"/>
                <w:color w:val="auto"/>
                <w:w w:val="91"/>
              </w:rPr>
              <w:t>Net change in unrealized appreciation (depreciation) for the period reported within the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w w:val="90"/>
              </w:rPr>
              <w:t>net change in unrealized depreciation on investments in our Consolidated Statement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3"/>
          </w:tcPr>
          <w:p>
            <w:pPr>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340" w:type="dxa"/>
            <w:vAlign w:val="bottom"/>
            <w:gridSpan w:val="6"/>
          </w:tcPr>
          <w:p>
            <w:pPr>
              <w:jc w:val="right"/>
              <w:ind w:right="20"/>
              <w:spacing w:after="0"/>
              <w:rPr>
                <w:sz w:val="20"/>
                <w:szCs w:val="20"/>
                <w:color w:val="auto"/>
              </w:rPr>
            </w:pPr>
            <w:r>
              <w:rPr>
                <w:rFonts w:ascii="Arial" w:cs="Arial" w:eastAsia="Arial" w:hAnsi="Arial"/>
                <w:sz w:val="18"/>
                <w:szCs w:val="18"/>
                <w:color w:val="auto"/>
              </w:rPr>
              <w:t>$ 13,028,376</w:t>
            </w:r>
          </w:p>
        </w:tc>
        <w:tc>
          <w:tcPr>
            <w:tcW w:w="16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$ 1,860,352</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14,888,728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The following tables show a reconciliation of the beginning and ending balances for fair valued liabilities measured using significant unobservable inputs (Level 3) for the three months ended December 31, 2011 and 2010. There were no temporary draws outstanding at December 31, 2011 and 2010.</w:t>
      </w:r>
    </w:p>
    <w:p>
      <w:pPr>
        <w:spacing w:after="0" w:line="123" w:lineRule="exact"/>
        <w:rPr>
          <w:sz w:val="20"/>
          <w:szCs w:val="20"/>
          <w:color w:val="auto"/>
        </w:rPr>
      </w:pPr>
    </w:p>
    <w:tbl>
      <w:tblPr>
        <w:tblLayout w:type="fixed"/>
        <w:tblInd w:w="1820" w:type="dxa"/>
        <w:tblCellMar>
          <w:top w:w="0" w:type="dxa"/>
          <w:left w:w="0" w:type="dxa"/>
          <w:bottom w:w="0" w:type="dxa"/>
          <w:right w:w="0" w:type="dxa"/>
        </w:tblCellMar>
      </w:tblPr>
      <w:tr>
        <w:trPr>
          <w:trHeight w:val="174"/>
        </w:trPr>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Period Ended December 31, 2011</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Credit Facility</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2011 (Cost – $240,900,000)</w:t>
            </w:r>
          </w:p>
        </w:tc>
        <w:tc>
          <w:tcPr>
            <w:tcW w:w="1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Total unrealized appreciation included in earnings</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1,147,875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1"/>
                <w:szCs w:val="11"/>
                <w:color w:val="auto"/>
              </w:rPr>
              <w:t>(1)</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1"/>
                <w:szCs w:val="11"/>
                <w:color w:val="auto"/>
              </w:rPr>
              <w:t>(1)</w:t>
            </w:r>
          </w:p>
        </w:tc>
        <w:tc>
          <w:tcPr>
            <w:tcW w:w="2280" w:type="dxa"/>
            <w:vAlign w:val="bottom"/>
            <w:gridSpan w:val="4"/>
          </w:tcPr>
          <w:p>
            <w:pPr>
              <w:jc w:val="right"/>
              <w:ind w:right="60"/>
              <w:spacing w:after="0"/>
              <w:rPr>
                <w:sz w:val="20"/>
                <w:szCs w:val="20"/>
                <w:color w:val="auto"/>
              </w:rPr>
            </w:pPr>
            <w:r>
              <w:rPr>
                <w:rFonts w:ascii="Arial" w:cs="Arial" w:eastAsia="Arial" w:hAnsi="Arial"/>
                <w:sz w:val="18"/>
                <w:szCs w:val="18"/>
                <w:color w:val="auto"/>
              </w:rPr>
              <w:t>(291,100,000)</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in and/or out of Level 3</w:t>
            </w:r>
          </w:p>
        </w:tc>
        <w:tc>
          <w:tcPr>
            <w:tcW w:w="1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40" w:type="dxa"/>
            <w:vAlign w:val="bottom"/>
            <w:gridSpan w:val="2"/>
          </w:tcPr>
          <w:p>
            <w:pPr>
              <w:spacing w:after="0"/>
              <w:rPr>
                <w:sz w:val="20"/>
                <w:szCs w:val="20"/>
                <w:color w:val="auto"/>
              </w:rPr>
            </w:pPr>
            <w:r>
              <w:rPr>
                <w:rFonts w:ascii="Arial" w:cs="Arial" w:eastAsia="Arial" w:hAnsi="Arial"/>
                <w:sz w:val="18"/>
                <w:szCs w:val="18"/>
                <w:color w:val="auto"/>
              </w:rPr>
              <w:t>Ending Balance, December 31, 2011 (Cost – $192,000,000)</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$ 191,040,000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Period Ended December 31, 2010</w:t>
            </w: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3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Credit Facility</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2010 (Cost – $227,900,000)</w:t>
            </w:r>
          </w:p>
        </w:tc>
        <w:tc>
          <w:tcPr>
            <w:tcW w:w="1160" w:type="dxa"/>
            <w:vAlign w:val="bottom"/>
            <w:tcBorders>
              <w:top w:val="single" w:sz="8" w:color="CCEEFF"/>
            </w:tcBorders>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$ 213,941,125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Total unrealized appreciation included in earnings</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6,604,625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1"/>
                <w:szCs w:val="11"/>
                <w:color w:val="auto"/>
              </w:rPr>
              <w:t>(1)</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1"/>
                <w:szCs w:val="11"/>
                <w:color w:val="auto"/>
              </w:rPr>
              <w:t>(1)</w:t>
            </w:r>
          </w:p>
        </w:tc>
        <w:tc>
          <w:tcPr>
            <w:tcW w:w="2280" w:type="dxa"/>
            <w:vAlign w:val="bottom"/>
            <w:gridSpan w:val="4"/>
          </w:tcPr>
          <w:p>
            <w:pPr>
              <w:jc w:val="right"/>
              <w:ind w:right="60"/>
              <w:spacing w:after="0"/>
              <w:rPr>
                <w:sz w:val="20"/>
                <w:szCs w:val="20"/>
                <w:color w:val="auto"/>
              </w:rPr>
            </w:pPr>
            <w:r>
              <w:rPr>
                <w:rFonts w:ascii="Arial" w:cs="Arial" w:eastAsia="Arial" w:hAnsi="Arial"/>
                <w:sz w:val="18"/>
                <w:szCs w:val="18"/>
                <w:color w:val="auto"/>
              </w:rPr>
              <w:t>(67,500,000)</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in and/or out of Level 3</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40" w:type="dxa"/>
            <w:vAlign w:val="bottom"/>
            <w:gridSpan w:val="2"/>
          </w:tcPr>
          <w:p>
            <w:pPr>
              <w:spacing w:after="0"/>
              <w:rPr>
                <w:sz w:val="20"/>
                <w:szCs w:val="20"/>
                <w:color w:val="auto"/>
              </w:rPr>
            </w:pPr>
            <w:r>
              <w:rPr>
                <w:rFonts w:ascii="Arial" w:cs="Arial" w:eastAsia="Arial" w:hAnsi="Arial"/>
                <w:sz w:val="18"/>
                <w:szCs w:val="18"/>
                <w:color w:val="auto"/>
              </w:rPr>
              <w:t>Ending Balance, December 31, 2010 (Cost – $255,800,000)</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$ 248,445,750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1"/>
                <w:szCs w:val="11"/>
                <w:color w:val="auto"/>
              </w:rPr>
              <w:t>(1)</w:t>
            </w:r>
          </w:p>
        </w:tc>
        <w:tc>
          <w:tcPr>
            <w:tcW w:w="5080" w:type="dxa"/>
            <w:vAlign w:val="bottom"/>
            <w:vMerge w:val="restart"/>
          </w:tcPr>
          <w:p>
            <w:pPr>
              <w:ind w:left="160"/>
              <w:spacing w:after="0"/>
              <w:rPr>
                <w:sz w:val="20"/>
                <w:szCs w:val="20"/>
                <w:color w:val="auto"/>
              </w:rPr>
            </w:pPr>
            <w:r>
              <w:rPr>
                <w:rFonts w:ascii="Arial" w:cs="Arial" w:eastAsia="Arial" w:hAnsi="Arial"/>
                <w:sz w:val="18"/>
                <w:szCs w:val="18"/>
                <w:color w:val="auto"/>
              </w:rPr>
              <w:t>Excludes temporary draws.</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50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1240"/>
          </w:cols>
          <w:pgMar w:left="320" w:top="459"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459"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49"/>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months ended December 31, 2011 and 2010, our Credit Facility had a net change in unrealized appreciation of $1.1 million and $6.6 million, respectively. On December 31, 2011 and September 30, 2011, net unrealized depreciation on our Credit Facility totaled $1.0 million and $2.1 million, respectively. We use a nationally recognized independent valuation services to measure the fair value of our Credit Facility in a manner consistent with the valuation process that the board of directors uses to value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An affiliated company is a company in which we have ownership of 5% or more of the portfolio company’s voting securities. A controlled affiliate is a company in which we own 25% or more of a portfolio company’s voting securities. Advances to and distributions from affiliates are included in the Consolidated Statements of Cash Flow under purchases and sales. Transactions related to our investments with both controlled and non-controlled affiliates for the three months ended December 31, 2011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Distributions</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Investment</w:t>
            </w:r>
          </w:p>
        </w:tc>
        <w:tc>
          <w:tcPr>
            <w:tcW w:w="37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b w:val="1"/>
                <w:bCs w:val="1"/>
                <w:color w:val="auto"/>
              </w:rPr>
              <w:t>Fair Value at</w:t>
            </w:r>
          </w:p>
        </w:tc>
        <w:tc>
          <w:tcPr>
            <w:tcW w:w="3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Advances to</w:t>
            </w:r>
          </w:p>
        </w:tc>
        <w:tc>
          <w:tcPr>
            <w:tcW w:w="18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from</w:t>
            </w: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Income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 at</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12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0"/>
              </w:rPr>
              <w:t>September 30, 2011</w:t>
            </w:r>
          </w:p>
        </w:tc>
        <w:tc>
          <w:tcPr>
            <w:tcW w:w="380" w:type="dxa"/>
            <w:vAlign w:val="bottom"/>
          </w:tcPr>
          <w:p>
            <w:pPr>
              <w:spacing w:after="0"/>
              <w:rPr>
                <w:sz w:val="14"/>
                <w:szCs w:val="14"/>
                <w:color w:val="auto"/>
              </w:rPr>
            </w:pPr>
          </w:p>
        </w:tc>
        <w:tc>
          <w:tcPr>
            <w:tcW w:w="106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4"/>
              </w:rPr>
              <w:t>Affiliates</w:t>
            </w:r>
          </w:p>
        </w:tc>
        <w:tc>
          <w:tcPr>
            <w:tcW w:w="180" w:type="dxa"/>
            <w:vAlign w:val="bottom"/>
          </w:tcPr>
          <w:p>
            <w:pPr>
              <w:spacing w:after="0"/>
              <w:rPr>
                <w:sz w:val="14"/>
                <w:szCs w:val="14"/>
                <w:color w:val="auto"/>
              </w:rPr>
            </w:pPr>
          </w:p>
        </w:tc>
        <w:tc>
          <w:tcPr>
            <w:tcW w:w="126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94"/>
              </w:rPr>
              <w:t>Affiliates</w:t>
            </w:r>
          </w:p>
        </w:tc>
        <w:tc>
          <w:tcPr>
            <w:tcW w:w="720" w:type="dxa"/>
            <w:vAlign w:val="bottom"/>
          </w:tcPr>
          <w:p>
            <w:pPr>
              <w:jc w:val="right"/>
              <w:ind w:right="19"/>
              <w:spacing w:after="0" w:line="148" w:lineRule="exact"/>
              <w:rPr>
                <w:sz w:val="20"/>
                <w:szCs w:val="20"/>
                <w:color w:val="auto"/>
              </w:rPr>
            </w:pPr>
            <w:r>
              <w:rPr>
                <w:rFonts w:ascii="Arial" w:cs="Arial" w:eastAsia="Arial" w:hAnsi="Arial"/>
                <w:sz w:val="13"/>
                <w:szCs w:val="13"/>
                <w:b w:val="1"/>
                <w:bCs w:val="1"/>
                <w:color w:val="auto"/>
              </w:rPr>
              <w:t>Received</w:t>
            </w:r>
          </w:p>
        </w:tc>
        <w:tc>
          <w:tcPr>
            <w:tcW w:w="400" w:type="dxa"/>
            <w:vAlign w:val="bottom"/>
          </w:tcPr>
          <w:p>
            <w:pPr>
              <w:spacing w:after="0"/>
              <w:rPr>
                <w:sz w:val="14"/>
                <w:szCs w:val="14"/>
                <w:color w:val="auto"/>
              </w:rPr>
            </w:pPr>
          </w:p>
        </w:tc>
        <w:tc>
          <w:tcPr>
            <w:tcW w:w="1180" w:type="dxa"/>
            <w:vAlign w:val="bottom"/>
            <w:gridSpan w:val="3"/>
          </w:tcPr>
          <w:p>
            <w:pPr>
              <w:jc w:val="right"/>
              <w:ind w:right="100"/>
              <w:spacing w:after="0" w:line="148" w:lineRule="exact"/>
              <w:rPr>
                <w:sz w:val="20"/>
                <w:szCs w:val="20"/>
                <w:color w:val="auto"/>
              </w:rPr>
            </w:pPr>
            <w:r>
              <w:rPr>
                <w:rFonts w:ascii="Arial" w:cs="Arial" w:eastAsia="Arial" w:hAnsi="Arial"/>
                <w:sz w:val="13"/>
                <w:szCs w:val="13"/>
                <w:b w:val="1"/>
                <w:bCs w:val="1"/>
                <w:color w:val="auto"/>
                <w:w w:val="90"/>
              </w:rPr>
              <w:t>December 31, 2011</w:t>
            </w:r>
          </w:p>
        </w:tc>
        <w:tc>
          <w:tcPr>
            <w:tcW w:w="0" w:type="dxa"/>
            <w:vAlign w:val="bottom"/>
          </w:tcPr>
          <w:p>
            <w:pPr>
              <w:spacing w:after="0"/>
              <w:rPr>
                <w:sz w:val="1"/>
                <w:szCs w:val="1"/>
                <w:color w:val="auto"/>
              </w:rPr>
            </w:pPr>
          </w:p>
        </w:tc>
      </w:tr>
      <w:tr>
        <w:trPr>
          <w:trHeight w:val="190"/>
        </w:trPr>
        <w:tc>
          <w:tcPr>
            <w:tcW w:w="4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13,500,001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$ 1,500,000</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$(3,500,000)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$ 379,166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14,932,921</w:t>
            </w:r>
          </w:p>
        </w:tc>
        <w:tc>
          <w:tcPr>
            <w:tcW w:w="38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399,100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15,411,184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25,740,212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(366,901)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27,841,530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54,173,134</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$ 1,836,342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(3,866,901)</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$ 981,193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54,752,714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Three Months</w:t>
            </w:r>
          </w:p>
        </w:tc>
        <w:tc>
          <w:tcPr>
            <w:tcW w:w="760" w:type="dxa"/>
            <w:vAlign w:val="bottom"/>
          </w:tcPr>
          <w:p>
            <w:pPr>
              <w:spacing w:after="0"/>
              <w:rPr>
                <w:sz w:val="12"/>
                <w:szCs w:val="12"/>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Three Months</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rPr>
                <w:sz w:val="20"/>
                <w:szCs w:val="20"/>
                <w:color w:val="auto"/>
              </w:rPr>
            </w:pPr>
            <w:r>
              <w:rPr>
                <w:rFonts w:ascii="Arial" w:cs="Arial" w:eastAsia="Arial" w:hAnsi="Arial"/>
                <w:sz w:val="13"/>
                <w:szCs w:val="13"/>
                <w:b w:val="1"/>
                <w:bCs w:val="1"/>
                <w:color w:val="auto"/>
                <w:w w:val="95"/>
              </w:rPr>
              <w:t>Ended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612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76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2011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15,845,524</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25,522,223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45,689,781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36,218,991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Schedules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positions on a net cash basis after quarter-end, temporarily drawing down on the Credit Facility, or utilizing repurchase agreements or other balance sheet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6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2011 and September 30, 2011, cash equivalents consisted of $42.1 million and $71.6 million, including amounts in money market funds,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460" w:firstLine="449"/>
        <w:spacing w:after="0" w:line="331" w:lineRule="auto"/>
        <w:rPr>
          <w:sz w:val="20"/>
          <w:szCs w:val="20"/>
          <w:color w:val="auto"/>
        </w:rPr>
      </w:pPr>
      <w:r>
        <w:rPr>
          <w:rFonts w:ascii="Arial" w:cs="Arial" w:eastAsia="Arial" w:hAnsi="Arial"/>
          <w:sz w:val="16"/>
          <w:szCs w:val="16"/>
          <w:color w:val="auto"/>
        </w:rPr>
        <w:t>Our net assets and net asset value per share on December 31, 2011 and 2010 were $465.7 million and $403.4 million, respectively, and $10.19 and $11.14, respectively. Below are the financial highlights for the three months ended December 31, 2011 and 2010.</w:t>
      </w:r>
    </w:p>
    <w:p>
      <w:pPr>
        <w:spacing w:after="0" w:line="12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Three Months</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6"/>
              </w:rPr>
              <w:t>Three Months</w:t>
            </w:r>
          </w:p>
        </w:tc>
      </w:tr>
      <w:tr>
        <w:trPr>
          <w:trHeight w:val="148"/>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Ended</w:t>
            </w:r>
          </w:p>
        </w:tc>
      </w:tr>
      <w:tr>
        <w:trPr>
          <w:trHeight w:val="161"/>
        </w:trPr>
        <w:tc>
          <w:tcPr>
            <w:tcW w:w="59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December 31, 2011</w:t>
            </w:r>
          </w:p>
        </w:tc>
        <w:tc>
          <w:tcPr>
            <w:tcW w:w="1280" w:type="dxa"/>
            <w:vAlign w:val="bottom"/>
            <w:gridSpan w:val="3"/>
          </w:tcPr>
          <w:p>
            <w:pPr>
              <w:spacing w:after="0"/>
              <w:rPr>
                <w:sz w:val="20"/>
                <w:szCs w:val="20"/>
                <w:color w:val="auto"/>
              </w:rPr>
            </w:pPr>
            <w:r>
              <w:rPr>
                <w:rFonts w:ascii="Arial" w:cs="Arial" w:eastAsia="Arial" w:hAnsi="Arial"/>
                <w:sz w:val="13"/>
                <w:szCs w:val="13"/>
                <w:b w:val="1"/>
                <w:bCs w:val="1"/>
                <w:color w:val="auto"/>
              </w:rPr>
              <w:t>December 31, 2010</w:t>
            </w: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Pr>
          <w:p>
            <w:pPr>
              <w:spacing w:after="0"/>
              <w:rPr>
                <w:sz w:val="18"/>
                <w:szCs w:val="18"/>
                <w:color w:val="auto"/>
              </w:rPr>
            </w:pPr>
          </w:p>
        </w:tc>
      </w:tr>
      <w:tr>
        <w:trPr>
          <w:trHeight w:val="28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( 1)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24"/>
                <w:szCs w:val="24"/>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 xml:space="preserve">Dividends to stockholders </w:t>
            </w:r>
            <w:r>
              <w:rPr>
                <w:rFonts w:ascii="Arial" w:cs="Arial" w:eastAsia="Arial" w:hAnsi="Arial"/>
                <w:sz w:val="11"/>
                <w:szCs w:val="11"/>
                <w:color w:val="auto"/>
              </w:rPr>
              <w:t>(1), (2)</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19"/>
                <w:szCs w:val="19"/>
                <w:color w:val="auto"/>
              </w:rPr>
            </w:pPr>
          </w:p>
        </w:tc>
      </w:tr>
      <w:tr>
        <w:trPr>
          <w:trHeight w:val="21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45,689,781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36,223,950</w:t>
            </w:r>
          </w:p>
        </w:tc>
        <w:tc>
          <w:tcPr>
            <w:tcW w:w="2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88"/>
              </w:rPr>
              <w:t>Ratio of Credit Facility and SBA debentures related expenses to average net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11.17%</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465,709,582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403,390,962</w:t>
            </w:r>
          </w:p>
        </w:tc>
        <w:tc>
          <w:tcPr>
            <w:tcW w:w="2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360,666,304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290,552,174</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40" w:firstLine="8"/>
        <w:spacing w:after="0" w:line="285" w:lineRule="auto"/>
        <w:tabs>
          <w:tab w:leader="none" w:pos="44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240" w:hanging="452"/>
        <w:spacing w:after="0" w:line="26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4" w:lineRule="exact"/>
        <w:rPr>
          <w:sz w:val="20"/>
          <w:szCs w:val="20"/>
          <w:color w:val="auto"/>
        </w:rPr>
      </w:pPr>
    </w:p>
    <w:p>
      <w:pPr>
        <w:ind w:right="7320" w:firstLine="8"/>
        <w:spacing w:after="0" w:line="347" w:lineRule="auto"/>
        <w:tabs>
          <w:tab w:leader="none" w:pos="26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FACILITY AND SBA DEBENTURES </w:t>
      </w:r>
      <w:r>
        <w:rPr>
          <w:rFonts w:ascii="Arial" w:cs="Arial" w:eastAsia="Arial" w:hAnsi="Arial"/>
          <w:sz w:val="18"/>
          <w:szCs w:val="18"/>
          <w:b w:val="1"/>
          <w:bCs w:val="1"/>
          <w:i w:val="1"/>
          <w:iCs w:val="1"/>
          <w:color w:val="auto"/>
        </w:rPr>
        <w:t>Credit Facility</w:t>
      </w:r>
    </w:p>
    <w:p>
      <w:pPr>
        <w:spacing w:after="0" w:line="1"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or the Credit Facility, among us, various lenders and SunTrust Bank, as administrative agent for the lenders. As of December 31, 2011 and September 30, 2011, there was $192.0 million and $240.9 million, respectively, in outstanding borrowings under the Credit Facility, with a weighted average interest rate at the time of 1.28% and 1.27% exclusive of the fee on undrawn commitments of 0.20%, respectively.</w:t>
      </w:r>
    </w:p>
    <w:p>
      <w:pPr>
        <w:spacing w:after="0" w:line="14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Under our Credit Facility, the lenders agreed to extend credit to us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w:t>
      </w:r>
    </w:p>
    <w:p>
      <w:pPr>
        <w:sectPr>
          <w:pgSz w:w="11900" w:h="16838" w:orient="portrait"/>
          <w:cols w:equalWidth="0" w:num="1">
            <w:col w:w="11200"/>
          </w:cols>
          <w:pgMar w:left="320" w:top="459" w:right="379" w:bottom="1440" w:gutter="0" w:footer="0" w:header="0"/>
        </w:sectPr>
      </w:pP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320" w:top="459" w:right="3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6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In accordance with the 1940 Act, with certain limited exceptions, we are only allowed to borrow amounts such that its asset coverage, as defined in the 1940 Act, is at least 200% after such borrowing, excluding SBA Debentures, pursuant to exemptive relief from the Securities and Exchange Commission, or SEC. For a complete list of such covenants, see our report on Form 8-K, filed June 28, 2007 and on Form 10-Q, filed May 5, 2010. As of December 31, 2011, we were in compliance with our covenants relating to our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SBIC LP is able to borrow funds from the Small Business Administration, or SBA, against regulatory capital (which approximates equity capital) that is paid-in and is subject to customary regulatory requirements. We had committed and funded SBIC LP with $75.0 million of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SBIC LP has accessed the maximum borrowing with its $75.0 million in regulatory capital.</w:t>
      </w:r>
    </w:p>
    <w:p>
      <w:pPr>
        <w:spacing w:after="0" w:line="12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As of December 31, 2011, $150.0 million in debt commitments were fully drawn with a weighted average interest rate of 3.70% exclusive of the 3.43% in upfront fees (4.04% inclusive of the upfront fees). The SBA debentures upfront fees of 3.43% consist of a commitment fee of 1.00% and an issuance at a</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2.43% discount to face. Both fees are amortized over the lives of the loans. Our fixed rate SBA debentures as of December 31, 2011 and September 30, 2011 are as follows:</w:t>
      </w:r>
    </w:p>
    <w:p>
      <w:pPr>
        <w:spacing w:after="0" w:line="174"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All-in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Coupon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4"/>
              </w:rPr>
              <w:t>Principal</w:t>
            </w:r>
          </w:p>
        </w:tc>
      </w:tr>
      <w:tr>
        <w:trPr>
          <w:trHeight w:val="182"/>
        </w:trPr>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Issuance Dates</w:t>
            </w:r>
          </w:p>
        </w:tc>
        <w:tc>
          <w:tcPr>
            <w:tcW w:w="210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Arial" w:cs="Arial" w:eastAsia="Arial" w:hAnsi="Arial"/>
                <w:sz w:val="13"/>
                <w:szCs w:val="13"/>
                <w:b w:val="1"/>
                <w:bCs w:val="1"/>
                <w:color w:val="auto"/>
              </w:rPr>
              <w:t>Maturity</w:t>
            </w:r>
          </w:p>
        </w:tc>
        <w:tc>
          <w:tcPr>
            <w:tcW w:w="380" w:type="dxa"/>
            <w:vAlign w:val="bottom"/>
          </w:tcPr>
          <w:p>
            <w:pPr>
              <w:spacing w:after="0"/>
              <w:rPr>
                <w:sz w:val="15"/>
                <w:szCs w:val="15"/>
                <w:color w:val="auto"/>
              </w:rPr>
            </w:pPr>
          </w:p>
        </w:tc>
        <w:tc>
          <w:tcPr>
            <w:tcW w:w="820" w:type="dxa"/>
            <w:vAlign w:val="bottom"/>
            <w:gridSpan w:val="2"/>
          </w:tcPr>
          <w:p>
            <w:pPr>
              <w:jc w:val="center"/>
              <w:ind w:right="360"/>
              <w:spacing w:after="0" w:line="162"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8"/>
                <w:szCs w:val="18"/>
                <w:b w:val="1"/>
                <w:bCs w:val="1"/>
                <w:color w:val="auto"/>
                <w:vertAlign w:val="superscript"/>
              </w:rPr>
              <w:t>(1)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Balance</w:t>
            </w:r>
          </w:p>
        </w:tc>
      </w:tr>
      <w:tr>
        <w:trPr>
          <w:trHeight w:val="122"/>
        </w:trPr>
        <w:tc>
          <w:tcPr>
            <w:tcW w:w="8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8"/>
              </w:rPr>
              <w:t>Fixed Rate SBA</w:t>
            </w:r>
          </w:p>
        </w:tc>
        <w:tc>
          <w:tcPr>
            <w:tcW w:w="820" w:type="dxa"/>
            <w:vAlign w:val="bottom"/>
          </w:tcPr>
          <w:p>
            <w:pPr>
              <w:ind w:left="60"/>
              <w:spacing w:after="0" w:line="122" w:lineRule="exact"/>
              <w:rPr>
                <w:sz w:val="20"/>
                <w:szCs w:val="20"/>
                <w:color w:val="auto"/>
              </w:rPr>
            </w:pPr>
            <w:r>
              <w:rPr>
                <w:rFonts w:ascii="Arial" w:cs="Arial" w:eastAsia="Arial" w:hAnsi="Arial"/>
                <w:sz w:val="13"/>
                <w:szCs w:val="13"/>
                <w:b w:val="1"/>
                <w:bCs w:val="1"/>
                <w:color w:val="auto"/>
              </w:rPr>
              <w:t>Debentures</w:t>
            </w:r>
          </w:p>
        </w:tc>
        <w:tc>
          <w:tcPr>
            <w:tcW w:w="21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34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86"/>
              </w:rPr>
              <w:t>September 1, 2020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420" w:type="dxa"/>
            <w:vAlign w:val="bottom"/>
            <w:gridSpan w:val="2"/>
          </w:tcPr>
          <w:p>
            <w:pPr>
              <w:ind w:left="2080"/>
              <w:spacing w:after="0"/>
              <w:rPr>
                <w:sz w:val="20"/>
                <w:szCs w:val="20"/>
                <w:color w:val="auto"/>
              </w:rPr>
            </w:pPr>
            <w:r>
              <w:rPr>
                <w:rFonts w:ascii="Arial" w:cs="Arial" w:eastAsia="Arial" w:hAnsi="Arial"/>
                <w:sz w:val="18"/>
                <w:szCs w:val="18"/>
                <w:color w:val="auto"/>
              </w:rPr>
              <w:t>March 1, 2021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4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86"/>
              </w:rPr>
              <w:t>September 1, 2021</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76835</wp:posOffset>
            </wp:positionV>
            <wp:extent cx="7454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134" w:lineRule="exact"/>
        <w:rPr>
          <w:sz w:val="20"/>
          <w:szCs w:val="20"/>
          <w:color w:val="auto"/>
        </w:rPr>
      </w:pPr>
    </w:p>
    <w:p>
      <w:pPr>
        <w:ind w:left="2280" w:hanging="470"/>
        <w:spacing w:after="0"/>
        <w:tabs>
          <w:tab w:leader="none" w:pos="2280" w:val="left"/>
        </w:tabs>
        <w:numPr>
          <w:ilvl w:val="0"/>
          <w:numId w:val="11"/>
        </w:numPr>
        <w:rPr>
          <w:rFonts w:ascii="Arial" w:cs="Arial" w:eastAsia="Arial" w:hAnsi="Arial"/>
          <w:sz w:val="11"/>
          <w:szCs w:val="11"/>
          <w:color w:val="auto"/>
        </w:rPr>
      </w:pPr>
      <w:r>
        <w:rPr>
          <w:rFonts w:ascii="Arial" w:cs="Arial" w:eastAsia="Arial" w:hAnsi="Arial"/>
          <w:sz w:val="18"/>
          <w:szCs w:val="18"/>
          <w:color w:val="auto"/>
        </w:rPr>
        <w:t>Excluding 3.43% of upfront fees.</w:t>
      </w:r>
    </w:p>
    <w:p>
      <w:pPr>
        <w:spacing w:after="0" w:line="18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U.S.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December 31, 2011, SBIC LP was in compliance with our requirements relating to our SBA debentures.</w:t>
      </w:r>
    </w:p>
    <w:p>
      <w:pPr>
        <w:spacing w:after="0" w:line="124"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6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right="26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Subsequent to December 31, 2011, we completed a public offering of 10,350,000 shares of common stock, including the underwriters’ over-allotment option, at a public offering price of $10.55 per share, raising approximately $109,192,500 in gross proceeds.</w:t>
      </w:r>
    </w:p>
    <w:p>
      <w:pPr>
        <w:spacing w:after="0" w:line="13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are currently in discussions with our existing lenders and others to amend and restate our existing $315.0 million senior secured revolving Credit Facility which is scheduled to mature in June of this year. We currently expect the amended and restated credit facility to be at least $350 million, priced at LIBOR +275 with an unused fee of 50 basis points, to have a four-year maturity, with a one-year term out period following its third year, to have the same security to the same extent as in place for our existing Credit Facility and to include customary covenants, including a minimum asset coverage and minimum equity covenant. The amended and restated credit facility is not fully committed and the size and terms of such credit facility remain subject to change. Further, no assurances can be given that we will successfully enter into such an amended and restated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December 31, 2011, Standard and Poor’s Ratings Services and Fitch Ratings Services assigned us an investment grade rating of BBB-.</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December 31, 2011, we have invested $73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schedules of investments, as of December 31, 2011, and the consolidated statements of operations, changes in net assets, and cash flows for the three month periods ended December 31, 2011 and 2010. These interim consolidated financial statements are the responsibility of the Company’s management.</w:t>
      </w:r>
    </w:p>
    <w:p>
      <w:pPr>
        <w:spacing w:after="0" w:line="14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2011; and in our report dated November 16, 2011,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42620" cy="111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2620" cy="11112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right="720" w:hanging="319"/>
        <w:spacing w:after="0" w:line="26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PennantPark Investment Advisers, LLC, or the Investment Adviser, to locate suitable investments for us and to monitor and administer our investments.</w:t>
      </w:r>
    </w:p>
    <w:p>
      <w:pPr>
        <w:spacing w:after="0" w:line="13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Securities and Exchange Commission, or SEC, including reports on Form 10-Q/K and current reports on Form 8-K.</w:t>
      </w:r>
    </w:p>
    <w:p>
      <w:pPr>
        <w:spacing w:after="0" w:line="14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or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PennantPark Investment Corporation is a business development company, or BDC, whose objectives are to generate both current income and capital appreciation through debt and equity investments primarily in U.S. middle-market companies in the form of senior secured loans, mezzanine debt and equity investments.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senior secured revolving credit facility, or the Credit Facility, the SBA debentures, proceeds from the rotation of our portfolio, proceeds from public and private offerings of securities to finance our investment objectives.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Investment Corporation</w:t>
      </w:r>
    </w:p>
    <w:p>
      <w:pPr>
        <w:spacing w:after="0" w:line="9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Investment Company Act of 1940, as amended, or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regulated investment company, or RIC, and qualify annually under the Internal Revenue Code of 1986, as amended, or the Code.</w:t>
      </w:r>
    </w:p>
    <w:p>
      <w:pPr>
        <w:spacing w:after="0" w:line="147" w:lineRule="exact"/>
        <w:rPr>
          <w:sz w:val="20"/>
          <w:szCs w:val="20"/>
          <w:color w:val="auto"/>
        </w:rPr>
      </w:pPr>
    </w:p>
    <w:p>
      <w:pPr>
        <w:ind w:right="240" w:firstLine="449"/>
        <w:spacing w:after="0" w:line="323" w:lineRule="auto"/>
        <w:rPr>
          <w:sz w:val="20"/>
          <w:szCs w:val="20"/>
          <w:color w:val="auto"/>
        </w:rPr>
      </w:pPr>
      <w:r>
        <w:rPr>
          <w:rFonts w:ascii="Arial" w:cs="Arial" w:eastAsia="Arial" w:hAnsi="Arial"/>
          <w:sz w:val="15"/>
          <w:szCs w:val="15"/>
          <w:color w:val="auto"/>
        </w:rPr>
        <w:t>Our wholly owned subsidiary, SBIC LP was organized as a Delaware limited partnership in May 2010 and received a license from the Small Business Administration, or the SBA, to operate as a small business investment company, or SBIC, under Section 301(c) of the Small Business Investment Company Act of 1958, as amended, or the 1958 Act, in July 2010.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9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with the Investment Adviser, or the Investment Management Agreement, we have agreed to pay our Investment Adviser an annual base management fee based 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or the Administration Agreement, with PennantPark Investment Administration LLC, or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the Investment Adviser, supervise our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80" w:hanging="319"/>
        <w:spacing w:after="0" w:line="26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right="160" w:hanging="319"/>
        <w:spacing w:after="0" w:line="26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50" w:lineRule="exact"/>
        <w:rPr>
          <w:rFonts w:ascii="Arial" w:cs="Arial" w:eastAsia="Arial" w:hAnsi="Arial"/>
          <w:sz w:val="18"/>
          <w:szCs w:val="18"/>
          <w:color w:val="auto"/>
        </w:rPr>
      </w:pPr>
    </w:p>
    <w:p>
      <w:pPr>
        <w:ind w:left="880" w:right="120" w:hanging="319"/>
        <w:spacing w:after="0" w:line="25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of December 31, 2011, our portfolio totaled $810.4 million and consisted of $262.1 million of senior secured loans, $162.4 million of second lien secured debt, $316.6 million of subordinated debt and $69.3 million of preferred and common equity investments. Our portfolio consisted of 63% fixed-rate and 37% variable-rate investments (including 29% with a London Interbank Offered Rate, or LIBOR, or prime floor). On December 31, 2011, we had two non-accrual debt investments, representing 1.5% of our overall portfolio on a fair value basis and 4.8% of our overall portfolio on a cost basis. Our overall portfolio consisted of 46 companies with an average investment size of $17.6 million, a weighted average yield on debt investments of 13.2%, and was invested 32% in senior secured loans, 20% in second lien secured debt, 39% in subordinated debt and 9% in preferred and common equity investments.</w:t>
      </w:r>
    </w:p>
    <w:p>
      <w:pPr>
        <w:spacing w:after="0" w:line="120"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investments and 39% variable-rate investments (including 31% with a LIBOR or prime floor).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5"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For the three months ended December 31, 2011, we invested $43.0 million in one new portfolio company and seven existing portfolio companies with a weighted average yield on debt investments of 16.4%. Sales and repayments of long-term investments for the three months ended December 31, 2011 totaled $69.3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For the three months ended December 31, 2010, we invested $99.9 million in six new portfolio companies and one existing portfolio company with a weighted average yield on debt investments of 15.0% (yield on debt investments, excluding value of attached equity, was 14.0%). Sales and repayments of long term investments for the three months ended December 31, 2010 totaled $85.5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7"/>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00" w:hanging="447"/>
        <w:spacing w:after="0" w:line="33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Fair value, as defined under Accounting Standards Codification,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98"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6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6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140" w:firstLine="449"/>
        <w:spacing w:after="0" w:line="253"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of an investment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80" w:firstLine="449"/>
        <w:spacing w:after="0" w:line="323" w:lineRule="auto"/>
        <w:rPr>
          <w:sz w:val="20"/>
          <w:szCs w:val="20"/>
          <w:color w:val="auto"/>
        </w:rPr>
      </w:pPr>
      <w:r>
        <w:rPr>
          <w:rFonts w:ascii="Arial" w:cs="Arial" w:eastAsia="Arial" w:hAnsi="Arial"/>
          <w:sz w:val="15"/>
          <w:szCs w:val="15"/>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quarter ended December 31, 2011, our ability to observe valuation inputs has not resulted in a reclassification of assets from Level 3. There were no investments transferred between Level 1 and 2 during the same period.</w:t>
      </w:r>
    </w:p>
    <w:p>
      <w:pPr>
        <w:spacing w:after="0" w:line="9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140" w:lineRule="exact"/>
        <w:rPr>
          <w:sz w:val="20"/>
          <w:szCs w:val="20"/>
          <w:color w:val="auto"/>
        </w:rPr>
      </w:pPr>
    </w:p>
    <w:p>
      <w:pPr>
        <w:ind w:right="80" w:firstLine="449"/>
        <w:spacing w:after="0" w:line="307" w:lineRule="auto"/>
        <w:rPr>
          <w:sz w:val="20"/>
          <w:szCs w:val="20"/>
          <w:color w:val="auto"/>
        </w:rPr>
      </w:pPr>
      <w:r>
        <w:rPr>
          <w:rFonts w:ascii="Arial" w:cs="Arial" w:eastAsia="Arial" w:hAnsi="Arial"/>
          <w:sz w:val="15"/>
          <w:szCs w:val="15"/>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months ended December 31, 2011 and 2010, our Credit Facility had a net change in unrealized appreciation of $1.1 million and $6.6 million, respectively. As of December 31, 2011 and September 30, 2011, net unrealized depreciation on our Credit Facility totaled $1.0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90" w:lineRule="exact"/>
        <w:rPr>
          <w:sz w:val="20"/>
          <w:szCs w:val="20"/>
          <w:color w:val="auto"/>
        </w:rPr>
      </w:pPr>
    </w:p>
    <w:p>
      <w:pPr>
        <w:jc w:val="both"/>
        <w:ind w:right="40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1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2011 and 2010,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Investment income for the three months ended December 31, 2011 was $26.8 million and was primarily attributable to $11.0 million from senior secured loans, $4.1 million from second lien secured debt investments and $11.7 million from subordinated debt investments. This compares to investment income for the three months ended December 31, 2010, which was $20.0 million, and was primarily attributable to $8.7 million from senior secured loans, $3.4 million from second lien secured debt investments and $7.9 million from subordinated debt investments. The increase in investment income compared with the same period in the prior year is due to the growth of our portfolio, rotation out of our lower yielding investments and other income associated with our investments.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Expenses for the three months ended December 31, 2011 totaled $11.8 million. Base management fees for the same period totaled $4.0 million, performance-based incentive fees totaled $3.7 million, Credit Facility and SBA debentures related interest and expenses totaled $2.4 million and general and administrative expenses totaled $1.7 million. This compares to expenses for the three months ended December 31, 2010, which totaled $8.8 million. Base management fees for the same period totaled $3.5 million, performance-based incentive fees totaled $2.8 million, Credit Facility and SBA debentures related expenses totaled $1.1 million, general and administrative expenses totaled $1.3 million and excise taxes totaled $0.1 million. The increase in expenses is due to the growth of the portfolio and net investment income as well as the higher cost of debt capital.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100" w:firstLine="449"/>
        <w:spacing w:after="0" w:line="369" w:lineRule="auto"/>
        <w:rPr>
          <w:sz w:val="20"/>
          <w:szCs w:val="20"/>
          <w:color w:val="auto"/>
        </w:rPr>
      </w:pPr>
      <w:r>
        <w:rPr>
          <w:rFonts w:ascii="Arial" w:cs="Arial" w:eastAsia="Arial" w:hAnsi="Arial"/>
          <w:sz w:val="15"/>
          <w:szCs w:val="15"/>
          <w:color w:val="auto"/>
        </w:rPr>
        <w:t>Net investment income totaled $15.0 million, or $0.33 per share, for the three months ended December 31, 2011, and $11.2 million, or $0.31 per share, for the three months ended December 31, 2010. The increase in per share net investment income over the periods was the result of the growth of our portfolio.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Sales and repayments of long-term investments for the three months ended December 31, 2011 totaled $69.3 million and realized losses totaled $8.0 million due to sales of our debt investments. Sales and repayments of long-term investments totaled $85.5 million and net realized gains totaled $2.3 million for the three months ended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For the three months ended December 31, 2011 and 2010, we reported unrealized appreciation of $10.0 million and $18.7 million, respectively. The change from the prior year was the result of changes in the leveraged credit markets. On December 31, 2011 and September 30, 2011, net unrealized depreciation on investments totaled $28.7 million and $38.8 million, respectively.</w:t>
      </w:r>
    </w:p>
    <w:p>
      <w:pPr>
        <w:spacing w:after="0" w:line="14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For the three months ended December 31, 2011 and 2010, our Credit Facility value increased by $1.1 million and $6.6 million, respectively. The change from prior year was primarily the result of the Credit Facility approaching maturity. On December 31, 2011 and September 30, 2011, net unrealized depreciation on our Credit Facility totaled $1.0 million and $2.1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340" w:firstLine="449"/>
        <w:spacing w:after="0" w:line="298" w:lineRule="auto"/>
        <w:rPr>
          <w:sz w:val="20"/>
          <w:szCs w:val="20"/>
          <w:color w:val="auto"/>
        </w:rPr>
      </w:pPr>
      <w:r>
        <w:rPr>
          <w:rFonts w:ascii="Arial" w:cs="Arial" w:eastAsia="Arial" w:hAnsi="Arial"/>
          <w:sz w:val="16"/>
          <w:szCs w:val="16"/>
          <w:color w:val="auto"/>
        </w:rPr>
        <w:t>Net increase in net assets resulting from operations totaled $15.8 million, or $0.34 per share, for the three months ended December 31, 2011. This compares to a net increase in net assets resulting from operations which totaled $25.5 million, or $0.71 per share, for the three months ended December 31, 2010. This decrease in net assets from operations is due to the continued growth in net investment income as a result of growing our portfolio, offset by the appreciation in the value of our Credit Facility as it approaches maturity and depreciation of our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1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private offerings of securities, by securitizing a portion of our investments, among other sources. Any future additional debt capital we incur, to the extent it is available under current credit market conditions, will be issued at a higher cost and on less favorable terms and conditions than our current Credit Facility. We continuously monitor conditions in the credit markets and seek opportunities to enhance our debt structure considering our Credit Facility matures in June 2012. We are in advanced discussions with lenders regarding a new Credit Facility to replace our existing Credit Facility, which matures in June 2012. Furthermore, our Credit Facility availability depends on various covenants and restrictions as discussed below. The primary use of existing funds and any funds raised in the future is expected to be for repayment of indebtedness, investments in portfolio companies, cash distributions to our shareholders or for other general corporate purposes. See “Recent Developments” for more information.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firstLine="449"/>
        <w:spacing w:after="0" w:line="256" w:lineRule="auto"/>
        <w:rPr>
          <w:sz w:val="20"/>
          <w:szCs w:val="20"/>
          <w:color w:val="auto"/>
        </w:rPr>
      </w:pPr>
      <w:r>
        <w:rPr>
          <w:rFonts w:ascii="Arial" w:cs="Arial" w:eastAsia="Arial" w:hAnsi="Arial"/>
          <w:sz w:val="18"/>
          <w:szCs w:val="18"/>
          <w:color w:val="auto"/>
        </w:rPr>
        <w:t>On June 25, 2007, we entered into the Credit Facility, with various lenders and SunTrust Bank, as administrative agent for the lenders. As of December 31, 2011 and September 30, 2011, we had outstanding borrowings of $192.0 million and $240.9 million under the Credit Facility, with a weighted average interest rate of 1.28% and 1.27%, exclusive of the fee on undrawn commitment of 0.20%, and $123.0 million and $74.1 million of unused borrowing capacity, respectively.</w:t>
      </w:r>
    </w:p>
    <w:p>
      <w:pPr>
        <w:spacing w:after="0" w:line="143"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$315.0 million outstanding at any one time. The Credit Facility is a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Our Credit Facility contains affirmative and restrictive covenants, including maintenance of a minimum shareholders’ equity of the greater of (i) 40% of the total assets of PennantPark Investment and its subsidiaries as of the last day of any fiscal quarter and (ii) the sum of (A) $120,000,000 plus (B) 25% of the net proceeds from the sale of equity interests in us and our subsidiaries after the closing date of the Credit Facility and maintenance of a ratio of total assets (less total liabilities other than indebtedness) to total indebtedness, in each case of PennantPark Investment, of not less than 2.0:1.0 (excluding, in such computation,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December 31, 2011, we were in compliance with the terms of our Credit Facility.</w:t>
      </w:r>
    </w:p>
    <w:p>
      <w:pPr>
        <w:spacing w:after="0" w:line="124"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accordance with the 1940 Act, with certain limited exceptions, the PennantPark Investment is only allowed to borrow amounts such that its asset coverage, as defined in the 1940 Act, is at least 200% after such borrowing. As of December 31, 2011, we have excluded the SBA debentures from our asset coverage ratio pursuant to SEC exemptive relief.</w:t>
      </w:r>
    </w:p>
    <w:p>
      <w:pPr>
        <w:spacing w:after="0" w:line="14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For the three months ended December 31, 2011 and December 31, 2010, we did not sell any shares of common stock below the then current NAV per share.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We have committed and funded SBIC LP with $75.0 million of equity capital, and had SBA debentures outstanding of $150.0 million. We had $41.1 million of cash in SBIC LP as of December 31, 2011.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regulatory capital.</w:t>
      </w:r>
    </w:p>
    <w:p>
      <w:pPr>
        <w:spacing w:after="0" w:line="144" w:lineRule="exact"/>
        <w:rPr>
          <w:sz w:val="20"/>
          <w:szCs w:val="20"/>
          <w:color w:val="auto"/>
        </w:rPr>
      </w:pPr>
    </w:p>
    <w:p>
      <w:pPr>
        <w:ind w:right="100" w:firstLine="449"/>
        <w:spacing w:after="0" w:line="285" w:lineRule="auto"/>
        <w:rPr>
          <w:sz w:val="20"/>
          <w:szCs w:val="20"/>
          <w:color w:val="auto"/>
        </w:rPr>
      </w:pPr>
      <w:r>
        <w:rPr>
          <w:rFonts w:ascii="Arial" w:cs="Arial" w:eastAsia="Arial" w:hAnsi="Arial"/>
          <w:sz w:val="16"/>
          <w:szCs w:val="16"/>
          <w:color w:val="auto"/>
        </w:rPr>
        <w:t>As of December 31, 2011, $150.0 million in debt commitments were fully drawn with a weighted average interest rate of 3.70% exclusive of the 3.43% in upfront fees (4.04% inclusive of the upfront fees). The SBA debentures upfront fees of 3.43% consist of a commitment fee of 1.00% and an issuance at a</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2.43% discount to face. Both fees are amortized over the lives of the loans. Our fixed rate SBA debentures as of December 31, 2011 and September 30, 2011 are as follows:</w:t>
      </w:r>
    </w:p>
    <w:p>
      <w:pPr>
        <w:spacing w:after="0" w:line="174" w:lineRule="exact"/>
        <w:rPr>
          <w:sz w:val="20"/>
          <w:szCs w:val="20"/>
          <w:color w:val="auto"/>
        </w:rPr>
      </w:pPr>
    </w:p>
    <w:tbl>
      <w:tblPr>
        <w:tblLayout w:type="fixed"/>
        <w:tblInd w:w="18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All-in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80" w:type="dxa"/>
            <w:vAlign w:val="bottom"/>
            <w:gridSpan w:val="3"/>
          </w:tcPr>
          <w:p>
            <w:pPr>
              <w:jc w:val="center"/>
              <w:ind w:left="19"/>
              <w:spacing w:after="0" w:line="134" w:lineRule="exact"/>
              <w:rPr>
                <w:sz w:val="20"/>
                <w:szCs w:val="20"/>
                <w:color w:val="auto"/>
              </w:rPr>
            </w:pPr>
            <w:r>
              <w:rPr>
                <w:rFonts w:ascii="Arial" w:cs="Arial" w:eastAsia="Arial" w:hAnsi="Arial"/>
                <w:sz w:val="13"/>
                <w:szCs w:val="13"/>
                <w:b w:val="1"/>
                <w:bCs w:val="1"/>
                <w:color w:val="auto"/>
                <w:w w:val="93"/>
              </w:rPr>
              <w:t>Coupon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4"/>
              </w:rPr>
              <w:t>Principal</w:t>
            </w:r>
          </w:p>
        </w:tc>
      </w:tr>
      <w:tr>
        <w:trPr>
          <w:trHeight w:val="182"/>
        </w:trPr>
        <w:tc>
          <w:tcPr>
            <w:tcW w:w="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Issuance Dates</w:t>
            </w:r>
          </w:p>
        </w:tc>
        <w:tc>
          <w:tcPr>
            <w:tcW w:w="198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3"/>
                <w:szCs w:val="13"/>
                <w:b w:val="1"/>
                <w:bCs w:val="1"/>
                <w:color w:val="auto"/>
              </w:rPr>
              <w:t>Maturity</w:t>
            </w:r>
          </w:p>
        </w:tc>
        <w:tc>
          <w:tcPr>
            <w:tcW w:w="480" w:type="dxa"/>
            <w:vAlign w:val="bottom"/>
          </w:tcPr>
          <w:p>
            <w:pPr>
              <w:spacing w:after="0"/>
              <w:rPr>
                <w:sz w:val="15"/>
                <w:szCs w:val="15"/>
                <w:color w:val="auto"/>
              </w:rPr>
            </w:pPr>
          </w:p>
        </w:tc>
        <w:tc>
          <w:tcPr>
            <w:tcW w:w="800" w:type="dxa"/>
            <w:vAlign w:val="bottom"/>
            <w:gridSpan w:val="2"/>
          </w:tcPr>
          <w:p>
            <w:pPr>
              <w:jc w:val="center"/>
              <w:ind w:right="360"/>
              <w:spacing w:after="0" w:line="162"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8"/>
                <w:szCs w:val="18"/>
                <w:b w:val="1"/>
                <w:bCs w:val="1"/>
                <w:color w:val="auto"/>
                <w:vertAlign w:val="superscript"/>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Balance</w:t>
            </w:r>
          </w:p>
        </w:tc>
      </w:tr>
      <w:tr>
        <w:trPr>
          <w:trHeight w:val="122"/>
        </w:trPr>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3"/>
                <w:szCs w:val="13"/>
                <w:b w:val="1"/>
                <w:bCs w:val="1"/>
                <w:color w:val="auto"/>
                <w:w w:val="88"/>
              </w:rPr>
              <w:t>Fixed Rate SBA</w:t>
            </w:r>
          </w:p>
        </w:tc>
        <w:tc>
          <w:tcPr>
            <w:tcW w:w="820" w:type="dxa"/>
            <w:vAlign w:val="bottom"/>
            <w:tcBorders>
              <w:bottom w:val="single" w:sz="8" w:color="auto"/>
            </w:tcBorders>
            <w:gridSpan w:val="2"/>
          </w:tcPr>
          <w:p>
            <w:pPr>
              <w:ind w:left="60"/>
              <w:spacing w:after="0" w:line="122" w:lineRule="exact"/>
              <w:rPr>
                <w:sz w:val="20"/>
                <w:szCs w:val="20"/>
                <w:color w:val="auto"/>
              </w:rPr>
            </w:pPr>
            <w:r>
              <w:rPr>
                <w:rFonts w:ascii="Arial" w:cs="Arial" w:eastAsia="Arial" w:hAnsi="Arial"/>
                <w:sz w:val="13"/>
                <w:szCs w:val="13"/>
                <w:b w:val="1"/>
                <w:bCs w:val="1"/>
                <w:color w:val="auto"/>
              </w:rPr>
              <w:t>Debentures</w:t>
            </w:r>
          </w:p>
        </w:tc>
        <w:tc>
          <w:tcPr>
            <w:tcW w:w="19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9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September 1, 2020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19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March 1, 2021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9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September 1, 2021</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2240" w:hanging="437"/>
        <w:spacing w:after="0"/>
        <w:tabs>
          <w:tab w:leader="none" w:pos="2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3.43% of upfront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U.S. GAAP (for example, fair value, as defined under ASC 820, is not required to be used for assets or liabilities for such compliance reporting). As of December 31, 2011, SBIC LP was in compliance with its regulatory requirements.</w:t>
      </w:r>
    </w:p>
    <w:p>
      <w:pPr>
        <w:spacing w:after="0" w:line="120"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color w:val="auto"/>
        </w:rPr>
        <w:t>On June 1, 2011, we received exemptive relief from the SEC allowing us to modify the asset coverage ratio requirement to exclude the SBA debentures from our asset coverage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6" w:lineRule="exact"/>
        <w:rPr>
          <w:sz w:val="20"/>
          <w:szCs w:val="20"/>
          <w:color w:val="auto"/>
        </w:rPr>
      </w:pPr>
    </w:p>
    <w:p>
      <w:pPr>
        <w:ind w:right="180"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Our operating activities provided cash of $31.7 million for the three months ended December 31, 2011, primarily from net proceeds from the disposition of investments, and our financing activities used cash of $61.2 million for the same period, primarily from net repayments under our Credit Facility.</w:t>
      </w:r>
    </w:p>
    <w:p>
      <w:pPr>
        <w:spacing w:after="0" w:line="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operating activities used cash of $27.3 million for the three months ended December 31, 2010, primarily from net purchases of investments, and our financing activities provided cash of $28.5 million for the same period, primarily from proceeds on issuance of SBA debentures and net borrowings on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2011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rPr>
              <w:t>Payments due by period (in millions)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1"/>
                <w:szCs w:val="11"/>
                <w:color w:val="auto"/>
              </w:rPr>
            </w:pPr>
          </w:p>
        </w:tc>
        <w:tc>
          <w:tcPr>
            <w:tcW w:w="320" w:type="dxa"/>
            <w:vAlign w:val="bottom"/>
          </w:tcPr>
          <w:p>
            <w:pPr>
              <w:jc w:val="right"/>
              <w:ind w:right="36"/>
              <w:spacing w:after="0" w:line="129" w:lineRule="exact"/>
              <w:rPr>
                <w:sz w:val="20"/>
                <w:szCs w:val="20"/>
                <w:color w:val="auto"/>
              </w:rPr>
            </w:pPr>
            <w:r>
              <w:rPr>
                <w:rFonts w:ascii="Arial" w:cs="Arial" w:eastAsia="Arial" w:hAnsi="Arial"/>
                <w:sz w:val="13"/>
                <w:szCs w:val="13"/>
                <w:b w:val="1"/>
                <w:bCs w:val="1"/>
                <w:color w:val="auto"/>
                <w:w w:val="95"/>
              </w:rPr>
              <w:t>1-3</w:t>
            </w:r>
          </w:p>
        </w:tc>
        <w:tc>
          <w:tcPr>
            <w:tcW w:w="30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More than</w:t>
            </w:r>
          </w:p>
        </w:tc>
        <w:tc>
          <w:tcPr>
            <w:tcW w:w="100" w:type="dxa"/>
            <w:vAlign w:val="bottom"/>
          </w:tcPr>
          <w:p>
            <w:pPr>
              <w:spacing w:after="0"/>
              <w:rPr>
                <w:sz w:val="11"/>
                <w:szCs w:val="11"/>
                <w:color w:val="auto"/>
              </w:rPr>
            </w:pPr>
          </w:p>
        </w:tc>
      </w:tr>
      <w:tr>
        <w:trPr>
          <w:trHeight w:val="161"/>
        </w:trPr>
        <w:tc>
          <w:tcPr>
            <w:tcW w:w="11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1 year</w:t>
            </w:r>
          </w:p>
        </w:tc>
        <w:tc>
          <w:tcPr>
            <w:tcW w:w="700" w:type="dxa"/>
            <w:vAlign w:val="bottom"/>
            <w:gridSpan w:val="3"/>
          </w:tcPr>
          <w:p>
            <w:pPr>
              <w:ind w:left="40"/>
              <w:spacing w:after="0"/>
              <w:rPr>
                <w:sz w:val="20"/>
                <w:szCs w:val="20"/>
                <w:color w:val="auto"/>
              </w:rPr>
            </w:pPr>
            <w:r>
              <w:rPr>
                <w:rFonts w:ascii="Arial" w:cs="Arial" w:eastAsia="Arial" w:hAnsi="Arial"/>
                <w:sz w:val="13"/>
                <w:szCs w:val="13"/>
                <w:b w:val="1"/>
                <w:bCs w:val="1"/>
                <w:color w:val="auto"/>
              </w:rPr>
              <w:t>years</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2"/>
              </w:rPr>
              <w:t>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3"/>
              </w:rPr>
              <w:t>5 years</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$ 192.0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7"/>
        </w:trPr>
        <w:tc>
          <w:tcPr>
            <w:tcW w:w="1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Subtotal debt outstanding </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17.2</w:t>
            </w:r>
          </w:p>
        </w:tc>
        <w:tc>
          <w:tcPr>
            <w:tcW w:w="3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7"/>
        </w:trPr>
        <w:tc>
          <w:tcPr>
            <w:tcW w:w="1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378.3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$ 210.6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2011, we had $123.0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December 31, 2011 was 2.29% exclusive of the fee on the undrawn commitment of 0.20% on the Credit Facility and 3.43% of upfront fees on SBIC LP’s SBA debentures.</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2012,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 See Note 3 to the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Under our Administration Agreement, which was renewed in February 2012,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24" w:lineRule="exact"/>
        <w:rPr>
          <w:sz w:val="20"/>
          <w:szCs w:val="20"/>
          <w:color w:val="auto"/>
        </w:rPr>
      </w:pPr>
    </w:p>
    <w:p>
      <w:pPr>
        <w:jc w:val="both"/>
        <w:ind w:right="300" w:firstLine="449"/>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Subsequent to December 31, 2011, we completed a public offering of 10,350,000 shares of common stock, including the underwriters’ over-allotment option, at a public offering price of $10.55 per share, raising approximately $109,192,500 in gross proceeds.</w:t>
      </w:r>
    </w:p>
    <w:p>
      <w:pPr>
        <w:spacing w:after="0" w:line="13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are currently in discussions with our existing lenders and others to amend and restate our existing $315.0 million senior secured revolving Credit Facility which is scheduled to mature in June of this year. We currently expect the amended and restated credit facility to be at least $350 million, priced at LIBOR +275 with an unused fee of 50 basis points, to have a four-year maturity, with a one-year term out period following its third year, to have the same security to the same extent as in place for our existing Credit Facility and to include customary covenants, including a minimum asset coverage and minimum equity covenant. The amended and restated credit facility is not fully committed and the size and terms of such credit facility remain subject to change. Further, no assurances can be given that we will successfully enter into such an amended and restated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December 31, 2011, Standard and Poor’s Ratings Services and Fitch Ratings Services assigned us an investment grade rating of BBB-.</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December 31, 2011, we have invested $73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three months ended December 31, 2011 and 2010, we have elected to retain a portion of our calendar year income and record an excise tax of approximately $0.1 million, respectively.</w:t>
      </w:r>
    </w:p>
    <w:p>
      <w:pPr>
        <w:spacing w:after="0" w:line="11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During the three months ended December 31, 2011 and 2010, we declared distributions of $0.28 and $0.26 per share, respectively, for total distributions of $12.8 million and $9.4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7"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8"/>
          <w:szCs w:val="18"/>
          <w:color w:val="auto"/>
        </w:rPr>
        <w:t>We intend to continue to make quarterly dividends to our stockholders. Our quarterly dividends, if any, are determined by our board of directors. 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43"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December 31, 2011, our portfolio consisted of 63% fixed-rate and 37% variable-rate investments (including 29% with a LIBOR, or prime floor). The variable-rate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 from market rates above any such floor.</w:t>
      </w:r>
    </w:p>
    <w:p>
      <w:pPr>
        <w:spacing w:after="0" w:line="115"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Assuming that the current balance sheet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are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660" w:firstLine="449"/>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2011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2011, which could materially affect our business, financial condition and/or operating results. The risks described in our Annual Report on Form 10-K are not the only risks facing our PennantPark Investment.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9"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880" w:right="6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No.1 to the Registration Statement on Form N-2/A (File No. 333-140092), filed on March 5, 2007).</w:t>
      </w:r>
    </w:p>
    <w:p>
      <w:pPr>
        <w:spacing w:after="0" w:line="78" w:lineRule="exact"/>
        <w:rPr>
          <w:sz w:val="20"/>
          <w:szCs w:val="20"/>
          <w:color w:val="auto"/>
        </w:rPr>
      </w:pPr>
    </w:p>
    <w:p>
      <w:pPr>
        <w:ind w:left="880" w:right="120" w:hanging="789"/>
        <w:spacing w:after="0" w:line="268"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the Registrant’s Annual Report on Form 10-K (File No. 814-00736), filed on November 16,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left="880" w:hanging="87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December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PENNANTPARK INVESTMENT CORPORATION</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February 8, 2012</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color w:val="auto"/>
                <w:w w:val="94"/>
              </w:rPr>
              <w:t>/s/  Arthur H. Penn</w:t>
            </w:r>
          </w:p>
        </w:tc>
      </w:tr>
      <w:tr>
        <w:trPr>
          <w:trHeight w:val="210"/>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r>
      <w:tr>
        <w:trPr>
          <w:trHeight w:val="228"/>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 February 8, 2012</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color w:val="auto"/>
                <w:w w:val="99"/>
              </w:rPr>
              <w:t>/s/  Aviv Efrat</w:t>
            </w:r>
          </w:p>
        </w:tc>
      </w:tr>
      <w:tr>
        <w:trPr>
          <w:trHeight w:val="210"/>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w:t>
            </w:r>
          </w:p>
        </w:tc>
      </w:tr>
      <w:tr>
        <w:trPr>
          <w:trHeight w:val="228"/>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Accounting and Financial Officer)</w:t>
            </w:r>
          </w:p>
        </w:tc>
      </w:tr>
      <w:tr>
        <w:trPr>
          <w:trHeight w:val="378"/>
        </w:trPr>
        <w:tc>
          <w:tcPr>
            <w:tcW w:w="3520" w:type="dxa"/>
            <w:vAlign w:val="bottom"/>
          </w:tcPr>
          <w:p>
            <w:pPr>
              <w:spacing w:after="0"/>
              <w:rPr>
                <w:sz w:val="24"/>
                <w:szCs w:val="24"/>
                <w:color w:val="auto"/>
              </w:rPr>
            </w:pPr>
          </w:p>
        </w:tc>
        <w:tc>
          <w:tcPr>
            <w:tcW w:w="244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20" w:firstLine="8"/>
        <w:spacing w:after="0" w:line="259"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0" w:lineRule="exact"/>
        <w:rPr>
          <w:sz w:val="20"/>
          <w:szCs w:val="20"/>
          <w:color w:val="auto"/>
        </w:rPr>
      </w:pPr>
    </w:p>
    <w:p>
      <w:pPr>
        <w:jc w:val="both"/>
        <w:ind w:right="240" w:firstLine="8"/>
        <w:spacing w:after="0" w:line="259"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jc w:val="both"/>
        <w:ind w:right="20" w:firstLine="8"/>
        <w:spacing w:after="0" w:line="369" w:lineRule="auto"/>
        <w:tabs>
          <w:tab w:leader="none" w:pos="175"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4" w:lineRule="exact"/>
        <w:rPr>
          <w:sz w:val="20"/>
          <w:szCs w:val="20"/>
          <w:color w:val="auto"/>
        </w:rPr>
      </w:pPr>
    </w:p>
    <w:p>
      <w:pPr>
        <w:jc w:val="both"/>
        <w:ind w:right="240" w:firstLine="8"/>
        <w:spacing w:after="0" w:line="259"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2011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2012</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2011 (the “Report”) of PennantPark Investment Corporation (the “Registrant”), as filed with the Securities and Exchange Commission on the date hereof, I, Aviv Efrat, Chief Financial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lvl w:ilvl="1">
      <w:lvlJc w:val="left"/>
      <w:lvlText w:val="(%2)"/>
      <w:numFmt w:val="decimal"/>
      <w:start w:val="1"/>
    </w:lvl>
  </w:abstractNum>
  <w:abstractNum w:abstractNumId="5">
    <w:nsid w:val="4E6AFB66"/>
    <w:multiLevelType w:val="hybridMultilevel"/>
    <w:lvl w:ilvl="0">
      <w:lvlJc w:val="left"/>
      <w:lvlText w:val="(%1)"/>
      <w:numFmt w:val="lowerLetter"/>
      <w:start w:val="2"/>
    </w:lvl>
    <w:lvl w:ilvl="1">
      <w:lvlJc w:val="left"/>
      <w:lvlText w:val="%2"/>
      <w:numFmt w:val="decimal"/>
      <w:start w:val="1"/>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2020-05-05T15:12:57Z</dcterms:created>
  <dcterms:modified xsi:type="dcterms:W3CDTF">2020-05-05T15:12:57Z</dcterms:modified>
</cp:coreProperties>
</file>