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39"/>
        <w:spacing w:after="0"/>
        <w:rPr>
          <w:sz w:val="20"/>
          <w:szCs w:val="20"/>
          <w:color w:val="auto"/>
        </w:rPr>
      </w:pPr>
      <w:r>
        <w:rPr>
          <w:rFonts w:ascii="Arial" w:cs="Arial" w:eastAsia="Arial" w:hAnsi="Arial"/>
          <w:sz w:val="22"/>
          <w:szCs w:val="22"/>
          <w:b w:val="1"/>
          <w:bCs w:val="1"/>
          <w:color w:val="auto"/>
        </w:rPr>
        <w:t>Washington, DC 20549</w:t>
      </w:r>
    </w:p>
    <w:p>
      <w:pPr>
        <w:spacing w:after="0" w:line="131" w:lineRule="exact"/>
        <w:rPr>
          <w:sz w:val="24"/>
          <w:szCs w:val="24"/>
          <w:color w:val="auto"/>
        </w:rPr>
      </w:pPr>
    </w:p>
    <w:p>
      <w:pPr>
        <w:ind w:left="4680"/>
        <w:spacing w:after="0"/>
        <w:rPr>
          <w:sz w:val="20"/>
          <w:szCs w:val="20"/>
          <w:color w:val="auto"/>
        </w:rPr>
      </w:pPr>
      <w:r>
        <w:rPr>
          <w:rFonts w:ascii="Arial" w:cs="Arial" w:eastAsia="Arial" w:hAnsi="Arial"/>
          <w:sz w:val="13"/>
          <w:szCs w:val="13"/>
          <w:color w:val="auto"/>
        </w:rPr>
        <w:t>____________________________</w:t>
      </w:r>
    </w:p>
    <w:p>
      <w:pPr>
        <w:spacing w:after="0" w:line="117"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ind w:left="4680"/>
        <w:spacing w:after="0"/>
        <w:rPr>
          <w:sz w:val="20"/>
          <w:szCs w:val="20"/>
          <w:color w:val="auto"/>
        </w:rPr>
      </w:pPr>
      <w:r>
        <w:rPr>
          <w:rFonts w:ascii="Arial" w:cs="Arial" w:eastAsia="Arial" w:hAnsi="Arial"/>
          <w:sz w:val="13"/>
          <w:szCs w:val="13"/>
          <w:color w:val="auto"/>
        </w:rPr>
        <w:t>____________________________</w:t>
      </w:r>
    </w:p>
    <w:p>
      <w:pPr>
        <w:spacing w:after="0" w:line="11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Date of Report: August 9, 2007</w:t>
      </w:r>
    </w:p>
    <w:p>
      <w:pPr>
        <w:spacing w:after="0" w:line="161" w:lineRule="exact"/>
        <w:rPr>
          <w:sz w:val="24"/>
          <w:szCs w:val="24"/>
          <w:color w:val="auto"/>
        </w:rPr>
      </w:pPr>
    </w:p>
    <w:p>
      <w:pPr>
        <w:ind w:left="4680"/>
        <w:spacing w:after="0"/>
        <w:rPr>
          <w:sz w:val="20"/>
          <w:szCs w:val="20"/>
          <w:color w:val="auto"/>
        </w:rPr>
      </w:pPr>
      <w:r>
        <w:rPr>
          <w:rFonts w:ascii="Arial" w:cs="Arial" w:eastAsia="Arial" w:hAnsi="Arial"/>
          <w:sz w:val="13"/>
          <w:szCs w:val="13"/>
          <w:color w:val="auto"/>
        </w:rPr>
        <w:t>____________________________</w:t>
      </w:r>
    </w:p>
    <w:p>
      <w:pPr>
        <w:spacing w:after="0" w:line="115" w:lineRule="exact"/>
        <w:rPr>
          <w:sz w:val="24"/>
          <w:szCs w:val="24"/>
          <w:color w:val="auto"/>
        </w:rPr>
      </w:pPr>
    </w:p>
    <w:p>
      <w:pPr>
        <w:jc w:val="center"/>
        <w:ind w:right="-539"/>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5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34" w:lineRule="exact"/>
        <w:rPr>
          <w:sz w:val="24"/>
          <w:szCs w:val="24"/>
          <w:color w:val="auto"/>
        </w:rPr>
      </w:pPr>
    </w:p>
    <w:p>
      <w:pPr>
        <w:ind w:left="4680"/>
        <w:spacing w:after="0"/>
        <w:rPr>
          <w:sz w:val="20"/>
          <w:szCs w:val="20"/>
          <w:color w:val="auto"/>
        </w:rPr>
      </w:pPr>
      <w:r>
        <w:rPr>
          <w:rFonts w:ascii="Arial" w:cs="Arial" w:eastAsia="Arial" w:hAnsi="Arial"/>
          <w:sz w:val="13"/>
          <w:szCs w:val="13"/>
          <w:b w:val="1"/>
          <w:bCs w:val="1"/>
          <w:color w:val="auto"/>
        </w:rPr>
        <w:t>____________________________</w:t>
      </w:r>
    </w:p>
    <w:p>
      <w:pPr>
        <w:spacing w:after="0" w:line="294"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3100" w:type="dxa"/>
            <w:vAlign w:val="bottom"/>
          </w:tcPr>
          <w:p>
            <w:pPr>
              <w:jc w:val="center"/>
              <w:ind w:right="112"/>
              <w:spacing w:after="0"/>
              <w:rPr>
                <w:sz w:val="20"/>
                <w:szCs w:val="20"/>
                <w:color w:val="auto"/>
              </w:rPr>
            </w:pPr>
            <w:r>
              <w:rPr>
                <w:rFonts w:ascii="Arial" w:cs="Arial" w:eastAsia="Arial" w:hAnsi="Arial"/>
                <w:sz w:val="18"/>
                <w:szCs w:val="18"/>
                <w:b w:val="1"/>
                <w:bCs w:val="1"/>
                <w:color w:val="auto"/>
                <w:w w:val="93"/>
              </w:rPr>
              <w:t>Maryland</w:t>
            </w:r>
          </w:p>
        </w:tc>
        <w:tc>
          <w:tcPr>
            <w:tcW w:w="2660" w:type="dxa"/>
            <w:vAlign w:val="bottom"/>
          </w:tcPr>
          <w:p>
            <w:pPr>
              <w:jc w:val="right"/>
              <w:ind w:right="992"/>
              <w:spacing w:after="0"/>
              <w:rPr>
                <w:sz w:val="20"/>
                <w:szCs w:val="20"/>
                <w:color w:val="auto"/>
              </w:rPr>
            </w:pPr>
            <w:r>
              <w:rPr>
                <w:rFonts w:ascii="Arial" w:cs="Arial" w:eastAsia="Arial" w:hAnsi="Arial"/>
                <w:sz w:val="18"/>
                <w:szCs w:val="18"/>
                <w:b w:val="1"/>
                <w:bCs w:val="1"/>
                <w:color w:val="auto"/>
              </w:rPr>
              <w:t>814-00736</w:t>
            </w:r>
          </w:p>
        </w:tc>
        <w:tc>
          <w:tcPr>
            <w:tcW w:w="1820" w:type="dxa"/>
            <w:vAlign w:val="bottom"/>
          </w:tcPr>
          <w:p>
            <w:pPr>
              <w:jc w:val="right"/>
              <w:ind w:right="172"/>
              <w:spacing w:after="0"/>
              <w:rPr>
                <w:sz w:val="20"/>
                <w:szCs w:val="20"/>
                <w:color w:val="auto"/>
              </w:rPr>
            </w:pPr>
            <w:r>
              <w:rPr>
                <w:rFonts w:ascii="Arial" w:cs="Arial" w:eastAsia="Arial" w:hAnsi="Arial"/>
                <w:sz w:val="18"/>
                <w:szCs w:val="18"/>
                <w:b w:val="1"/>
                <w:bCs w:val="1"/>
                <w:color w:val="auto"/>
              </w:rPr>
              <w:t>20-8250744</w:t>
            </w:r>
          </w:p>
        </w:tc>
      </w:tr>
      <w:tr>
        <w:trPr>
          <w:trHeight w:val="216"/>
        </w:trPr>
        <w:tc>
          <w:tcPr>
            <w:tcW w:w="310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(State or other jurisdiction</w:t>
            </w:r>
          </w:p>
        </w:tc>
        <w:tc>
          <w:tcPr>
            <w:tcW w:w="266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(Commission File Number)</w:t>
            </w:r>
          </w:p>
        </w:tc>
        <w:tc>
          <w:tcPr>
            <w:tcW w:w="1820" w:type="dxa"/>
            <w:vAlign w:val="bottom"/>
          </w:tcPr>
          <w:p>
            <w:pPr>
              <w:jc w:val="center"/>
              <w:ind w:left="352"/>
              <w:spacing w:after="0"/>
              <w:rPr>
                <w:sz w:val="20"/>
                <w:szCs w:val="20"/>
                <w:color w:val="auto"/>
              </w:rPr>
            </w:pPr>
            <w:r>
              <w:rPr>
                <w:rFonts w:ascii="Arial" w:cs="Arial" w:eastAsia="Arial" w:hAnsi="Arial"/>
                <w:sz w:val="18"/>
                <w:szCs w:val="18"/>
                <w:b w:val="1"/>
                <w:bCs w:val="1"/>
                <w:color w:val="auto"/>
                <w:w w:val="92"/>
              </w:rPr>
              <w:t>(IRS Employer</w:t>
            </w:r>
          </w:p>
        </w:tc>
      </w:tr>
      <w:tr>
        <w:trPr>
          <w:trHeight w:val="228"/>
        </w:trPr>
        <w:tc>
          <w:tcPr>
            <w:tcW w:w="310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of incorporation)</w:t>
            </w:r>
          </w:p>
        </w:tc>
        <w:tc>
          <w:tcPr>
            <w:tcW w:w="2660" w:type="dxa"/>
            <w:vAlign w:val="bottom"/>
          </w:tcPr>
          <w:p>
            <w:pPr>
              <w:spacing w:after="0"/>
              <w:rPr>
                <w:sz w:val="19"/>
                <w:szCs w:val="19"/>
                <w:color w:val="auto"/>
              </w:rPr>
            </w:pPr>
          </w:p>
        </w:tc>
        <w:tc>
          <w:tcPr>
            <w:tcW w:w="1820" w:type="dxa"/>
            <w:vAlign w:val="bottom"/>
          </w:tcPr>
          <w:p>
            <w:pPr>
              <w:jc w:val="center"/>
              <w:ind w:left="352"/>
              <w:spacing w:after="0"/>
              <w:rPr>
                <w:sz w:val="20"/>
                <w:szCs w:val="20"/>
                <w:color w:val="auto"/>
              </w:rPr>
            </w:pPr>
            <w:r>
              <w:rPr>
                <w:rFonts w:ascii="Arial" w:cs="Arial" w:eastAsia="Arial" w:hAnsi="Arial"/>
                <w:sz w:val="18"/>
                <w:szCs w:val="18"/>
                <w:b w:val="1"/>
                <w:bCs w:val="1"/>
                <w:color w:val="auto"/>
                <w:w w:val="90"/>
              </w:rPr>
              <w:t>Identification No.)</w:t>
            </w:r>
          </w:p>
        </w:tc>
      </w:tr>
      <w:tr>
        <w:trPr>
          <w:trHeight w:val="447"/>
        </w:trPr>
        <w:tc>
          <w:tcPr>
            <w:tcW w:w="310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445 Park Avenue</w:t>
            </w:r>
          </w:p>
        </w:tc>
        <w:tc>
          <w:tcPr>
            <w:tcW w:w="26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6"/>
        </w:trPr>
        <w:tc>
          <w:tcPr>
            <w:tcW w:w="310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10th Floor</w:t>
            </w:r>
          </w:p>
        </w:tc>
        <w:tc>
          <w:tcPr>
            <w:tcW w:w="26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100" w:type="dxa"/>
            <w:vAlign w:val="bottom"/>
          </w:tcPr>
          <w:p>
            <w:pPr>
              <w:jc w:val="center"/>
              <w:ind w:right="112"/>
              <w:spacing w:after="0"/>
              <w:rPr>
                <w:sz w:val="20"/>
                <w:szCs w:val="20"/>
                <w:color w:val="auto"/>
              </w:rPr>
            </w:pPr>
            <w:r>
              <w:rPr>
                <w:rFonts w:ascii="Arial" w:cs="Arial" w:eastAsia="Arial" w:hAnsi="Arial"/>
                <w:sz w:val="18"/>
                <w:szCs w:val="18"/>
                <w:b w:val="1"/>
                <w:bCs w:val="1"/>
                <w:color w:val="auto"/>
                <w:w w:val="93"/>
              </w:rPr>
              <w:t>New York, NY</w:t>
            </w:r>
          </w:p>
        </w:tc>
        <w:tc>
          <w:tcPr>
            <w:tcW w:w="2660" w:type="dxa"/>
            <w:vAlign w:val="bottom"/>
          </w:tcPr>
          <w:p>
            <w:pPr>
              <w:spacing w:after="0"/>
              <w:rPr>
                <w:sz w:val="18"/>
                <w:szCs w:val="18"/>
                <w:color w:val="auto"/>
              </w:rPr>
            </w:pPr>
          </w:p>
        </w:tc>
        <w:tc>
          <w:tcPr>
            <w:tcW w:w="1820" w:type="dxa"/>
            <w:vAlign w:val="bottom"/>
          </w:tcPr>
          <w:p>
            <w:pPr>
              <w:jc w:val="right"/>
              <w:ind w:right="372"/>
              <w:spacing w:after="0"/>
              <w:rPr>
                <w:sz w:val="20"/>
                <w:szCs w:val="20"/>
                <w:color w:val="auto"/>
              </w:rPr>
            </w:pPr>
            <w:r>
              <w:rPr>
                <w:rFonts w:ascii="Arial" w:cs="Arial" w:eastAsia="Arial" w:hAnsi="Arial"/>
                <w:sz w:val="18"/>
                <w:szCs w:val="18"/>
                <w:b w:val="1"/>
                <w:bCs w:val="1"/>
                <w:color w:val="auto"/>
              </w:rPr>
              <w:t>10022</w:t>
            </w:r>
          </w:p>
        </w:tc>
      </w:tr>
      <w:tr>
        <w:trPr>
          <w:trHeight w:val="228"/>
        </w:trPr>
        <w:tc>
          <w:tcPr>
            <w:tcW w:w="3100" w:type="dxa"/>
            <w:vAlign w:val="bottom"/>
          </w:tcPr>
          <w:p>
            <w:pPr>
              <w:jc w:val="center"/>
              <w:ind w:right="112"/>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660" w:type="dxa"/>
            <w:vAlign w:val="bottom"/>
          </w:tcPr>
          <w:p>
            <w:pPr>
              <w:spacing w:after="0"/>
              <w:rPr>
                <w:sz w:val="19"/>
                <w:szCs w:val="19"/>
                <w:color w:val="auto"/>
              </w:rPr>
            </w:pPr>
          </w:p>
        </w:tc>
        <w:tc>
          <w:tcPr>
            <w:tcW w:w="1820" w:type="dxa"/>
            <w:vAlign w:val="bottom"/>
          </w:tcPr>
          <w:p>
            <w:pPr>
              <w:jc w:val="center"/>
              <w:ind w:left="352"/>
              <w:spacing w:after="0"/>
              <w:rPr>
                <w:sz w:val="20"/>
                <w:szCs w:val="20"/>
                <w:color w:val="auto"/>
              </w:rPr>
            </w:pPr>
            <w:r>
              <w:rPr>
                <w:rFonts w:ascii="Arial" w:cs="Arial" w:eastAsia="Arial" w:hAnsi="Arial"/>
                <w:sz w:val="18"/>
                <w:szCs w:val="18"/>
                <w:b w:val="1"/>
                <w:bCs w:val="1"/>
                <w:color w:val="auto"/>
                <w:w w:val="92"/>
              </w:rPr>
              <w:t>(Zip Code)</w:t>
            </w:r>
          </w:p>
        </w:tc>
      </w:tr>
    </w:tbl>
    <w:p>
      <w:pPr>
        <w:spacing w:after="0" w:line="37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Registrant's telephone number, including area code 212-307-3280</w:t>
      </w:r>
    </w:p>
    <w:p>
      <w:pPr>
        <w:spacing w:after="0" w:line="21" w:lineRule="exact"/>
        <w:rPr>
          <w:sz w:val="24"/>
          <w:szCs w:val="24"/>
          <w:color w:val="auto"/>
        </w:rPr>
      </w:pPr>
    </w:p>
    <w:p>
      <w:pPr>
        <w:ind w:left="4680"/>
        <w:spacing w:after="0"/>
        <w:rPr>
          <w:sz w:val="20"/>
          <w:szCs w:val="20"/>
          <w:color w:val="auto"/>
        </w:rPr>
      </w:pPr>
      <w:r>
        <w:rPr>
          <w:rFonts w:ascii="Arial" w:cs="Arial" w:eastAsia="Arial" w:hAnsi="Arial"/>
          <w:sz w:val="13"/>
          <w:szCs w:val="13"/>
          <w:b w:val="1"/>
          <w:bCs w:val="1"/>
          <w:color w:val="auto"/>
        </w:rPr>
        <w:t>____________________________</w:t>
      </w:r>
    </w:p>
    <w:p>
      <w:pPr>
        <w:spacing w:after="0" w:line="141" w:lineRule="exact"/>
        <w:rPr>
          <w:sz w:val="24"/>
          <w:szCs w:val="24"/>
          <w:color w:val="auto"/>
        </w:rPr>
      </w:pPr>
    </w:p>
    <w:p>
      <w:pPr>
        <w:ind w:right="116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2" w:lineRule="exact"/>
        <w:rPr>
          <w:sz w:val="24"/>
          <w:szCs w:val="24"/>
          <w:color w:val="auto"/>
        </w:rPr>
      </w:pPr>
    </w:p>
    <w:p>
      <w:pPr>
        <w:ind w:left="120" w:hanging="99"/>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99"/>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99"/>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99"/>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4"/>
          <w:szCs w:val="24"/>
          <w:color w:val="auto"/>
        </w:rPr>
      </w:pPr>
    </w:p>
    <w:p>
      <w:pPr>
        <w:spacing w:after="0"/>
        <w:rPr>
          <w:sz w:val="20"/>
          <w:szCs w:val="20"/>
          <w:color w:val="auto"/>
        </w:rPr>
      </w:pPr>
      <w:r>
        <w:rPr>
          <w:rFonts w:ascii="Arial" w:cs="Arial" w:eastAsia="Arial" w:hAnsi="Arial"/>
          <w:sz w:val="22"/>
          <w:szCs w:val="22"/>
          <w:color w:val="auto"/>
        </w:rPr>
        <w:t>Item 2.02. Results of Operations and Financial Condition.</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The following press release was issued by PennantPark Investment Corporation on August 9, 2007:</w:t>
      </w:r>
    </w:p>
    <w:p>
      <w:pPr>
        <w:spacing w:after="0" w:line="206" w:lineRule="exact"/>
        <w:rPr>
          <w:sz w:val="24"/>
          <w:szCs w:val="24"/>
          <w:color w:val="auto"/>
        </w:rPr>
      </w:pPr>
    </w:p>
    <w:p>
      <w:pPr>
        <w:spacing w:after="0"/>
        <w:rPr>
          <w:sz w:val="20"/>
          <w:szCs w:val="20"/>
          <w:color w:val="auto"/>
        </w:rPr>
      </w:pPr>
      <w:r>
        <w:rPr>
          <w:rFonts w:ascii="Arial" w:cs="Arial" w:eastAsia="Arial" w:hAnsi="Arial"/>
          <w:sz w:val="19"/>
          <w:szCs w:val="19"/>
          <w:color w:val="auto"/>
        </w:rPr>
        <w:t>PennantPark Investment Corporation Announces Financial Results for its Quarter Ended June 30, 2007 and Since Inception</w:t>
      </w:r>
    </w:p>
    <w:p>
      <w:pPr>
        <w:spacing w:after="0" w:line="241" w:lineRule="exact"/>
        <w:rPr>
          <w:sz w:val="24"/>
          <w:szCs w:val="24"/>
          <w:color w:val="auto"/>
        </w:rPr>
      </w:pPr>
    </w:p>
    <w:p>
      <w:pPr>
        <w:ind w:right="260"/>
        <w:spacing w:after="0" w:line="250" w:lineRule="auto"/>
        <w:rPr>
          <w:sz w:val="20"/>
          <w:szCs w:val="20"/>
          <w:color w:val="auto"/>
        </w:rPr>
      </w:pPr>
      <w:r>
        <w:rPr>
          <w:rFonts w:ascii="Arial" w:cs="Arial" w:eastAsia="Arial" w:hAnsi="Arial"/>
          <w:sz w:val="22"/>
          <w:szCs w:val="22"/>
          <w:color w:val="auto"/>
        </w:rPr>
        <w:t>NEW YORK, NY - - (MARKET WIRE) - - 08/09/07 - - PennantPark Investment Corporation (NASDAQ: PNNT) today announced financial results for its quarter ended June 30, 2007.</w:t>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HIGHLIGHTS</w:t>
      </w:r>
    </w:p>
    <w:p>
      <w:pPr>
        <w:spacing w:after="0" w:line="238" w:lineRule="auto"/>
        <w:rPr>
          <w:sz w:val="20"/>
          <w:szCs w:val="20"/>
          <w:color w:val="auto"/>
        </w:rPr>
      </w:pPr>
      <w:r>
        <w:rPr>
          <w:rFonts w:ascii="Arial" w:cs="Arial" w:eastAsia="Arial" w:hAnsi="Arial"/>
          <w:sz w:val="22"/>
          <w:szCs w:val="22"/>
          <w:color w:val="auto"/>
        </w:rPr>
        <w:t>For the quarter ended June 30, 2007</w:t>
      </w:r>
    </w:p>
    <w:p>
      <w:pPr>
        <w:spacing w:after="0"/>
        <w:rPr>
          <w:sz w:val="20"/>
          <w:szCs w:val="20"/>
          <w:color w:val="auto"/>
        </w:rPr>
      </w:pPr>
      <w:r>
        <w:rPr>
          <w:rFonts w:ascii="Arial" w:cs="Arial" w:eastAsia="Arial" w:hAnsi="Arial"/>
          <w:sz w:val="22"/>
          <w:szCs w:val="22"/>
          <w:color w:val="auto"/>
        </w:rPr>
        <w:t>(in millions, except per share amounts)</w:t>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5600" w:type="dxa"/>
            <w:vAlign w:val="bottom"/>
          </w:tcPr>
          <w:p>
            <w:pPr>
              <w:spacing w:after="0"/>
              <w:rPr>
                <w:sz w:val="20"/>
                <w:szCs w:val="20"/>
                <w:color w:val="auto"/>
              </w:rPr>
            </w:pPr>
            <w:r>
              <w:rPr>
                <w:rFonts w:ascii="Arial" w:cs="Arial" w:eastAsia="Arial" w:hAnsi="Arial"/>
                <w:sz w:val="22"/>
                <w:szCs w:val="22"/>
                <w:color w:val="auto"/>
              </w:rPr>
              <w:t>Net investment income:</w:t>
            </w:r>
          </w:p>
        </w:tc>
        <w:tc>
          <w:tcPr>
            <w:tcW w:w="3020" w:type="dxa"/>
            <w:vAlign w:val="bottom"/>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74"/>
        </w:trPr>
        <w:tc>
          <w:tcPr>
            <w:tcW w:w="5600" w:type="dxa"/>
            <w:vAlign w:val="bottom"/>
          </w:tcPr>
          <w:p>
            <w:pPr>
              <w:spacing w:after="0"/>
              <w:rPr>
                <w:sz w:val="20"/>
                <w:szCs w:val="20"/>
                <w:color w:val="auto"/>
              </w:rPr>
            </w:pPr>
            <w:r>
              <w:rPr>
                <w:rFonts w:ascii="Arial" w:cs="Arial" w:eastAsia="Arial" w:hAnsi="Arial"/>
                <w:sz w:val="22"/>
                <w:szCs w:val="22"/>
                <w:color w:val="auto"/>
              </w:rPr>
              <w:t>Net investment income per share:</w:t>
            </w:r>
          </w:p>
        </w:tc>
        <w:tc>
          <w:tcPr>
            <w:tcW w:w="3020" w:type="dxa"/>
            <w:vAlign w:val="bottom"/>
          </w:tcPr>
          <w:p>
            <w:pPr>
              <w:jc w:val="right"/>
              <w:spacing w:after="0"/>
              <w:rPr>
                <w:sz w:val="20"/>
                <w:szCs w:val="20"/>
                <w:color w:val="auto"/>
              </w:rPr>
            </w:pPr>
            <w:r>
              <w:rPr>
                <w:rFonts w:ascii="Arial" w:cs="Arial" w:eastAsia="Arial" w:hAnsi="Arial"/>
                <w:sz w:val="22"/>
                <w:szCs w:val="22"/>
                <w:color w:val="auto"/>
              </w:rPr>
              <w:t>$0.15</w:t>
            </w:r>
          </w:p>
        </w:tc>
        <w:tc>
          <w:tcPr>
            <w:tcW w:w="0" w:type="dxa"/>
            <w:vAlign w:val="bottom"/>
          </w:tcPr>
          <w:p>
            <w:pPr>
              <w:spacing w:after="0"/>
              <w:rPr>
                <w:sz w:val="1"/>
                <w:szCs w:val="1"/>
                <w:color w:val="auto"/>
              </w:rPr>
            </w:pPr>
          </w:p>
        </w:tc>
      </w:tr>
      <w:tr>
        <w:trPr>
          <w:trHeight w:val="486"/>
        </w:trPr>
        <w:tc>
          <w:tcPr>
            <w:tcW w:w="5600" w:type="dxa"/>
            <w:vAlign w:val="bottom"/>
          </w:tcPr>
          <w:p>
            <w:pPr>
              <w:spacing w:after="0"/>
              <w:rPr>
                <w:sz w:val="20"/>
                <w:szCs w:val="20"/>
                <w:color w:val="auto"/>
              </w:rPr>
            </w:pPr>
            <w:r>
              <w:rPr>
                <w:rFonts w:ascii="Arial" w:cs="Arial" w:eastAsia="Arial" w:hAnsi="Arial"/>
                <w:sz w:val="22"/>
                <w:szCs w:val="22"/>
                <w:color w:val="auto"/>
              </w:rPr>
              <w:t>Dividends to shareholders per share:</w:t>
            </w:r>
          </w:p>
        </w:tc>
        <w:tc>
          <w:tcPr>
            <w:tcW w:w="3020" w:type="dxa"/>
            <w:vAlign w:val="bottom"/>
          </w:tcPr>
          <w:p>
            <w:pPr>
              <w:jc w:val="right"/>
              <w:spacing w:after="0"/>
              <w:rPr>
                <w:sz w:val="20"/>
                <w:szCs w:val="20"/>
                <w:color w:val="auto"/>
              </w:rPr>
            </w:pPr>
            <w:r>
              <w:rPr>
                <w:rFonts w:ascii="Arial" w:cs="Arial" w:eastAsia="Arial" w:hAnsi="Arial"/>
                <w:sz w:val="22"/>
                <w:szCs w:val="22"/>
                <w:color w:val="auto"/>
              </w:rPr>
              <w:t>$0.14</w:t>
            </w:r>
          </w:p>
        </w:tc>
        <w:tc>
          <w:tcPr>
            <w:tcW w:w="0" w:type="dxa"/>
            <w:vAlign w:val="bottom"/>
          </w:tcPr>
          <w:p>
            <w:pPr>
              <w:spacing w:after="0"/>
              <w:rPr>
                <w:sz w:val="1"/>
                <w:szCs w:val="1"/>
                <w:color w:val="auto"/>
              </w:rPr>
            </w:pPr>
          </w:p>
        </w:tc>
      </w:tr>
      <w:tr>
        <w:trPr>
          <w:trHeight w:val="455"/>
        </w:trPr>
        <w:tc>
          <w:tcPr>
            <w:tcW w:w="5600" w:type="dxa"/>
            <w:vAlign w:val="bottom"/>
          </w:tcPr>
          <w:p>
            <w:pPr>
              <w:spacing w:after="0"/>
              <w:rPr>
                <w:sz w:val="20"/>
                <w:szCs w:val="20"/>
                <w:color w:val="auto"/>
              </w:rPr>
            </w:pPr>
            <w:r>
              <w:rPr>
                <w:rFonts w:ascii="Arial" w:cs="Arial" w:eastAsia="Arial" w:hAnsi="Arial"/>
                <w:sz w:val="22"/>
                <w:szCs w:val="22"/>
                <w:color w:val="auto"/>
              </w:rPr>
              <w:t>Equity capital raised:</w:t>
            </w:r>
          </w:p>
        </w:tc>
        <w:tc>
          <w:tcPr>
            <w:tcW w:w="3020" w:type="dxa"/>
            <w:vAlign w:val="bottom"/>
          </w:tcPr>
          <w:p>
            <w:pPr>
              <w:jc w:val="right"/>
              <w:spacing w:after="0"/>
              <w:rPr>
                <w:sz w:val="20"/>
                <w:szCs w:val="20"/>
                <w:color w:val="auto"/>
              </w:rPr>
            </w:pPr>
            <w:r>
              <w:rPr>
                <w:rFonts w:ascii="Arial" w:cs="Arial" w:eastAsia="Arial" w:hAnsi="Arial"/>
                <w:sz w:val="22"/>
                <w:szCs w:val="22"/>
                <w:color w:val="auto"/>
              </w:rPr>
              <w:t>$294.1</w:t>
            </w:r>
          </w:p>
        </w:tc>
        <w:tc>
          <w:tcPr>
            <w:tcW w:w="0" w:type="dxa"/>
            <w:vAlign w:val="bottom"/>
          </w:tcPr>
          <w:p>
            <w:pPr>
              <w:spacing w:after="0"/>
              <w:rPr>
                <w:sz w:val="1"/>
                <w:szCs w:val="1"/>
                <w:color w:val="auto"/>
              </w:rPr>
            </w:pPr>
          </w:p>
        </w:tc>
      </w:tr>
      <w:tr>
        <w:trPr>
          <w:trHeight w:val="243"/>
        </w:trPr>
        <w:tc>
          <w:tcPr>
            <w:tcW w:w="5600" w:type="dxa"/>
            <w:vAlign w:val="bottom"/>
          </w:tcPr>
          <w:p>
            <w:pPr>
              <w:spacing w:after="0" w:line="243" w:lineRule="exact"/>
              <w:rPr>
                <w:sz w:val="20"/>
                <w:szCs w:val="20"/>
                <w:color w:val="auto"/>
              </w:rPr>
            </w:pPr>
            <w:r>
              <w:rPr>
                <w:rFonts w:ascii="Arial" w:cs="Arial" w:eastAsia="Arial" w:hAnsi="Arial"/>
                <w:sz w:val="22"/>
                <w:szCs w:val="22"/>
                <w:color w:val="auto"/>
              </w:rPr>
              <w:t>Credit facility closed:</w:t>
            </w:r>
          </w:p>
        </w:tc>
        <w:tc>
          <w:tcPr>
            <w:tcW w:w="3020" w:type="dxa"/>
            <w:vAlign w:val="bottom"/>
          </w:tcPr>
          <w:p>
            <w:pPr>
              <w:jc w:val="right"/>
              <w:spacing w:after="0" w:line="243" w:lineRule="exact"/>
              <w:rPr>
                <w:sz w:val="20"/>
                <w:szCs w:val="20"/>
                <w:color w:val="auto"/>
              </w:rPr>
            </w:pPr>
            <w:r>
              <w:rPr>
                <w:rFonts w:ascii="Arial" w:cs="Arial" w:eastAsia="Arial" w:hAnsi="Arial"/>
                <w:sz w:val="22"/>
                <w:szCs w:val="22"/>
                <w:color w:val="auto"/>
              </w:rPr>
              <w:t>$300.0</w:t>
            </w:r>
          </w:p>
        </w:tc>
        <w:tc>
          <w:tcPr>
            <w:tcW w:w="0" w:type="dxa"/>
            <w:vAlign w:val="bottom"/>
          </w:tcPr>
          <w:p>
            <w:pPr>
              <w:spacing w:after="0"/>
              <w:rPr>
                <w:sz w:val="1"/>
                <w:szCs w:val="1"/>
                <w:color w:val="auto"/>
              </w:rPr>
            </w:pPr>
          </w:p>
        </w:tc>
      </w:tr>
      <w:tr>
        <w:trPr>
          <w:trHeight w:val="274"/>
        </w:trPr>
        <w:tc>
          <w:tcPr>
            <w:tcW w:w="5600" w:type="dxa"/>
            <w:vAlign w:val="bottom"/>
          </w:tcPr>
          <w:p>
            <w:pPr>
              <w:spacing w:after="0"/>
              <w:rPr>
                <w:sz w:val="20"/>
                <w:szCs w:val="20"/>
                <w:color w:val="auto"/>
              </w:rPr>
            </w:pPr>
            <w:r>
              <w:rPr>
                <w:rFonts w:ascii="Arial" w:cs="Arial" w:eastAsia="Arial" w:hAnsi="Arial"/>
                <w:sz w:val="22"/>
                <w:szCs w:val="22"/>
                <w:color w:val="auto"/>
              </w:rPr>
              <w:t>Amount drawn under credit facility:</w:t>
            </w:r>
          </w:p>
        </w:tc>
        <w:tc>
          <w:tcPr>
            <w:tcW w:w="3020" w:type="dxa"/>
            <w:vAlign w:val="bottom"/>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62"/>
        </w:trPr>
        <w:tc>
          <w:tcPr>
            <w:tcW w:w="5600" w:type="dxa"/>
            <w:vAlign w:val="bottom"/>
          </w:tcPr>
          <w:p>
            <w:pPr>
              <w:spacing w:after="0"/>
              <w:rPr>
                <w:sz w:val="20"/>
                <w:szCs w:val="20"/>
                <w:color w:val="auto"/>
              </w:rPr>
            </w:pPr>
            <w:r>
              <w:rPr>
                <w:rFonts w:ascii="Arial" w:cs="Arial" w:eastAsia="Arial" w:hAnsi="Arial"/>
                <w:sz w:val="22"/>
                <w:szCs w:val="22"/>
                <w:color w:val="auto"/>
              </w:rPr>
              <w:t>Total investment portfolio:</w:t>
            </w:r>
          </w:p>
        </w:tc>
        <w:tc>
          <w:tcPr>
            <w:tcW w:w="3020" w:type="dxa"/>
            <w:vAlign w:val="bottom"/>
            <w:vMerge w:val="restart"/>
          </w:tcPr>
          <w:p>
            <w:pPr>
              <w:jc w:val="right"/>
              <w:spacing w:after="0"/>
              <w:rPr>
                <w:sz w:val="20"/>
                <w:szCs w:val="20"/>
                <w:color w:val="auto"/>
              </w:rPr>
            </w:pPr>
            <w:r>
              <w:rPr>
                <w:rFonts w:ascii="Arial" w:cs="Arial" w:eastAsia="Arial" w:hAnsi="Arial"/>
                <w:sz w:val="22"/>
                <w:szCs w:val="22"/>
                <w:color w:val="auto"/>
              </w:rPr>
              <w:t>$175.4</w:t>
            </w:r>
          </w:p>
        </w:tc>
        <w:tc>
          <w:tcPr>
            <w:tcW w:w="0" w:type="dxa"/>
            <w:vAlign w:val="bottom"/>
          </w:tcPr>
          <w:p>
            <w:pPr>
              <w:spacing w:after="0"/>
              <w:rPr>
                <w:sz w:val="1"/>
                <w:szCs w:val="1"/>
                <w:color w:val="auto"/>
              </w:rPr>
            </w:pPr>
          </w:p>
        </w:tc>
      </w:tr>
      <w:tr>
        <w:trPr>
          <w:trHeight w:val="471"/>
        </w:trPr>
        <w:tc>
          <w:tcPr>
            <w:tcW w:w="5600" w:type="dxa"/>
            <w:vAlign w:val="bottom"/>
          </w:tcPr>
          <w:p>
            <w:pPr>
              <w:ind w:left="440"/>
              <w:spacing w:after="0"/>
              <w:rPr>
                <w:sz w:val="20"/>
                <w:szCs w:val="20"/>
                <w:color w:val="auto"/>
              </w:rPr>
            </w:pPr>
            <w:r>
              <w:rPr>
                <w:rFonts w:ascii="Arial" w:cs="Arial" w:eastAsia="Arial" w:hAnsi="Arial"/>
                <w:sz w:val="22"/>
                <w:szCs w:val="22"/>
                <w:color w:val="auto"/>
              </w:rPr>
              <w:t>1</w:t>
            </w:r>
            <w:r>
              <w:rPr>
                <w:rFonts w:ascii="Arial" w:cs="Arial" w:eastAsia="Arial" w:hAnsi="Arial"/>
                <w:sz w:val="35"/>
                <w:szCs w:val="35"/>
                <w:color w:val="auto"/>
                <w:vertAlign w:val="superscript"/>
              </w:rPr>
              <w:t>st</w:t>
            </w:r>
            <w:r>
              <w:rPr>
                <w:rFonts w:ascii="Arial" w:cs="Arial" w:eastAsia="Arial" w:hAnsi="Arial"/>
                <w:sz w:val="22"/>
                <w:szCs w:val="22"/>
                <w:color w:val="auto"/>
              </w:rPr>
              <w:t xml:space="preserve"> lien secured debt portfolio:</w:t>
            </w:r>
          </w:p>
        </w:tc>
        <w:tc>
          <w:tcPr>
            <w:tcW w:w="3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320" w:top="206" w:right="879" w:bottom="0" w:gutter="0" w:footer="0" w:header="0"/>
        </w:sectPr>
      </w:pPr>
    </w:p>
    <w:bookmarkStart w:id="1" w:name="page2"/>
    <w:bookmarkEnd w:id="1"/>
    <w:p>
      <w:pPr>
        <w:spacing w:after="0" w:line="4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2</w:t>
      </w:r>
      <w:r>
        <w:rPr>
          <w:rFonts w:ascii="Arial" w:cs="Arial" w:eastAsia="Arial" w:hAnsi="Arial"/>
          <w:sz w:val="32"/>
          <w:szCs w:val="32"/>
          <w:color w:val="auto"/>
          <w:vertAlign w:val="superscript"/>
        </w:rPr>
        <w:t>nd</w:t>
      </w:r>
      <w:r>
        <w:rPr>
          <w:rFonts w:ascii="Arial" w:cs="Arial" w:eastAsia="Arial" w:hAnsi="Arial"/>
          <w:sz w:val="20"/>
          <w:szCs w:val="20"/>
          <w:color w:val="auto"/>
        </w:rPr>
        <w:t xml:space="preserve"> lien secured debt, subordinated debt and common equity portfolio:</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Weighted average yield on total debt portfolio:</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Weighted average yield on 1</w:t>
      </w:r>
      <w:r>
        <w:rPr>
          <w:rFonts w:ascii="Arial" w:cs="Arial" w:eastAsia="Arial" w:hAnsi="Arial"/>
          <w:sz w:val="35"/>
          <w:szCs w:val="35"/>
          <w:color w:val="auto"/>
          <w:vertAlign w:val="superscript"/>
        </w:rPr>
        <w:t>st</w:t>
      </w:r>
      <w:r>
        <w:rPr>
          <w:rFonts w:ascii="Arial" w:cs="Arial" w:eastAsia="Arial" w:hAnsi="Arial"/>
          <w:sz w:val="22"/>
          <w:szCs w:val="22"/>
          <w:color w:val="auto"/>
        </w:rPr>
        <w:t xml:space="preserve"> lien secured debt portfolio:</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9"/>
          <w:szCs w:val="19"/>
          <w:color w:val="auto"/>
        </w:rPr>
        <w:t>Weighted average yield on 2</w:t>
      </w:r>
      <w:r>
        <w:rPr>
          <w:rFonts w:ascii="Arial" w:cs="Arial" w:eastAsia="Arial" w:hAnsi="Arial"/>
          <w:sz w:val="30"/>
          <w:szCs w:val="30"/>
          <w:color w:val="auto"/>
          <w:vertAlign w:val="superscript"/>
        </w:rPr>
        <w:t>nd</w:t>
      </w:r>
      <w:r>
        <w:rPr>
          <w:rFonts w:ascii="Arial" w:cs="Arial" w:eastAsia="Arial" w:hAnsi="Arial"/>
          <w:sz w:val="19"/>
          <w:szCs w:val="19"/>
          <w:color w:val="auto"/>
        </w:rPr>
        <w:t xml:space="preserve"> lien secured and subordinated debt portfolio:</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Net assets: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Net asset value per share: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CONFERENCE CALL AT 10:00 A.M. ET ON AUGUST 10, 2007</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right"/>
        <w:ind w:right="2580"/>
        <w:spacing w:after="0"/>
        <w:rPr>
          <w:sz w:val="20"/>
          <w:szCs w:val="20"/>
          <w:color w:val="auto"/>
        </w:rPr>
      </w:pPr>
      <w:r>
        <w:rPr>
          <w:rFonts w:ascii="Arial" w:cs="Arial" w:eastAsia="Arial" w:hAnsi="Arial"/>
          <w:sz w:val="22"/>
          <w:szCs w:val="22"/>
          <w:color w:val="auto"/>
        </w:rPr>
        <w:t>$99.6</w:t>
      </w:r>
    </w:p>
    <w:p>
      <w:pPr>
        <w:spacing w:after="0" w:line="288" w:lineRule="exact"/>
        <w:rPr>
          <w:sz w:val="20"/>
          <w:szCs w:val="20"/>
          <w:color w:val="auto"/>
        </w:rPr>
      </w:pPr>
    </w:p>
    <w:p>
      <w:pPr>
        <w:jc w:val="right"/>
        <w:ind w:right="2580"/>
        <w:spacing w:after="0"/>
        <w:rPr>
          <w:sz w:val="20"/>
          <w:szCs w:val="20"/>
          <w:color w:val="auto"/>
        </w:rPr>
      </w:pPr>
      <w:r>
        <w:rPr>
          <w:rFonts w:ascii="Arial" w:cs="Arial" w:eastAsia="Arial" w:hAnsi="Arial"/>
          <w:sz w:val="22"/>
          <w:szCs w:val="22"/>
          <w:color w:val="auto"/>
        </w:rPr>
        <w:t>9.3%</w:t>
      </w:r>
    </w:p>
    <w:p>
      <w:pPr>
        <w:spacing w:after="0" w:line="233" w:lineRule="exact"/>
        <w:rPr>
          <w:sz w:val="20"/>
          <w:szCs w:val="20"/>
          <w:color w:val="auto"/>
        </w:rPr>
      </w:pPr>
    </w:p>
    <w:p>
      <w:pPr>
        <w:jc w:val="right"/>
        <w:ind w:right="2580"/>
        <w:spacing w:after="0"/>
        <w:rPr>
          <w:sz w:val="20"/>
          <w:szCs w:val="20"/>
          <w:color w:val="auto"/>
        </w:rPr>
      </w:pPr>
      <w:r>
        <w:rPr>
          <w:rFonts w:ascii="Arial" w:cs="Arial" w:eastAsia="Arial" w:hAnsi="Arial"/>
          <w:sz w:val="22"/>
          <w:szCs w:val="22"/>
          <w:color w:val="auto"/>
        </w:rPr>
        <w:t>7.6%</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9"/>
          <w:szCs w:val="19"/>
          <w:color w:val="auto"/>
        </w:rPr>
        <w:t>12.2%</w:t>
      </w: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color w:val="auto"/>
        </w:rPr>
        <w:t>$289.3</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$13.74</w:t>
      </w:r>
    </w:p>
    <w:p>
      <w:pPr>
        <w:spacing w:after="0" w:line="675" w:lineRule="exact"/>
        <w:rPr>
          <w:sz w:val="20"/>
          <w:szCs w:val="20"/>
          <w:color w:val="auto"/>
        </w:rPr>
      </w:pPr>
    </w:p>
    <w:p>
      <w:pPr>
        <w:sectPr>
          <w:pgSz w:w="11900" w:h="16873" w:orient="portrait"/>
          <w:cols w:equalWidth="0" w:num="2">
            <w:col w:w="7300" w:space="720"/>
            <w:col w:w="3180"/>
          </w:cols>
          <w:pgMar w:left="320" w:top="118" w:right="379" w:bottom="0" w:gutter="0" w:footer="0" w:header="0"/>
        </w:sectPr>
      </w:pPr>
    </w:p>
    <w:p>
      <w:pPr>
        <w:spacing w:after="0" w:line="6"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The Company will host a conference call at 10:00 a.m. (Eastern Time) on Friday, August 10, 2007 to discuss its quarter results. All interested parties are welcome to participate. You can access the conference call by dialing (866) 226-1799 approximately 5-10 minutes prior to the call. International callers should dial (416) 340-2218. All callers should reference "PennantPark Investment Corporation" or "conference ID #3230743". An archived replay of the call will be available through August 24, 2007 by calling (800) 408-3053. International callers please dial (416) 695-5800. For all replays, please reference pin #3230743.</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PORTFOLIO AND INVESTMENT ACTIVITY</w:t>
      </w:r>
    </w:p>
    <w:p>
      <w:pPr>
        <w:spacing w:after="0" w:line="206" w:lineRule="exact"/>
        <w:rPr>
          <w:sz w:val="20"/>
          <w:szCs w:val="20"/>
          <w:color w:val="auto"/>
        </w:rPr>
      </w:pPr>
    </w:p>
    <w:p>
      <w:pPr>
        <w:ind w:right="220"/>
        <w:spacing w:after="0" w:line="239" w:lineRule="auto"/>
        <w:rPr>
          <w:sz w:val="20"/>
          <w:szCs w:val="20"/>
          <w:color w:val="auto"/>
        </w:rPr>
      </w:pPr>
      <w:r>
        <w:rPr>
          <w:rFonts w:ascii="Arial" w:cs="Arial" w:eastAsia="Arial" w:hAnsi="Arial"/>
          <w:sz w:val="19"/>
          <w:szCs w:val="19"/>
          <w:color w:val="auto"/>
        </w:rPr>
        <w:t>Since the closing of our initial public offering on April 24, 2007, we completed our first quarter of operations on June 30, 2007 with our portfolio invested $42.2 million in subordinated debt, $54.4 million in 2</w:t>
      </w:r>
      <w:r>
        <w:rPr>
          <w:rFonts w:ascii="Arial" w:cs="Arial" w:eastAsia="Arial" w:hAnsi="Arial"/>
          <w:sz w:val="30"/>
          <w:szCs w:val="30"/>
          <w:color w:val="auto"/>
          <w:vertAlign w:val="superscript"/>
        </w:rPr>
        <w:t>nd</w:t>
      </w:r>
      <w:r>
        <w:rPr>
          <w:rFonts w:ascii="Arial" w:cs="Arial" w:eastAsia="Arial" w:hAnsi="Arial"/>
          <w:sz w:val="19"/>
          <w:szCs w:val="19"/>
          <w:color w:val="auto"/>
        </w:rPr>
        <w:t xml:space="preserve"> lien secured debt, $3.0 million in common</w:t>
      </w:r>
    </w:p>
    <w:p>
      <w:pPr>
        <w:spacing w:after="0" w:line="2" w:lineRule="exact"/>
        <w:rPr>
          <w:sz w:val="20"/>
          <w:szCs w:val="20"/>
          <w:color w:val="auto"/>
        </w:rPr>
      </w:pPr>
    </w:p>
    <w:p>
      <w:pPr>
        <w:ind w:right="180"/>
        <w:spacing w:after="0" w:line="230" w:lineRule="auto"/>
        <w:rPr>
          <w:sz w:val="20"/>
          <w:szCs w:val="20"/>
          <w:color w:val="auto"/>
        </w:rPr>
      </w:pPr>
      <w:r>
        <w:rPr>
          <w:rFonts w:ascii="Arial" w:cs="Arial" w:eastAsia="Arial" w:hAnsi="Arial"/>
          <w:sz w:val="19"/>
          <w:szCs w:val="19"/>
          <w:color w:val="auto"/>
        </w:rPr>
        <w:t>equity and $175.4 million in 1</w:t>
      </w:r>
      <w:r>
        <w:rPr>
          <w:rFonts w:ascii="Arial" w:cs="Arial" w:eastAsia="Arial" w:hAnsi="Arial"/>
          <w:sz w:val="30"/>
          <w:szCs w:val="30"/>
          <w:color w:val="auto"/>
          <w:vertAlign w:val="superscript"/>
        </w:rPr>
        <w:t>st</w:t>
      </w:r>
      <w:r>
        <w:rPr>
          <w:rFonts w:ascii="Arial" w:cs="Arial" w:eastAsia="Arial" w:hAnsi="Arial"/>
          <w:sz w:val="19"/>
          <w:szCs w:val="19"/>
          <w:color w:val="auto"/>
        </w:rPr>
        <w:t xml:space="preserve"> lien secured debt. Our portfolio of subordinated debt, 2</w:t>
      </w:r>
      <w:r>
        <w:rPr>
          <w:rFonts w:ascii="Arial" w:cs="Arial" w:eastAsia="Arial" w:hAnsi="Arial"/>
          <w:sz w:val="30"/>
          <w:szCs w:val="30"/>
          <w:color w:val="auto"/>
          <w:vertAlign w:val="superscript"/>
        </w:rPr>
        <w:t>nd</w:t>
      </w:r>
      <w:r>
        <w:rPr>
          <w:rFonts w:ascii="Arial" w:cs="Arial" w:eastAsia="Arial" w:hAnsi="Arial"/>
          <w:sz w:val="19"/>
          <w:szCs w:val="19"/>
          <w:color w:val="auto"/>
        </w:rPr>
        <w:t xml:space="preserve"> lien secured debt and common equity totaled $99.6 million and consisted of investments in seven different companies with an average investment size of $14 million</w:t>
      </w:r>
    </w:p>
    <w:p>
      <w:pPr>
        <w:ind w:right="320"/>
        <w:spacing w:after="0" w:line="230" w:lineRule="auto"/>
        <w:rPr>
          <w:sz w:val="20"/>
          <w:szCs w:val="20"/>
          <w:color w:val="auto"/>
        </w:rPr>
      </w:pPr>
      <w:r>
        <w:rPr>
          <w:rFonts w:ascii="Arial" w:cs="Arial" w:eastAsia="Arial" w:hAnsi="Arial"/>
          <w:sz w:val="19"/>
          <w:szCs w:val="19"/>
          <w:color w:val="auto"/>
        </w:rPr>
        <w:t>per company. The weighted average yield on our subordinated debt and 2</w:t>
      </w:r>
      <w:r>
        <w:rPr>
          <w:rFonts w:ascii="Arial" w:cs="Arial" w:eastAsia="Arial" w:hAnsi="Arial"/>
          <w:sz w:val="30"/>
          <w:szCs w:val="30"/>
          <w:color w:val="auto"/>
          <w:vertAlign w:val="superscript"/>
        </w:rPr>
        <w:t>nd</w:t>
      </w:r>
      <w:r>
        <w:rPr>
          <w:rFonts w:ascii="Arial" w:cs="Arial" w:eastAsia="Arial" w:hAnsi="Arial"/>
          <w:sz w:val="19"/>
          <w:szCs w:val="19"/>
          <w:color w:val="auto"/>
        </w:rPr>
        <w:t xml:space="preserve"> lien secured portfolio was 12.2%. Our 1</w:t>
      </w:r>
      <w:r>
        <w:rPr>
          <w:rFonts w:ascii="Arial" w:cs="Arial" w:eastAsia="Arial" w:hAnsi="Arial"/>
          <w:sz w:val="30"/>
          <w:szCs w:val="30"/>
          <w:color w:val="auto"/>
          <w:vertAlign w:val="superscript"/>
        </w:rPr>
        <w:t>st</w:t>
      </w:r>
      <w:r>
        <w:rPr>
          <w:rFonts w:ascii="Arial" w:cs="Arial" w:eastAsia="Arial" w:hAnsi="Arial"/>
          <w:sz w:val="19"/>
          <w:szCs w:val="19"/>
          <w:color w:val="auto"/>
        </w:rPr>
        <w:t xml:space="preserve"> lien secured portfolio totals $175.4 million and consisted of 30 different companies with an average investment size of $6 million.</w:t>
      </w:r>
    </w:p>
    <w:p>
      <w:pPr>
        <w:ind w:right="160"/>
        <w:spacing w:after="0" w:line="200" w:lineRule="auto"/>
        <w:rPr>
          <w:sz w:val="20"/>
          <w:szCs w:val="20"/>
          <w:color w:val="auto"/>
        </w:rPr>
      </w:pPr>
      <w:r>
        <w:rPr>
          <w:rFonts w:ascii="Arial" w:cs="Arial" w:eastAsia="Arial" w:hAnsi="Arial"/>
          <w:sz w:val="22"/>
          <w:szCs w:val="22"/>
          <w:color w:val="auto"/>
        </w:rPr>
        <w:t>The weighted average yield on the 1</w:t>
      </w:r>
      <w:r>
        <w:rPr>
          <w:rFonts w:ascii="Arial" w:cs="Arial" w:eastAsia="Arial" w:hAnsi="Arial"/>
          <w:sz w:val="35"/>
          <w:szCs w:val="35"/>
          <w:color w:val="auto"/>
          <w:vertAlign w:val="superscript"/>
        </w:rPr>
        <w:t>st</w:t>
      </w:r>
      <w:r>
        <w:rPr>
          <w:rFonts w:ascii="Arial" w:cs="Arial" w:eastAsia="Arial" w:hAnsi="Arial"/>
          <w:sz w:val="22"/>
          <w:szCs w:val="22"/>
          <w:color w:val="auto"/>
        </w:rPr>
        <w:t xml:space="preserve"> lien investments was 7.6%. The portfolio had unrealized depreciation of $5.1 million due to softness in the overall leveraged finance credit market.</w:t>
      </w:r>
    </w:p>
    <w:p>
      <w:pPr>
        <w:spacing w:after="0" w:line="187"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"We are pleased with the progress we have made since our IPO in April in setting up our business to capture the opportunity in the marketplace today. We are well positioned through the combination of our substantial sourcing network, significant long-term capital resources and our disciplined, value orientation," said Arthur Penn, Chairman and Chief Executive Officer. "Accordingly, we have the opportunity to selectively deploy capital on increasingly attractive terms and provide strong dividends to our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Results comparisons are for the quarter ended June 30, 2007 and since inception.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Investment Income</w:t>
      </w:r>
    </w:p>
    <w:p>
      <w:pPr>
        <w:spacing w:after="0" w:line="206"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For the quarter ended June 30, 2007 and since inception, gross investment income totaled $5.4 million and $6.2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Expenses</w:t>
      </w:r>
    </w:p>
    <w:p>
      <w:pPr>
        <w:spacing w:after="0" w:line="206"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For the quarter ended June 30, 2007 and since inception, net expenses totaled $2.2 million and $3.2 million, respectively, of which approximately $786,000 was for base management fees, $862,000 and $1,603,000, respectively, were interest and other credit facility expenses, and $24,000 and $307,000, respectively, were non-recurring, primarily legal and corporate tax expenses. Expenses exclusive of base management fees, interest and other credit facility and non-recurring expenses for the quarter ended June 30, 2007 and since inception were approximately $545,000.</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Net Investment Income</w:t>
      </w:r>
    </w:p>
    <w:p>
      <w:pPr>
        <w:spacing w:after="0" w:line="206"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The Company's net investment income totaled $3.2 million and $3.0 million, respectively, for the quarter ended June 30, 2007 and since inception.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Net Realized Gains</w:t>
      </w:r>
    </w:p>
    <w:p>
      <w:pPr>
        <w:spacing w:after="0" w:line="206"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The Company had investment sales and paydowns totaling $84.6 million and $92.7 million, respectively, for the quarter ended June 30, 2007 and since inception. Net realized losses for the quarter ended June 30, 2007 and since inception were approximately $35,000 and $15,000,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Net Unrealized Depreciation on Investments</w:t>
      </w:r>
    </w:p>
    <w:p>
      <w:pPr>
        <w:spacing w:after="0" w:line="206"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For the quarter ended June 30, 2007 and since inception, net unrealized depreciation on the Company's investments decreased $5.1 million. The decrease in net unrealized depreciation was primarily due to softness in the overall leveraged finance credit</w:t>
      </w:r>
    </w:p>
    <w:p>
      <w:pPr>
        <w:sectPr>
          <w:pgSz w:w="11900" w:h="16873" w:orient="portrait"/>
          <w:cols w:equalWidth="0" w:num="1">
            <w:col w:w="11200"/>
          </w:cols>
          <w:pgMar w:left="320" w:top="118" w:right="379" w:bottom="0" w:gutter="0" w:footer="0" w:header="0"/>
          <w:type w:val="continuous"/>
        </w:sectPr>
      </w:pPr>
    </w:p>
    <w:bookmarkStart w:id="2" w:name="page3"/>
    <w:bookmarkEnd w:id="2"/>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markets.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Net Decrease in Net Assets From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For the quarter ended June 30, 2007 and since inception, the Company had a decrease in net assets resulting from operations of $1.9 million and $2.2 million, respectively. The change in net assets from operations per share was $0.09 and $0.10, respectively, for the quarter ended June 30, 2007 and since inception.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LIQUIDITY AND CAPITAL RESOURCES</w:t>
      </w:r>
    </w:p>
    <w:p>
      <w:pPr>
        <w:spacing w:after="0" w:line="206" w:lineRule="exact"/>
        <w:rPr>
          <w:sz w:val="20"/>
          <w:szCs w:val="20"/>
          <w:color w:val="auto"/>
        </w:rPr>
      </w:pPr>
    </w:p>
    <w:p>
      <w:pPr>
        <w:ind w:right="500"/>
        <w:spacing w:after="0" w:line="279" w:lineRule="auto"/>
        <w:rPr>
          <w:sz w:val="20"/>
          <w:szCs w:val="20"/>
          <w:color w:val="auto"/>
        </w:rPr>
      </w:pPr>
      <w:r>
        <w:rPr>
          <w:rFonts w:ascii="Arial" w:cs="Arial" w:eastAsia="Arial" w:hAnsi="Arial"/>
          <w:sz w:val="19"/>
          <w:szCs w:val="19"/>
          <w:color w:val="auto"/>
        </w:rPr>
        <w:t>The Company's liquidity and capital resources are generated primarily through its senior secured, multi-currency, five-year, revolving credit facility maturing in June 2012 as well as from cash flows from operations, including investment sales and</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color w:val="auto"/>
        </w:rPr>
        <w:t>paydowns of 1</w:t>
      </w:r>
      <w:r>
        <w:rPr>
          <w:rFonts w:ascii="Arial" w:cs="Arial" w:eastAsia="Arial" w:hAnsi="Arial"/>
          <w:sz w:val="32"/>
          <w:szCs w:val="32"/>
          <w:color w:val="auto"/>
          <w:vertAlign w:val="superscript"/>
        </w:rPr>
        <w:t>st</w:t>
      </w:r>
      <w:r>
        <w:rPr>
          <w:rFonts w:ascii="Arial" w:cs="Arial" w:eastAsia="Arial" w:hAnsi="Arial"/>
          <w:sz w:val="20"/>
          <w:szCs w:val="20"/>
          <w:color w:val="auto"/>
        </w:rPr>
        <w:t xml:space="preserve"> lien secured debt and income earned from investments and cash equivalents. During the quarter ended June 30, 2007, we issued 21,025,000 shares of common stock in an initial public offering, a private placement and exercise of the underwriters'over-allotment option, receiving an aggregate of $294.1 million in net proceeds. During the quarter, we also entered into a $300.0 million senior secured, multi-currency, five-year, revolving credit facility at LIBOR plus a spread of 100 basis points. At June 30, 2007, the Company had not borrowed any funds under the credit facility.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DIVIDENDS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Dividends paid to stockholders for the quarter ended June 30, 2007 and since inception totaled $2.9 million or $0.14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25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2560"/>
        <w:spacing w:after="0"/>
        <w:rPr>
          <w:sz w:val="20"/>
          <w:szCs w:val="20"/>
          <w:color w:val="auto"/>
        </w:rPr>
      </w:pPr>
      <w:r>
        <w:rPr>
          <w:rFonts w:ascii="Arial" w:cs="Arial" w:eastAsia="Arial" w:hAnsi="Arial"/>
          <w:sz w:val="18"/>
          <w:szCs w:val="18"/>
          <w:b w:val="1"/>
          <w:bCs w:val="1"/>
          <w:color w:val="auto"/>
        </w:rPr>
        <w:t>CONSOLIDATED STATEMENT OF ASSETS AND LIABILITIES</w:t>
      </w:r>
    </w:p>
    <w:p>
      <w:pPr>
        <w:spacing w:after="0" w:line="9" w:lineRule="exact"/>
        <w:rPr>
          <w:sz w:val="20"/>
          <w:szCs w:val="20"/>
          <w:color w:val="auto"/>
        </w:rPr>
      </w:pPr>
    </w:p>
    <w:p>
      <w:pPr>
        <w:jc w:val="center"/>
        <w:ind w:right="2560"/>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June 30, 2007</w:t>
            </w:r>
          </w:p>
        </w:tc>
        <w:tc>
          <w:tcPr>
            <w:tcW w:w="0" w:type="dxa"/>
            <w:vAlign w:val="bottom"/>
          </w:tcPr>
          <w:p>
            <w:pPr>
              <w:spacing w:after="0"/>
              <w:rPr>
                <w:sz w:val="1"/>
                <w:szCs w:val="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240" w:type="dxa"/>
            <w:vAlign w:val="bottom"/>
          </w:tcPr>
          <w:p>
            <w:pPr>
              <w:spacing w:after="0" w:line="277" w:lineRule="exact"/>
              <w:rPr>
                <w:sz w:val="20"/>
                <w:szCs w:val="20"/>
                <w:color w:val="auto"/>
              </w:rPr>
            </w:pPr>
            <w:r>
              <w:rPr>
                <w:rFonts w:ascii="Arial" w:cs="Arial" w:eastAsia="Arial" w:hAnsi="Arial"/>
                <w:sz w:val="18"/>
                <w:szCs w:val="18"/>
                <w:color w:val="auto"/>
              </w:rPr>
              <w:t>Investments, at fair value (cost-$280,155,544)</w:t>
            </w:r>
            <w:r>
              <w:rPr>
                <w:rFonts w:ascii="Arial" w:cs="Arial" w:eastAsia="Arial" w:hAnsi="Arial"/>
                <w:sz w:val="29"/>
                <w:szCs w:val="29"/>
                <w:color w:val="auto"/>
                <w:vertAlign w:val="superscript"/>
              </w:rPr>
              <w:t>1</w:t>
            </w:r>
          </w:p>
        </w:tc>
        <w:tc>
          <w:tcPr>
            <w:tcW w:w="1380" w:type="dxa"/>
            <w:vAlign w:val="bottom"/>
          </w:tcPr>
          <w:p>
            <w:pPr>
              <w:jc w:val="right"/>
              <w:spacing w:after="0"/>
              <w:rPr>
                <w:sz w:val="20"/>
                <w:szCs w:val="20"/>
                <w:color w:val="auto"/>
              </w:rPr>
            </w:pPr>
            <w:r>
              <w:rPr>
                <w:rFonts w:ascii="Arial" w:cs="Arial" w:eastAsia="Arial" w:hAnsi="Arial"/>
                <w:sz w:val="18"/>
                <w:szCs w:val="18"/>
                <w:color w:val="auto"/>
              </w:rPr>
              <w:t>$275,043,692</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Cash and cash equivalents (cost-$288,111,837)</w:t>
            </w:r>
          </w:p>
        </w:tc>
        <w:tc>
          <w:tcPr>
            <w:tcW w:w="1380" w:type="dxa"/>
            <w:vAlign w:val="bottom"/>
          </w:tcPr>
          <w:p>
            <w:pPr>
              <w:jc w:val="right"/>
              <w:spacing w:after="0"/>
              <w:rPr>
                <w:sz w:val="20"/>
                <w:szCs w:val="20"/>
                <w:color w:val="auto"/>
              </w:rPr>
            </w:pPr>
            <w:r>
              <w:rPr>
                <w:rFonts w:ascii="Arial" w:cs="Arial" w:eastAsia="Arial" w:hAnsi="Arial"/>
                <w:sz w:val="18"/>
                <w:szCs w:val="18"/>
                <w:color w:val="auto"/>
              </w:rPr>
              <w:t>288,104,949</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380" w:type="dxa"/>
            <w:vAlign w:val="bottom"/>
          </w:tcPr>
          <w:p>
            <w:pPr>
              <w:jc w:val="right"/>
              <w:spacing w:after="0"/>
              <w:rPr>
                <w:sz w:val="20"/>
                <w:szCs w:val="20"/>
                <w:color w:val="auto"/>
              </w:rPr>
            </w:pPr>
            <w:r>
              <w:rPr>
                <w:rFonts w:ascii="Arial" w:cs="Arial" w:eastAsia="Arial" w:hAnsi="Arial"/>
                <w:sz w:val="18"/>
                <w:szCs w:val="18"/>
                <w:color w:val="auto"/>
              </w:rPr>
              <w:t>13,574,352</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Interest receivable</w:t>
            </w:r>
          </w:p>
        </w:tc>
        <w:tc>
          <w:tcPr>
            <w:tcW w:w="1380" w:type="dxa"/>
            <w:vAlign w:val="bottom"/>
          </w:tcPr>
          <w:p>
            <w:pPr>
              <w:jc w:val="right"/>
              <w:spacing w:after="0"/>
              <w:rPr>
                <w:sz w:val="20"/>
                <w:szCs w:val="20"/>
                <w:color w:val="auto"/>
              </w:rPr>
            </w:pPr>
            <w:r>
              <w:rPr>
                <w:rFonts w:ascii="Arial" w:cs="Arial" w:eastAsia="Arial" w:hAnsi="Arial"/>
                <w:sz w:val="18"/>
                <w:szCs w:val="18"/>
                <w:color w:val="auto"/>
              </w:rPr>
              <w:t>3,030,837</w:t>
            </w:r>
          </w:p>
        </w:tc>
        <w:tc>
          <w:tcPr>
            <w:tcW w:w="0" w:type="dxa"/>
            <w:vAlign w:val="bottom"/>
          </w:tcPr>
          <w:p>
            <w:pPr>
              <w:spacing w:after="0"/>
              <w:rPr>
                <w:sz w:val="1"/>
                <w:szCs w:val="1"/>
                <w:color w:val="auto"/>
              </w:rPr>
            </w:pP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380" w:type="dxa"/>
            <w:vAlign w:val="bottom"/>
          </w:tcPr>
          <w:p>
            <w:pPr>
              <w:jc w:val="right"/>
              <w:spacing w:after="0"/>
              <w:rPr>
                <w:sz w:val="20"/>
                <w:szCs w:val="20"/>
                <w:color w:val="auto"/>
              </w:rPr>
            </w:pPr>
            <w:r>
              <w:rPr>
                <w:rFonts w:ascii="Arial" w:cs="Arial" w:eastAsia="Arial" w:hAnsi="Arial"/>
                <w:sz w:val="18"/>
                <w:szCs w:val="18"/>
                <w:color w:val="auto"/>
              </w:rPr>
              <w:t>1,469,254</w:t>
            </w:r>
          </w:p>
        </w:tc>
        <w:tc>
          <w:tcPr>
            <w:tcW w:w="0" w:type="dxa"/>
            <w:vAlign w:val="bottom"/>
          </w:tcPr>
          <w:p>
            <w:pPr>
              <w:spacing w:after="0"/>
              <w:rPr>
                <w:sz w:val="1"/>
                <w:szCs w:val="1"/>
                <w:color w:val="auto"/>
              </w:rPr>
            </w:pPr>
          </w:p>
        </w:tc>
      </w:tr>
      <w:tr>
        <w:trPr>
          <w:trHeight w:val="231"/>
        </w:trPr>
        <w:tc>
          <w:tcPr>
            <w:tcW w:w="724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581,223,084</w:t>
            </w:r>
          </w:p>
        </w:tc>
        <w:tc>
          <w:tcPr>
            <w:tcW w:w="0" w:type="dxa"/>
            <w:vAlign w:val="bottom"/>
          </w:tcPr>
          <w:p>
            <w:pPr>
              <w:spacing w:after="0"/>
              <w:rPr>
                <w:sz w:val="1"/>
                <w:szCs w:val="1"/>
                <w:color w:val="auto"/>
              </w:rPr>
            </w:pPr>
          </w:p>
        </w:tc>
      </w:tr>
      <w:tr>
        <w:trPr>
          <w:trHeight w:val="21"/>
        </w:trPr>
        <w:tc>
          <w:tcPr>
            <w:tcW w:w="72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72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40" w:type="dxa"/>
            <w:vAlign w:val="bottom"/>
          </w:tcPr>
          <w:p>
            <w:pPr>
              <w:spacing w:after="0"/>
              <w:rPr>
                <w:sz w:val="20"/>
                <w:szCs w:val="20"/>
                <w:color w:val="auto"/>
              </w:rPr>
            </w:pPr>
            <w:r>
              <w:rPr>
                <w:rFonts w:ascii="Arial" w:cs="Arial" w:eastAsia="Arial" w:hAnsi="Arial"/>
                <w:sz w:val="18"/>
                <w:szCs w:val="18"/>
                <w:color w:val="auto"/>
              </w:rPr>
              <w:t>Payable for cash equivalents purchased</w:t>
            </w:r>
          </w:p>
        </w:tc>
        <w:tc>
          <w:tcPr>
            <w:tcW w:w="1380" w:type="dxa"/>
            <w:vAlign w:val="bottom"/>
          </w:tcPr>
          <w:p>
            <w:pPr>
              <w:jc w:val="right"/>
              <w:spacing w:after="0"/>
              <w:rPr>
                <w:sz w:val="20"/>
                <w:szCs w:val="20"/>
                <w:color w:val="auto"/>
              </w:rPr>
            </w:pPr>
            <w:r>
              <w:rPr>
                <w:rFonts w:ascii="Arial" w:cs="Arial" w:eastAsia="Arial" w:hAnsi="Arial"/>
                <w:sz w:val="18"/>
                <w:szCs w:val="18"/>
                <w:color w:val="auto"/>
              </w:rPr>
              <w:t>281,783,538</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Unfunded investments</w:t>
            </w:r>
          </w:p>
        </w:tc>
        <w:tc>
          <w:tcPr>
            <w:tcW w:w="1380" w:type="dxa"/>
            <w:vAlign w:val="bottom"/>
          </w:tcPr>
          <w:p>
            <w:pPr>
              <w:jc w:val="right"/>
              <w:spacing w:after="0"/>
              <w:rPr>
                <w:sz w:val="20"/>
                <w:szCs w:val="20"/>
                <w:color w:val="auto"/>
              </w:rPr>
            </w:pPr>
            <w:r>
              <w:rPr>
                <w:rFonts w:ascii="Arial" w:cs="Arial" w:eastAsia="Arial" w:hAnsi="Arial"/>
                <w:sz w:val="18"/>
                <w:szCs w:val="18"/>
                <w:color w:val="auto"/>
              </w:rPr>
              <w:t>8,591,972</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Interest payable</w:t>
            </w:r>
          </w:p>
        </w:tc>
        <w:tc>
          <w:tcPr>
            <w:tcW w:w="1380" w:type="dxa"/>
            <w:vAlign w:val="bottom"/>
          </w:tcPr>
          <w:p>
            <w:pPr>
              <w:jc w:val="right"/>
              <w:spacing w:after="0"/>
              <w:rPr>
                <w:sz w:val="20"/>
                <w:szCs w:val="20"/>
                <w:color w:val="auto"/>
              </w:rPr>
            </w:pPr>
            <w:r>
              <w:rPr>
                <w:rFonts w:ascii="Arial" w:cs="Arial" w:eastAsia="Arial" w:hAnsi="Arial"/>
                <w:sz w:val="18"/>
                <w:szCs w:val="18"/>
                <w:color w:val="auto"/>
              </w:rPr>
              <w:t>15,208</w:t>
            </w:r>
          </w:p>
        </w:tc>
        <w:tc>
          <w:tcPr>
            <w:tcW w:w="0" w:type="dxa"/>
            <w:vAlign w:val="bottom"/>
          </w:tcPr>
          <w:p>
            <w:pPr>
              <w:spacing w:after="0"/>
              <w:rPr>
                <w:sz w:val="1"/>
                <w:szCs w:val="1"/>
                <w:color w:val="auto"/>
              </w:rPr>
            </w:pP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Accrued other expenses</w:t>
            </w:r>
          </w:p>
        </w:tc>
        <w:tc>
          <w:tcPr>
            <w:tcW w:w="1380" w:type="dxa"/>
            <w:vAlign w:val="bottom"/>
          </w:tcPr>
          <w:p>
            <w:pPr>
              <w:jc w:val="right"/>
              <w:spacing w:after="0"/>
              <w:rPr>
                <w:sz w:val="20"/>
                <w:szCs w:val="20"/>
                <w:color w:val="auto"/>
              </w:rPr>
            </w:pPr>
            <w:r>
              <w:rPr>
                <w:rFonts w:ascii="Arial" w:cs="Arial" w:eastAsia="Arial" w:hAnsi="Arial"/>
                <w:sz w:val="18"/>
                <w:szCs w:val="18"/>
                <w:color w:val="auto"/>
              </w:rPr>
              <w:t>1,580,604</w:t>
            </w:r>
          </w:p>
        </w:tc>
        <w:tc>
          <w:tcPr>
            <w:tcW w:w="0" w:type="dxa"/>
            <w:vAlign w:val="bottom"/>
          </w:tcPr>
          <w:p>
            <w:pPr>
              <w:spacing w:after="0"/>
              <w:rPr>
                <w:sz w:val="1"/>
                <w:szCs w:val="1"/>
                <w:color w:val="auto"/>
              </w:rPr>
            </w:pPr>
          </w:p>
        </w:tc>
      </w:tr>
      <w:tr>
        <w:trPr>
          <w:trHeight w:val="231"/>
        </w:trPr>
        <w:tc>
          <w:tcPr>
            <w:tcW w:w="724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Total liabilities</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291,971,322</w:t>
            </w:r>
          </w:p>
        </w:tc>
        <w:tc>
          <w:tcPr>
            <w:tcW w:w="0" w:type="dxa"/>
            <w:vAlign w:val="bottom"/>
          </w:tcPr>
          <w:p>
            <w:pPr>
              <w:spacing w:after="0"/>
              <w:rPr>
                <w:sz w:val="1"/>
                <w:szCs w:val="1"/>
                <w:color w:val="auto"/>
              </w:rPr>
            </w:pPr>
          </w:p>
        </w:tc>
      </w:tr>
      <w:tr>
        <w:trPr>
          <w:trHeight w:val="478"/>
        </w:trPr>
        <w:tc>
          <w:tcPr>
            <w:tcW w:w="72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Common stock, par value $.001 per share, 100,000,000 shares authorized and</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540"/>
              <w:spacing w:after="0"/>
              <w:rPr>
                <w:sz w:val="20"/>
                <w:szCs w:val="20"/>
                <w:color w:val="auto"/>
              </w:rPr>
            </w:pPr>
            <w:r>
              <w:rPr>
                <w:rFonts w:ascii="Arial" w:cs="Arial" w:eastAsia="Arial" w:hAnsi="Arial"/>
                <w:sz w:val="18"/>
                <w:szCs w:val="18"/>
                <w:color w:val="auto"/>
              </w:rPr>
              <w:t>21,046,883 shares issued and outstanding</w:t>
            </w:r>
          </w:p>
        </w:tc>
        <w:tc>
          <w:tcPr>
            <w:tcW w:w="1380" w:type="dxa"/>
            <w:vAlign w:val="bottom"/>
          </w:tcPr>
          <w:p>
            <w:pPr>
              <w:jc w:val="right"/>
              <w:spacing w:after="0"/>
              <w:rPr>
                <w:sz w:val="20"/>
                <w:szCs w:val="20"/>
                <w:color w:val="auto"/>
              </w:rPr>
            </w:pPr>
            <w:r>
              <w:rPr>
                <w:rFonts w:ascii="Arial" w:cs="Arial" w:eastAsia="Arial" w:hAnsi="Arial"/>
                <w:sz w:val="18"/>
                <w:szCs w:val="18"/>
                <w:color w:val="auto"/>
              </w:rPr>
              <w:t>21,047</w:t>
            </w:r>
          </w:p>
        </w:tc>
        <w:tc>
          <w:tcPr>
            <w:tcW w:w="0" w:type="dxa"/>
            <w:vAlign w:val="bottom"/>
          </w:tcPr>
          <w:p>
            <w:pPr>
              <w:spacing w:after="0"/>
              <w:rPr>
                <w:sz w:val="1"/>
                <w:szCs w:val="1"/>
                <w:color w:val="auto"/>
              </w:rPr>
            </w:pPr>
          </w:p>
        </w:tc>
      </w:tr>
      <w:tr>
        <w:trPr>
          <w:trHeight w:val="237"/>
        </w:trPr>
        <w:tc>
          <w:tcPr>
            <w:tcW w:w="7240" w:type="dxa"/>
            <w:vAlign w:val="bottom"/>
          </w:tcPr>
          <w:p>
            <w:pPr>
              <w:spacing w:after="0"/>
              <w:rPr>
                <w:sz w:val="20"/>
                <w:szCs w:val="20"/>
                <w:color w:val="auto"/>
              </w:rPr>
            </w:pPr>
            <w:r>
              <w:rPr>
                <w:rFonts w:ascii="Arial" w:cs="Arial" w:eastAsia="Arial" w:hAnsi="Arial"/>
                <w:sz w:val="18"/>
                <w:szCs w:val="18"/>
                <w:color w:val="auto"/>
              </w:rPr>
              <w:t>Paid-in capital in excess of par</w:t>
            </w:r>
          </w:p>
        </w:tc>
        <w:tc>
          <w:tcPr>
            <w:tcW w:w="1380" w:type="dxa"/>
            <w:vAlign w:val="bottom"/>
          </w:tcPr>
          <w:p>
            <w:pPr>
              <w:jc w:val="right"/>
              <w:spacing w:after="0"/>
              <w:rPr>
                <w:sz w:val="20"/>
                <w:szCs w:val="20"/>
                <w:color w:val="auto"/>
              </w:rPr>
            </w:pPr>
            <w:r>
              <w:rPr>
                <w:rFonts w:ascii="Arial" w:cs="Arial" w:eastAsia="Arial" w:hAnsi="Arial"/>
                <w:sz w:val="18"/>
                <w:szCs w:val="18"/>
                <w:color w:val="auto"/>
              </w:rPr>
              <w:t>294,351,807</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380" w:type="dxa"/>
            <w:vAlign w:val="bottom"/>
          </w:tcPr>
          <w:p>
            <w:pPr>
              <w:jc w:val="right"/>
              <w:spacing w:after="0"/>
              <w:rPr>
                <w:sz w:val="20"/>
                <w:szCs w:val="20"/>
                <w:color w:val="auto"/>
              </w:rPr>
            </w:pPr>
            <w:r>
              <w:rPr>
                <w:rFonts w:ascii="Arial" w:cs="Arial" w:eastAsia="Arial" w:hAnsi="Arial"/>
                <w:sz w:val="18"/>
                <w:szCs w:val="18"/>
                <w:color w:val="auto"/>
              </w:rPr>
              <w:t>12,999</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Accumulated net realized loss</w:t>
            </w:r>
          </w:p>
        </w:tc>
        <w:tc>
          <w:tcPr>
            <w:tcW w:w="1380" w:type="dxa"/>
            <w:vAlign w:val="bottom"/>
          </w:tcPr>
          <w:p>
            <w:pPr>
              <w:jc w:val="right"/>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380" w:type="dxa"/>
            <w:vAlign w:val="bottom"/>
          </w:tcPr>
          <w:p>
            <w:pPr>
              <w:jc w:val="right"/>
              <w:spacing w:after="0"/>
              <w:rPr>
                <w:sz w:val="20"/>
                <w:szCs w:val="20"/>
                <w:color w:val="auto"/>
              </w:rPr>
            </w:pPr>
            <w:r>
              <w:rPr>
                <w:rFonts w:ascii="Arial" w:cs="Arial" w:eastAsia="Arial" w:hAnsi="Arial"/>
                <w:sz w:val="18"/>
                <w:szCs w:val="18"/>
                <w:color w:val="auto"/>
              </w:rPr>
              <w:t>(5,118,740)</w:t>
            </w:r>
          </w:p>
        </w:tc>
        <w:tc>
          <w:tcPr>
            <w:tcW w:w="0" w:type="dxa"/>
            <w:vAlign w:val="bottom"/>
          </w:tcPr>
          <w:p>
            <w:pPr>
              <w:spacing w:after="0"/>
              <w:rPr>
                <w:sz w:val="1"/>
                <w:szCs w:val="1"/>
                <w:color w:val="auto"/>
              </w:rPr>
            </w:pPr>
          </w:p>
        </w:tc>
      </w:tr>
      <w:tr>
        <w:trPr>
          <w:trHeight w:val="231"/>
        </w:trPr>
        <w:tc>
          <w:tcPr>
            <w:tcW w:w="724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Total net assets</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289,251,762</w:t>
            </w:r>
          </w:p>
        </w:tc>
        <w:tc>
          <w:tcPr>
            <w:tcW w:w="0" w:type="dxa"/>
            <w:vAlign w:val="bottom"/>
          </w:tcPr>
          <w:p>
            <w:pPr>
              <w:spacing w:after="0"/>
              <w:rPr>
                <w:sz w:val="1"/>
                <w:szCs w:val="1"/>
                <w:color w:val="auto"/>
              </w:rPr>
            </w:pPr>
          </w:p>
        </w:tc>
      </w:tr>
      <w:tr>
        <w:trPr>
          <w:trHeight w:val="223"/>
        </w:trPr>
        <w:tc>
          <w:tcPr>
            <w:tcW w:w="724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Total liabilities and net assets</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240" w:type="dxa"/>
            <w:vAlign w:val="bottom"/>
            <w:vMerge w:val="continue"/>
          </w:tcPr>
          <w:p>
            <w:pPr>
              <w:spacing w:after="0"/>
              <w:rPr>
                <w:sz w:val="17"/>
                <w:szCs w:val="17"/>
                <w:color w:val="auto"/>
              </w:rPr>
            </w:pPr>
          </w:p>
        </w:tc>
        <w:tc>
          <w:tcPr>
            <w:tcW w:w="1380" w:type="dxa"/>
            <w:vAlign w:val="bottom"/>
          </w:tcPr>
          <w:p>
            <w:pPr>
              <w:jc w:val="right"/>
              <w:ind w:right="312"/>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581,223,084</w:t>
            </w:r>
          </w:p>
        </w:tc>
        <w:tc>
          <w:tcPr>
            <w:tcW w:w="0" w:type="dxa"/>
            <w:vAlign w:val="bottom"/>
          </w:tcPr>
          <w:p>
            <w:pPr>
              <w:spacing w:after="0"/>
              <w:rPr>
                <w:sz w:val="1"/>
                <w:szCs w:val="1"/>
                <w:color w:val="auto"/>
              </w:rPr>
            </w:pPr>
          </w:p>
        </w:tc>
      </w:tr>
      <w:tr>
        <w:trPr>
          <w:trHeight w:val="231"/>
        </w:trPr>
        <w:tc>
          <w:tcPr>
            <w:tcW w:w="7240" w:type="dxa"/>
            <w:vAlign w:val="bottom"/>
            <w:vMerge w:val="restart"/>
          </w:tcPr>
          <w:p>
            <w:pPr>
              <w:ind w:left="1360"/>
              <w:spacing w:after="0"/>
              <w:rPr>
                <w:sz w:val="20"/>
                <w:szCs w:val="20"/>
                <w:color w:val="auto"/>
              </w:rPr>
            </w:pPr>
            <w:r>
              <w:rPr>
                <w:rFonts w:ascii="Arial" w:cs="Arial" w:eastAsia="Arial" w:hAnsi="Arial"/>
                <w:sz w:val="18"/>
                <w:szCs w:val="18"/>
                <w:b w:val="1"/>
                <w:bCs w:val="1"/>
                <w:color w:val="auto"/>
              </w:rPr>
              <w:t>Net asset value per share</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7240" w:type="dxa"/>
            <w:vAlign w:val="bottom"/>
            <w:vMerge w:val="continue"/>
          </w:tcPr>
          <w:p>
            <w:pPr>
              <w:spacing w:after="0"/>
              <w:rPr>
                <w:sz w:val="17"/>
                <w:szCs w:val="17"/>
                <w:color w:val="auto"/>
              </w:rPr>
            </w:pPr>
          </w:p>
        </w:tc>
        <w:tc>
          <w:tcPr>
            <w:tcW w:w="1380" w:type="dxa"/>
            <w:vAlign w:val="bottom"/>
          </w:tcPr>
          <w:p>
            <w:pPr>
              <w:jc w:val="right"/>
              <w:ind w:right="792"/>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146685</wp:posOffset>
            </wp:positionV>
            <wp:extent cx="8743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40" w:right="3080" w:hanging="532"/>
        <w:spacing w:after="0" w:line="203" w:lineRule="auto"/>
        <w:tabs>
          <w:tab w:leader="none" w:pos="540" w:val="left"/>
        </w:tabs>
        <w:numPr>
          <w:ilvl w:val="0"/>
          <w:numId w:val="2"/>
        </w:numPr>
        <w:rPr>
          <w:rFonts w:ascii="Arial" w:cs="Arial" w:eastAsia="Arial" w:hAnsi="Arial"/>
          <w:sz w:val="27"/>
          <w:szCs w:val="27"/>
          <w:color w:val="auto"/>
          <w:vertAlign w:val="superscript"/>
        </w:rPr>
      </w:pPr>
      <w:r>
        <w:rPr>
          <w:rFonts w:ascii="Arial" w:cs="Arial" w:eastAsia="Arial" w:hAnsi="Arial"/>
          <w:sz w:val="18"/>
          <w:szCs w:val="18"/>
          <w:color w:val="auto"/>
        </w:rPr>
        <w:t>None of our portfolio companies is controlled by, or affiliated with, PennantPark Investment Corporation as defined by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2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326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ind w:right="32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540"/>
        <w:spacing w:after="0"/>
        <w:tabs>
          <w:tab w:leader="none" w:pos="7000" w:val="left"/>
        </w:tabs>
        <w:rPr>
          <w:sz w:val="20"/>
          <w:szCs w:val="20"/>
          <w:color w:val="auto"/>
        </w:rPr>
      </w:pPr>
      <w:r>
        <w:rPr>
          <w:rFonts w:ascii="Arial" w:cs="Arial" w:eastAsia="Arial" w:hAnsi="Arial"/>
          <w:sz w:val="18"/>
          <w:szCs w:val="18"/>
          <w:b w:val="1"/>
          <w:bCs w:val="1"/>
          <w:color w:val="auto"/>
        </w:rPr>
        <w:t>For the</w:t>
      </w:r>
      <w:r>
        <w:rPr>
          <w:sz w:val="20"/>
          <w:szCs w:val="20"/>
          <w:color w:val="auto"/>
        </w:rPr>
        <w:tab/>
      </w:r>
      <w:r>
        <w:rPr>
          <w:rFonts w:ascii="Arial" w:cs="Arial" w:eastAsia="Arial" w:hAnsi="Arial"/>
          <w:sz w:val="16"/>
          <w:szCs w:val="16"/>
          <w:b w:val="1"/>
          <w:bCs w:val="1"/>
          <w:color w:val="auto"/>
        </w:rPr>
        <w:t>Period from</w:t>
      </w:r>
    </w:p>
    <w:p>
      <w:pPr>
        <w:sectPr>
          <w:pgSz w:w="11900" w:h="16839" w:orient="portrait"/>
          <w:cols w:equalWidth="0" w:num="1">
            <w:col w:w="11180"/>
          </w:cols>
          <w:pgMar w:left="320" w:top="118" w:right="3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7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Quarter Ended</w:t>
            </w:r>
          </w:p>
        </w:tc>
        <w:tc>
          <w:tcPr>
            <w:tcW w:w="4900" w:type="dxa"/>
            <w:vAlign w:val="bottom"/>
            <w:gridSpan w:val="4"/>
          </w:tcPr>
          <w:p>
            <w:pPr>
              <w:jc w:val="right"/>
              <w:ind w:right="3320"/>
              <w:spacing w:after="0"/>
              <w:rPr>
                <w:sz w:val="20"/>
                <w:szCs w:val="20"/>
                <w:color w:val="auto"/>
              </w:rPr>
            </w:pPr>
            <w:r>
              <w:rPr>
                <w:rFonts w:ascii="Arial" w:cs="Arial" w:eastAsia="Arial" w:hAnsi="Arial"/>
                <w:sz w:val="18"/>
                <w:szCs w:val="18"/>
                <w:b w:val="1"/>
                <w:bCs w:val="1"/>
                <w:color w:val="auto"/>
              </w:rPr>
              <w:t>January 11, 2007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8"/>
              </w:rPr>
              <w:t>June 30, 2007</w:t>
            </w:r>
          </w:p>
        </w:tc>
        <w:tc>
          <w:tcPr>
            <w:tcW w:w="460" w:type="dxa"/>
            <w:vAlign w:val="bottom"/>
          </w:tcPr>
          <w:p>
            <w:pPr>
              <w:spacing w:after="0"/>
              <w:rPr>
                <w:sz w:val="18"/>
                <w:szCs w:val="18"/>
                <w:color w:val="auto"/>
              </w:rPr>
            </w:pPr>
          </w:p>
        </w:tc>
        <w:tc>
          <w:tcPr>
            <w:tcW w:w="4440" w:type="dxa"/>
            <w:vAlign w:val="bottom"/>
            <w:gridSpan w:val="3"/>
          </w:tcPr>
          <w:p>
            <w:pPr>
              <w:jc w:val="right"/>
              <w:ind w:right="3320"/>
              <w:spacing w:after="0"/>
              <w:rPr>
                <w:sz w:val="20"/>
                <w:szCs w:val="20"/>
                <w:color w:val="auto"/>
              </w:rPr>
            </w:pPr>
            <w:r>
              <w:rPr>
                <w:rFonts w:ascii="Arial" w:cs="Arial" w:eastAsia="Arial" w:hAnsi="Arial"/>
                <w:sz w:val="18"/>
                <w:szCs w:val="18"/>
                <w:b w:val="1"/>
                <w:bCs w:val="1"/>
                <w:color w:val="auto"/>
              </w:rPr>
              <w:t>(inception)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40" w:type="dxa"/>
            <w:vAlign w:val="bottom"/>
            <w:gridSpan w:val="3"/>
          </w:tcPr>
          <w:p>
            <w:pPr>
              <w:jc w:val="right"/>
              <w:ind w:right="3320"/>
              <w:spacing w:after="0"/>
              <w:rPr>
                <w:sz w:val="20"/>
                <w:szCs w:val="20"/>
                <w:color w:val="auto"/>
              </w:rPr>
            </w:pPr>
            <w:r>
              <w:rPr>
                <w:rFonts w:ascii="Arial" w:cs="Arial" w:eastAsia="Arial" w:hAnsi="Arial"/>
                <w:sz w:val="18"/>
                <w:szCs w:val="18"/>
                <w:b w:val="1"/>
                <w:bCs w:val="1"/>
                <w:color w:val="auto"/>
              </w:rPr>
              <w:t>through</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40" w:type="dxa"/>
            <w:vAlign w:val="bottom"/>
            <w:gridSpan w:val="3"/>
          </w:tcPr>
          <w:p>
            <w:pPr>
              <w:jc w:val="right"/>
              <w:ind w:right="3320"/>
              <w:spacing w:after="0"/>
              <w:rPr>
                <w:sz w:val="20"/>
                <w:szCs w:val="20"/>
                <w:color w:val="auto"/>
              </w:rPr>
            </w:pPr>
            <w:r>
              <w:rPr>
                <w:rFonts w:ascii="Arial" w:cs="Arial" w:eastAsia="Arial" w:hAnsi="Arial"/>
                <w:sz w:val="18"/>
                <w:szCs w:val="18"/>
                <w:b w:val="1"/>
                <w:bCs w:val="1"/>
                <w:color w:val="auto"/>
                <w:w w:val="93"/>
              </w:rPr>
              <w:t>June 30, 2007</w:t>
            </w:r>
          </w:p>
        </w:tc>
        <w:tc>
          <w:tcPr>
            <w:tcW w:w="0" w:type="dxa"/>
            <w:vAlign w:val="bottom"/>
          </w:tcPr>
          <w:p>
            <w:pPr>
              <w:spacing w:after="0"/>
              <w:rPr>
                <w:sz w:val="1"/>
                <w:szCs w:val="1"/>
                <w:color w:val="auto"/>
              </w:rPr>
            </w:pPr>
          </w:p>
        </w:tc>
      </w:tr>
      <w:tr>
        <w:trPr>
          <w:trHeight w:val="480"/>
        </w:trPr>
        <w:tc>
          <w:tcPr>
            <w:tcW w:w="4620" w:type="dxa"/>
            <w:vAlign w:val="bottom"/>
          </w:tcPr>
          <w:p>
            <w:pPr>
              <w:spacing w:after="0"/>
              <w:rPr>
                <w:sz w:val="20"/>
                <w:szCs w:val="20"/>
                <w:color w:val="auto"/>
              </w:rPr>
            </w:pPr>
            <w:r>
              <w:rPr>
                <w:rFonts w:ascii="Arial" w:cs="Arial" w:eastAsia="Arial" w:hAnsi="Arial"/>
                <w:sz w:val="18"/>
                <w:szCs w:val="18"/>
                <w:b w:val="1"/>
                <w:bCs w:val="1"/>
                <w:color w:val="auto"/>
              </w:rPr>
              <w:t>Investment Income:</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20" w:type="dxa"/>
            <w:vAlign w:val="bottom"/>
          </w:tcPr>
          <w:p>
            <w:pPr>
              <w:ind w:left="800"/>
              <w:spacing w:after="0"/>
              <w:rPr>
                <w:sz w:val="20"/>
                <w:szCs w:val="20"/>
                <w:color w:val="auto"/>
              </w:rPr>
            </w:pPr>
            <w:r>
              <w:rPr>
                <w:rFonts w:ascii="Arial" w:cs="Arial" w:eastAsia="Arial" w:hAnsi="Arial"/>
                <w:sz w:val="18"/>
                <w:szCs w:val="18"/>
                <w:color w:val="auto"/>
              </w:rPr>
              <w:t>Interest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5,425,279</w:t>
            </w:r>
          </w:p>
        </w:tc>
        <w:tc>
          <w:tcPr>
            <w:tcW w:w="240" w:type="dxa"/>
            <w:vAlign w:val="bottom"/>
          </w:tcPr>
          <w:p>
            <w:pPr>
              <w:spacing w:after="0"/>
              <w:rPr>
                <w:sz w:val="19"/>
                <w:szCs w:val="19"/>
                <w:color w:val="auto"/>
              </w:rPr>
            </w:pP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6,198,262</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20" w:type="dxa"/>
            <w:vAlign w:val="bottom"/>
            <w:vMerge w:val="restart"/>
          </w:tcPr>
          <w:p>
            <w:pPr>
              <w:ind w:left="1640"/>
              <w:spacing w:after="0"/>
              <w:rPr>
                <w:sz w:val="20"/>
                <w:szCs w:val="20"/>
                <w:color w:val="auto"/>
              </w:rPr>
            </w:pPr>
            <w:r>
              <w:rPr>
                <w:rFonts w:ascii="Arial" w:cs="Arial" w:eastAsia="Arial" w:hAnsi="Arial"/>
                <w:sz w:val="18"/>
                <w:szCs w:val="18"/>
                <w:b w:val="1"/>
                <w:bCs w:val="1"/>
                <w:color w:val="auto"/>
              </w:rPr>
              <w:t>Total Investment income</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5,425,279</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6,198,262</w:t>
            </w:r>
          </w:p>
        </w:tc>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Expenses:</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6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20" w:type="dxa"/>
            <w:vAlign w:val="bottom"/>
          </w:tcPr>
          <w:p>
            <w:pPr>
              <w:ind w:left="800"/>
              <w:spacing w:after="0"/>
              <w:rPr>
                <w:sz w:val="20"/>
                <w:szCs w:val="20"/>
                <w:color w:val="auto"/>
              </w:rPr>
            </w:pPr>
            <w:r>
              <w:rPr>
                <w:rFonts w:ascii="Arial" w:cs="Arial" w:eastAsia="Arial" w:hAnsi="Arial"/>
                <w:sz w:val="18"/>
                <w:szCs w:val="18"/>
                <w:color w:val="auto"/>
              </w:rPr>
              <w:t>Management fees</w:t>
            </w:r>
          </w:p>
        </w:tc>
        <w:tc>
          <w:tcPr>
            <w:tcW w:w="4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1,048,503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1,048,503</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800"/>
              <w:spacing w:after="0"/>
              <w:rPr>
                <w:sz w:val="20"/>
                <w:szCs w:val="20"/>
                <w:color w:val="auto"/>
              </w:rPr>
            </w:pPr>
            <w:r>
              <w:rPr>
                <w:rFonts w:ascii="Arial" w:cs="Arial" w:eastAsia="Arial" w:hAnsi="Arial"/>
                <w:sz w:val="18"/>
                <w:szCs w:val="18"/>
                <w:color w:val="auto"/>
              </w:rPr>
              <w:t>Interest and other credit facility expenses</w:t>
            </w:r>
          </w:p>
        </w:tc>
        <w:tc>
          <w:tcPr>
            <w:tcW w:w="40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862,433</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1,603,408</w:t>
            </w: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800"/>
              <w:spacing w:after="0"/>
              <w:rPr>
                <w:sz w:val="20"/>
                <w:szCs w:val="20"/>
                <w:color w:val="auto"/>
              </w:rPr>
            </w:pPr>
            <w:r>
              <w:rPr>
                <w:rFonts w:ascii="Arial" w:cs="Arial" w:eastAsia="Arial" w:hAnsi="Arial"/>
                <w:sz w:val="18"/>
                <w:szCs w:val="18"/>
                <w:color w:val="auto"/>
              </w:rPr>
              <w:t>Administrative services expenses</w:t>
            </w:r>
          </w:p>
        </w:tc>
        <w:tc>
          <w:tcPr>
            <w:tcW w:w="40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192,584</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192,584</w:t>
            </w: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20" w:type="dxa"/>
            <w:vAlign w:val="bottom"/>
          </w:tcPr>
          <w:p>
            <w:pPr>
              <w:ind w:left="800"/>
              <w:spacing w:after="0"/>
              <w:rPr>
                <w:sz w:val="20"/>
                <w:szCs w:val="20"/>
                <w:color w:val="auto"/>
              </w:rPr>
            </w:pPr>
            <w:r>
              <w:rPr>
                <w:rFonts w:ascii="Arial" w:cs="Arial" w:eastAsia="Arial" w:hAnsi="Arial"/>
                <w:sz w:val="18"/>
                <w:szCs w:val="18"/>
                <w:color w:val="auto"/>
              </w:rPr>
              <w:t>Organizational expenses</w:t>
            </w:r>
          </w:p>
        </w:tc>
        <w:tc>
          <w:tcPr>
            <w:tcW w:w="40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207,126</w:t>
            </w: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800"/>
              <w:spacing w:after="0"/>
              <w:rPr>
                <w:sz w:val="20"/>
                <w:szCs w:val="20"/>
                <w:color w:val="auto"/>
              </w:rPr>
            </w:pPr>
            <w:r>
              <w:rPr>
                <w:rFonts w:ascii="Arial" w:cs="Arial" w:eastAsia="Arial" w:hAnsi="Arial"/>
                <w:sz w:val="18"/>
                <w:szCs w:val="18"/>
                <w:color w:val="auto"/>
              </w:rPr>
              <w:t>Directors' fees</w:t>
            </w:r>
          </w:p>
        </w:tc>
        <w:tc>
          <w:tcPr>
            <w:tcW w:w="40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124,375</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124,375</w:t>
            </w: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800"/>
              <w:spacing w:after="0"/>
              <w:rPr>
                <w:sz w:val="20"/>
                <w:szCs w:val="20"/>
                <w:color w:val="auto"/>
              </w:rPr>
            </w:pPr>
            <w:r>
              <w:rPr>
                <w:rFonts w:ascii="Arial" w:cs="Arial" w:eastAsia="Arial" w:hAnsi="Arial"/>
                <w:sz w:val="18"/>
                <w:szCs w:val="18"/>
                <w:color w:val="auto"/>
              </w:rPr>
              <w:t>Other general and administrative expenses</w:t>
            </w:r>
          </w:p>
        </w:tc>
        <w:tc>
          <w:tcPr>
            <w:tcW w:w="40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151,791</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227,893</w:t>
            </w: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620" w:type="dxa"/>
            <w:vAlign w:val="bottom"/>
            <w:vMerge w:val="restart"/>
          </w:tcPr>
          <w:p>
            <w:pPr>
              <w:ind w:left="1640"/>
              <w:spacing w:after="0"/>
              <w:rPr>
                <w:sz w:val="20"/>
                <w:szCs w:val="20"/>
                <w:color w:val="auto"/>
              </w:rPr>
            </w:pPr>
            <w:r>
              <w:rPr>
                <w:rFonts w:ascii="Arial" w:cs="Arial" w:eastAsia="Arial" w:hAnsi="Arial"/>
                <w:sz w:val="18"/>
                <w:szCs w:val="18"/>
                <w:b w:val="1"/>
                <w:bCs w:val="1"/>
                <w:color w:val="auto"/>
              </w:rPr>
              <w:t>Total expenses</w:t>
            </w:r>
          </w:p>
        </w:tc>
        <w:tc>
          <w:tcPr>
            <w:tcW w:w="40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vMerge w:val="continue"/>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2,379,686</w:t>
            </w: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3,403,889</w:t>
            </w:r>
          </w:p>
        </w:tc>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vMerge w:val="restart"/>
          </w:tcPr>
          <w:p>
            <w:pPr>
              <w:ind w:left="2180"/>
              <w:spacing w:after="0"/>
              <w:rPr>
                <w:sz w:val="20"/>
                <w:szCs w:val="20"/>
                <w:color w:val="auto"/>
              </w:rPr>
            </w:pPr>
            <w:r>
              <w:rPr>
                <w:rFonts w:ascii="Arial" w:cs="Arial" w:eastAsia="Arial" w:hAnsi="Arial"/>
                <w:sz w:val="18"/>
                <w:szCs w:val="18"/>
                <w:color w:val="auto"/>
              </w:rPr>
              <w:t>Net investment income before</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6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200"/>
              <w:spacing w:after="0"/>
              <w:rPr>
                <w:sz w:val="20"/>
                <w:szCs w:val="20"/>
                <w:color w:val="auto"/>
              </w:rPr>
            </w:pPr>
            <w:r>
              <w:rPr>
                <w:rFonts w:ascii="Arial" w:cs="Arial" w:eastAsia="Arial" w:hAnsi="Arial"/>
                <w:sz w:val="18"/>
                <w:szCs w:val="18"/>
                <w:color w:val="auto"/>
              </w:rPr>
              <w:t>management</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20" w:type="dxa"/>
            <w:vAlign w:val="bottom"/>
          </w:tcPr>
          <w:p>
            <w:pPr>
              <w:ind w:left="1660"/>
              <w:spacing w:after="0"/>
              <w:rPr>
                <w:sz w:val="20"/>
                <w:szCs w:val="20"/>
                <w:color w:val="auto"/>
              </w:rPr>
            </w:pPr>
            <w:r>
              <w:rPr>
                <w:rFonts w:ascii="Arial" w:cs="Arial" w:eastAsia="Arial" w:hAnsi="Arial"/>
                <w:sz w:val="18"/>
                <w:szCs w:val="18"/>
                <w:color w:val="auto"/>
              </w:rPr>
              <w:t>Fee waiver and income tax</w:t>
            </w:r>
          </w:p>
        </w:tc>
        <w:tc>
          <w:tcPr>
            <w:tcW w:w="4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3,045,593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2,794,373</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1640"/>
              <w:spacing w:after="0"/>
              <w:rPr>
                <w:sz w:val="20"/>
                <w:szCs w:val="20"/>
                <w:color w:val="auto"/>
              </w:rPr>
            </w:pPr>
            <w:r>
              <w:rPr>
                <w:rFonts w:ascii="Arial" w:cs="Arial" w:eastAsia="Arial" w:hAnsi="Arial"/>
                <w:sz w:val="18"/>
                <w:szCs w:val="18"/>
                <w:color w:val="auto"/>
              </w:rPr>
              <w:t>Management fee waiver</w:t>
            </w:r>
          </w:p>
        </w:tc>
        <w:tc>
          <w:tcPr>
            <w:tcW w:w="40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262,126</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262,126</w:t>
            </w: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20" w:type="dxa"/>
            <w:vAlign w:val="bottom"/>
          </w:tcPr>
          <w:p>
            <w:pPr>
              <w:ind w:left="164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4620" w:type="dxa"/>
            <w:vAlign w:val="bottom"/>
          </w:tcPr>
          <w:p>
            <w:pPr>
              <w:ind w:left="1660"/>
              <w:spacing w:after="0"/>
              <w:rPr>
                <w:sz w:val="20"/>
                <w:szCs w:val="20"/>
                <w:color w:val="auto"/>
              </w:rPr>
            </w:pPr>
            <w:r>
              <w:rPr>
                <w:rFonts w:ascii="Arial" w:cs="Arial" w:eastAsia="Arial" w:hAnsi="Arial"/>
                <w:sz w:val="18"/>
                <w:szCs w:val="18"/>
                <w:b w:val="1"/>
                <w:bCs w:val="1"/>
                <w:color w:val="auto"/>
              </w:rPr>
              <w:t>Net investment income</w:t>
            </w:r>
          </w:p>
        </w:tc>
        <w:tc>
          <w:tcPr>
            <w:tcW w:w="4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3,207,719</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2,956,499</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Realized and unrealized (loss) on investments:</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46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20" w:type="dxa"/>
            <w:vAlign w:val="bottom"/>
          </w:tcPr>
          <w:p>
            <w:pPr>
              <w:ind w:left="800"/>
              <w:spacing w:after="0"/>
              <w:rPr>
                <w:sz w:val="20"/>
                <w:szCs w:val="20"/>
                <w:color w:val="auto"/>
              </w:rPr>
            </w:pPr>
            <w:r>
              <w:rPr>
                <w:rFonts w:ascii="Arial" w:cs="Arial" w:eastAsia="Arial" w:hAnsi="Arial"/>
                <w:sz w:val="18"/>
                <w:szCs w:val="18"/>
                <w:color w:val="auto"/>
              </w:rPr>
              <w:t>Net realized loss on investments</w:t>
            </w:r>
          </w:p>
        </w:tc>
        <w:tc>
          <w:tcPr>
            <w:tcW w:w="4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(34,726)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(15,351)</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800"/>
              <w:spacing w:after="0"/>
              <w:rPr>
                <w:sz w:val="20"/>
                <w:szCs w:val="20"/>
                <w:color w:val="auto"/>
              </w:rPr>
            </w:pPr>
            <w:r>
              <w:rPr>
                <w:rFonts w:ascii="Arial" w:cs="Arial" w:eastAsia="Arial" w:hAnsi="Arial"/>
                <w:sz w:val="18"/>
                <w:szCs w:val="18"/>
                <w:color w:val="auto"/>
                <w:w w:val="88"/>
              </w:rPr>
              <w:t>Change in net unrealized depreciation on investments</w:t>
            </w:r>
          </w:p>
        </w:tc>
        <w:tc>
          <w:tcPr>
            <w:tcW w:w="40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(5,117,039)</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(5,118,740)</w:t>
            </w: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4620" w:type="dxa"/>
            <w:vAlign w:val="bottom"/>
            <w:vMerge w:val="restart"/>
          </w:tcPr>
          <w:p>
            <w:pPr>
              <w:ind w:left="1640"/>
              <w:spacing w:after="0"/>
              <w:rPr>
                <w:sz w:val="20"/>
                <w:szCs w:val="20"/>
                <w:color w:val="auto"/>
              </w:rPr>
            </w:pPr>
            <w:r>
              <w:rPr>
                <w:rFonts w:ascii="Arial" w:cs="Arial" w:eastAsia="Arial" w:hAnsi="Arial"/>
                <w:sz w:val="18"/>
                <w:szCs w:val="18"/>
                <w:b w:val="1"/>
                <w:bCs w:val="1"/>
                <w:color w:val="auto"/>
                <w:w w:val="93"/>
              </w:rPr>
              <w:t>Net realized and unrealized loss from</w:t>
            </w:r>
          </w:p>
        </w:tc>
        <w:tc>
          <w:tcPr>
            <w:tcW w:w="40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620" w:type="dxa"/>
            <w:vAlign w:val="bottom"/>
            <w:vMerge w:val="continue"/>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(5,151,765)</w:t>
            </w:r>
          </w:p>
        </w:tc>
        <w:tc>
          <w:tcPr>
            <w:tcW w:w="2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(5,134,091)</w:t>
            </w:r>
          </w:p>
        </w:tc>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620" w:type="dxa"/>
            <w:vAlign w:val="bottom"/>
            <w:vMerge w:val="restart"/>
          </w:tcPr>
          <w:p>
            <w:pPr>
              <w:ind w:left="1200"/>
              <w:spacing w:after="0"/>
              <w:rPr>
                <w:sz w:val="20"/>
                <w:szCs w:val="20"/>
                <w:color w:val="auto"/>
              </w:rPr>
            </w:pPr>
            <w:r>
              <w:rPr>
                <w:rFonts w:ascii="Arial" w:cs="Arial" w:eastAsia="Arial" w:hAnsi="Arial"/>
                <w:sz w:val="18"/>
                <w:szCs w:val="18"/>
                <w:b w:val="1"/>
                <w:bCs w:val="1"/>
                <w:color w:val="auto"/>
              </w:rPr>
              <w:t>investments</w:t>
            </w: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2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620" w:type="dxa"/>
            <w:vAlign w:val="bottom"/>
          </w:tcPr>
          <w:p>
            <w:pPr>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(1,944,046)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(2,177,592)</w:t>
            </w: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46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3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PennantPark Investment Corporation is a business development company which principally invests in private U.S. middle-market companies in the form of senior secured loans, mezzanine loans and equity. From time to time, the Company may also invest in public companies. PennantPark Investment Corporation is managed by PennantPark Investment Advisers, LLC.</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We may use words such as "anticipates," "believes," "expects," "intends," "will," "should," "may"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17" w:lineRule="auto"/>
        <w:rPr>
          <w:sz w:val="20"/>
          <w:szCs w:val="20"/>
          <w:color w:val="auto"/>
        </w:rPr>
      </w:pPr>
      <w:r>
        <w:rPr>
          <w:rFonts w:ascii="Arial" w:cs="Arial" w:eastAsia="Arial" w:hAnsi="Arial"/>
          <w:sz w:val="22"/>
          <w:szCs w:val="22"/>
          <w:color w:val="auto"/>
        </w:rPr>
        <w:t>Aviv Efrat</w:t>
      </w:r>
    </w:p>
    <w:p>
      <w:pPr>
        <w:spacing w:after="0" w:line="218" w:lineRule="auto"/>
        <w:rPr>
          <w:sz w:val="20"/>
          <w:szCs w:val="20"/>
          <w:color w:val="auto"/>
        </w:rPr>
      </w:pPr>
      <w:r>
        <w:rPr>
          <w:rFonts w:ascii="Arial" w:cs="Arial" w:eastAsia="Arial" w:hAnsi="Arial"/>
          <w:sz w:val="22"/>
          <w:szCs w:val="22"/>
          <w:color w:val="auto"/>
        </w:rPr>
        <w:t>PennantPark Investment Corporation</w:t>
      </w:r>
    </w:p>
    <w:p>
      <w:pPr>
        <w:spacing w:after="0" w:line="218" w:lineRule="auto"/>
        <w:rPr>
          <w:sz w:val="20"/>
          <w:szCs w:val="20"/>
          <w:color w:val="auto"/>
        </w:rPr>
      </w:pPr>
      <w:r>
        <w:rPr>
          <w:rFonts w:ascii="Arial" w:cs="Arial" w:eastAsia="Arial" w:hAnsi="Arial"/>
          <w:sz w:val="22"/>
          <w:szCs w:val="22"/>
          <w:color w:val="auto"/>
        </w:rPr>
        <w:t>(212) 307-3280</w:t>
      </w:r>
    </w:p>
    <w:p>
      <w:pPr>
        <w:spacing w:after="0"/>
        <w:rPr>
          <w:sz w:val="20"/>
          <w:szCs w:val="20"/>
          <w:color w:val="auto"/>
        </w:rPr>
      </w:pPr>
      <w:r>
        <w:rPr>
          <w:rFonts w:ascii="Arial" w:cs="Arial" w:eastAsia="Arial" w:hAnsi="Arial"/>
          <w:sz w:val="22"/>
          <w:szCs w:val="22"/>
          <w:color w:val="auto"/>
        </w:rPr>
        <w:t>Or visit us at: www.pennantpark.com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4" w:name="page5"/>
    <w:bookmarkEnd w:id="4"/>
    <w:p>
      <w:pPr>
        <w:jc w:val="center"/>
        <w:ind w:right="-79"/>
        <w:spacing w:after="0"/>
        <w:rPr>
          <w:sz w:val="20"/>
          <w:szCs w:val="20"/>
          <w:color w:val="auto"/>
        </w:rPr>
      </w:pPr>
      <w:r>
        <w:rPr>
          <w:rFonts w:ascii="Arial" w:cs="Arial" w:eastAsia="Arial" w:hAnsi="Arial"/>
          <w:sz w:val="22"/>
          <w:szCs w:val="22"/>
          <w:color w:val="auto"/>
        </w:rPr>
        <w:t>SIGNATURES</w:t>
      </w:r>
    </w:p>
    <w:p>
      <w:pPr>
        <w:spacing w:after="0" w:line="207"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PennantPark Investment Corporation</w:t>
      </w:r>
    </w:p>
    <w:p>
      <w:pPr>
        <w:spacing w:after="0" w:line="206" w:lineRule="exact"/>
        <w:rPr>
          <w:sz w:val="20"/>
          <w:szCs w:val="20"/>
          <w:color w:val="auto"/>
        </w:rPr>
      </w:pPr>
    </w:p>
    <w:p>
      <w:pPr>
        <w:ind w:left="5080"/>
        <w:spacing w:after="0"/>
        <w:rPr>
          <w:sz w:val="20"/>
          <w:szCs w:val="20"/>
          <w:color w:val="auto"/>
        </w:rPr>
      </w:pPr>
      <w:r>
        <w:rPr>
          <w:rFonts w:ascii="Arial" w:cs="Arial" w:eastAsia="Arial" w:hAnsi="Arial"/>
          <w:sz w:val="22"/>
          <w:szCs w:val="22"/>
          <w:u w:val="single" w:color="auto"/>
          <w:color w:val="auto"/>
        </w:rPr>
        <w:t>/s/ Aviv Efrat</w:t>
      </w:r>
    </w:p>
    <w:p>
      <w:pPr>
        <w:spacing w:after="0" w:line="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(Signature)</w:t>
      </w:r>
    </w:p>
    <w:p>
      <w:pPr>
        <w:spacing w:after="0" w:line="188" w:lineRule="exact"/>
        <w:rPr>
          <w:sz w:val="20"/>
          <w:szCs w:val="20"/>
          <w:color w:val="auto"/>
        </w:rPr>
      </w:pPr>
    </w:p>
    <w:p>
      <w:pPr>
        <w:ind w:left="5080"/>
        <w:spacing w:after="0"/>
        <w:tabs>
          <w:tab w:leader="none" w:pos="5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Aviv Efrat</w:t>
      </w:r>
    </w:p>
    <w:p>
      <w:pPr>
        <w:ind w:left="5080"/>
        <w:spacing w:after="0" w:line="238" w:lineRule="auto"/>
        <w:tabs>
          <w:tab w:leader="none" w:pos="5800" w:val="left"/>
        </w:tabs>
        <w:rPr>
          <w:sz w:val="20"/>
          <w:szCs w:val="20"/>
          <w:color w:val="auto"/>
        </w:rPr>
      </w:pPr>
      <w:r>
        <w:rPr>
          <w:rFonts w:ascii="Arial" w:cs="Arial" w:eastAsia="Arial" w:hAnsi="Arial"/>
          <w:sz w:val="22"/>
          <w:szCs w:val="22"/>
          <w:color w:val="auto"/>
        </w:rPr>
        <w:t>Title:</w:t>
        <w:tab/>
        <w:t>Chief Financial Officer</w:t>
      </w:r>
    </w:p>
    <w:p>
      <w:pPr>
        <w:ind w:left="5080"/>
        <w:spacing w:after="0"/>
        <w:tabs>
          <w:tab w:leader="none" w:pos="5800" w:val="left"/>
        </w:tabs>
        <w:rPr>
          <w:sz w:val="20"/>
          <w:szCs w:val="20"/>
          <w:color w:val="auto"/>
        </w:rPr>
      </w:pPr>
      <w:r>
        <w:rPr>
          <w:rFonts w:ascii="Arial" w:cs="Arial" w:eastAsia="Arial" w:hAnsi="Arial"/>
          <w:sz w:val="22"/>
          <w:szCs w:val="22"/>
          <w:color w:val="auto"/>
        </w:rPr>
        <w:t>Date:</w:t>
        <w:tab/>
        <w:t>August 9, 2007</w:t>
      </w:r>
    </w:p>
    <w:sectPr>
      <w:pgSz w:w="11900" w:h="16838" w:orient="portrait"/>
      <w:cols w:equalWidth="0" w:num="1">
        <w:col w:w="11160"/>
      </w:cols>
      <w:pgMar w:left="320" w:top="11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2020-05-05T15:06:44Z</dcterms:created>
  <dcterms:modified xsi:type="dcterms:W3CDTF">2020-05-05T15:06:44Z</dcterms:modified>
</cp:coreProperties>
</file>