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04,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jc w:val="both"/>
        <w:ind w:left="40" w:right="20"/>
        <w:spacing w:after="0"/>
        <w:rPr>
          <w:sz w:val="20"/>
          <w:szCs w:val="20"/>
          <w:color w:val="auto"/>
        </w:rPr>
      </w:pPr>
      <w:r>
        <w:rPr>
          <w:rFonts w:ascii="Arial" w:cs="Arial" w:eastAsia="Arial" w:hAnsi="Arial"/>
          <w:sz w:val="22"/>
          <w:szCs w:val="22"/>
          <w:color w:val="auto"/>
        </w:rPr>
        <w:t>On February 4, 2015, PennantPark Investment Corporation issued a press release announcing financial results for the first fiscal quarter ended December 31, 2014.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80"/>
        <w:spacing w:after="0" w:line="274"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report on Form 8-K.</w:t>
      </w:r>
    </w:p>
    <w:p>
      <w:pPr>
        <w:sectPr>
          <w:pgSz w:w="11900" w:h="16838" w:orient="portrait"/>
          <w:cols w:equalWidth="0" w:num="1">
            <w:col w:w="11200"/>
          </w:cols>
          <w:pgMar w:left="320" w:top="828" w:right="379" w:bottom="0" w:gutter="0" w:footer="0" w:header="0"/>
        </w:sectPr>
      </w:pPr>
    </w:p>
    <w:bookmarkStart w:id="1" w:name="page2"/>
    <w:bookmarkEnd w:id="1"/>
    <w:p>
      <w:pPr>
        <w:ind w:right="60"/>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76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8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4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February 04,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04, 2015</w:t>
            </w:r>
          </w:p>
        </w:tc>
        <w:tc>
          <w:tcPr>
            <w:tcW w:w="6520" w:type="dxa"/>
            <w:vAlign w:val="bottom"/>
            <w:gridSpan w:val="3"/>
          </w:tcPr>
          <w:p>
            <w:pPr>
              <w:ind w:left="17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920" w:type="dxa"/>
            <w:vAlign w:val="bottom"/>
          </w:tcPr>
          <w:p>
            <w:pPr>
              <w:spacing w:after="0"/>
              <w:rPr>
                <w:sz w:val="24"/>
                <w:szCs w:val="24"/>
                <w:color w:val="auto"/>
              </w:rPr>
            </w:pPr>
          </w:p>
        </w:tc>
        <w:tc>
          <w:tcPr>
            <w:tcW w:w="652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520" w:type="dxa"/>
            <w:vAlign w:val="bottom"/>
            <w:gridSpan w:val="3"/>
          </w:tcPr>
          <w:p>
            <w:pPr>
              <w:ind w:left="19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52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February 04,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60" w:top="118" w:right="499" w:bottom="1440" w:gutter="0" w:footer="0" w:header="0"/>
        </w:sectPr>
      </w:pPr>
    </w:p>
    <w:bookmarkStart w:id="2" w:name="page3"/>
    <w:bookmarkEnd w:id="2"/>
    <w:p>
      <w:pPr>
        <w:ind w:left="1012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PennantPark Investment Corporation Announces Financial Results for the Quarter Ended December 31, 2014</w:t>
      </w:r>
    </w:p>
    <w:p>
      <w:pPr>
        <w:spacing w:after="0" w:line="224"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NEW YORK, NY -- (Marketwired - February 04, 2015) - PennantPark Investment Corporation (NASDAQ: PNNT) announced today financial results for the first fiscal quarter ended December 31, 2014.</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December 31, 2014</w:t>
      </w:r>
    </w:p>
    <w:p>
      <w:pPr>
        <w:spacing w:after="0" w:line="238" w:lineRule="auto"/>
        <w:rPr>
          <w:sz w:val="20"/>
          <w:szCs w:val="20"/>
          <w:color w:val="auto"/>
        </w:rPr>
      </w:pPr>
      <w:r>
        <w:rPr>
          <w:rFonts w:ascii="Courier New" w:cs="Courier New" w:eastAsia="Courier New" w:hAnsi="Courier New"/>
          <w:sz w:val="18"/>
          <w:szCs w:val="18"/>
          <w:color w:val="auto"/>
        </w:rPr>
        <w:t>($in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1,340.6</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783.0</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10.43</w:t>
            </w:r>
          </w:p>
        </w:tc>
      </w:tr>
      <w:tr>
        <w:trPr>
          <w:trHeight w:val="405"/>
        </w:trPr>
        <w:tc>
          <w:tcPr>
            <w:tcW w:w="6020" w:type="dxa"/>
            <w:vAlign w:val="bottom"/>
          </w:tcPr>
          <w:p>
            <w:pPr>
              <w:ind w:left="220"/>
              <w:spacing w:after="0"/>
              <w:rPr>
                <w:sz w:val="20"/>
                <w:szCs w:val="20"/>
                <w:color w:val="auto"/>
              </w:rPr>
            </w:pPr>
            <w:r>
              <w:rPr>
                <w:rFonts w:ascii="Courier New" w:cs="Courier New" w:eastAsia="Courier New" w:hAnsi="Courier New"/>
                <w:sz w:val="18"/>
                <w:szCs w:val="18"/>
                <w:color w:val="auto"/>
              </w:rPr>
              <w:t>Credit Facility (cost $125.9)</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122.3</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2019 Notes (cost $250.0)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250.4</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2025 Notes (cost $71.3)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73.4</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SBA debentures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12.5%</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19.5</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0.26</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158.9</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79.3</w:t>
            </w:r>
          </w:p>
        </w:tc>
      </w:tr>
      <w:tr>
        <w:trPr>
          <w:trHeight w:val="405"/>
        </w:trPr>
        <w:tc>
          <w:tcPr>
            <w:tcW w:w="602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104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104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w:t>
            </w:r>
          </w:p>
        </w:tc>
        <w:tc>
          <w:tcPr>
            <w:tcW w:w="104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5, 2015</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PennantPark Investment Corporation ("we," "our," "us" or "Company") will host a conference call at 10:00 a.m. (Eastern Time) on Thursday, February 5, 2015 to discuss its financial results. All interested parties are welcome to participate. You can access the conference call by dialing (888) 244-2459 approximately 5-10 minutes prior to the call. International callers should dial (913)</w:t>
      </w:r>
    </w:p>
    <w:p>
      <w:pPr>
        <w:spacing w:after="0" w:line="1" w:lineRule="exact"/>
        <w:rPr>
          <w:sz w:val="20"/>
          <w:szCs w:val="20"/>
          <w:color w:val="auto"/>
        </w:rPr>
      </w:pPr>
    </w:p>
    <w:p>
      <w:pPr>
        <w:jc w:val="both"/>
        <w:ind w:right="420"/>
        <w:spacing w:after="0" w:line="234" w:lineRule="auto"/>
        <w:rPr>
          <w:sz w:val="20"/>
          <w:szCs w:val="20"/>
          <w:color w:val="auto"/>
        </w:rPr>
      </w:pPr>
      <w:r>
        <w:rPr>
          <w:rFonts w:ascii="Arial" w:cs="Arial" w:eastAsia="Arial" w:hAnsi="Arial"/>
          <w:sz w:val="22"/>
          <w:szCs w:val="22"/>
          <w:color w:val="auto"/>
        </w:rPr>
        <w:t>312-1494. All callers should reference PennantPark Investment Corporation. An archived replay of the call will be available through February 19, 2015 by calling (888) 203-1112. International callers please dial (719) 457-0820. For all phone replays, please reference conference ID #1523960.</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As of December 31, 2014, our portfolio totaled $1,340.6 million and consisted of $423.0 million of senior secured loans, $588.0 million of second lien secured debt, $218.9 million of subordinated debt and $110.7 million of preferred and common equity. Our debt portfolio consisted of 30% fixed-rate and 70% variable-rate investments (including 64% with a London Interbank Offered Rate, or LIBOR, or prime floor). As of December 31, 2014, we had two non-accrual debt investments, representing 1.7% of our overall portfolio on a cost basis. Our overall portfolio consisted of 66 companies with an average investment size of $20.3 million, had a weighted average yield on debt investments of 12.5% and was invested 32% in senior secured loans, 44% in second lien secured debt, 16% in subordinated debt and 8% in preferred and common equity.</w:t>
      </w:r>
    </w:p>
    <w:p>
      <w:pPr>
        <w:spacing w:after="0" w:line="152"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As of September 30, 2014, our portfolio totaled $1,318.1 million and consisted of $465.6 million of senior secured loans, $493.4 million of second lien secured debt, $247.1 million of subordinated debt and $112.0 million of preferred and common equity. Our debt portfolio consisted of 33% fixed-rate and 67% variable-rate investments (including 61% with a LIBOR or prime floor). As of September 30, 2014, we had one non-accrual debt investment, representing 0.3% of our overall portfolio on a cost basis. Our overall portfolio consisted of 67 companies with an average investment size of $19.7 million, had a weighted average yield on debt investments of 12.5% and was invested 35% in senior secured loans, 37% in second lien secured debt, 19% in subordinated debt and 9% in preferred and common equity.</w:t>
      </w:r>
    </w:p>
    <w:p>
      <w:pPr>
        <w:spacing w:after="0" w:line="184" w:lineRule="exact"/>
        <w:rPr>
          <w:sz w:val="20"/>
          <w:szCs w:val="20"/>
          <w:color w:val="auto"/>
        </w:rPr>
      </w:pPr>
    </w:p>
    <w:p>
      <w:pPr>
        <w:jc w:val="both"/>
        <w:ind w:right="260"/>
        <w:spacing w:after="0"/>
        <w:rPr>
          <w:sz w:val="20"/>
          <w:szCs w:val="20"/>
          <w:color w:val="auto"/>
        </w:rPr>
      </w:pPr>
      <w:r>
        <w:rPr>
          <w:rFonts w:ascii="Arial" w:cs="Arial" w:eastAsia="Arial" w:hAnsi="Arial"/>
          <w:sz w:val="22"/>
          <w:szCs w:val="22"/>
          <w:color w:val="auto"/>
        </w:rPr>
        <w:t>For the three months ended December 31, 2014, we invested $158.9 million in three new and five existing portfolio companies with a weighted average yield on debt investments of 12.6%. Sales and repayments of investments for the three months ended December 31, 2014 totaled $79.3 million.</w:t>
      </w:r>
    </w:p>
    <w:p>
      <w:pPr>
        <w:spacing w:after="0" w:line="186"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For the three months ended December 31, 2013, we invested $228.0 million in nine new and seven existing portfolio companies with a weighted average yield on debt investments of 12.4%. Sales and repayments of investments for the three months ended December 31, 2013 totaled $144.0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ectPr>
          <w:pgSz w:w="11900" w:h="16838" w:orient="portrait"/>
          <w:cols w:equalWidth="0" w:num="1">
            <w:col w:w="11240"/>
          </w:cols>
          <w:pgMar w:left="320" w:top="111" w:right="339" w:bottom="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Set forth below are the results of operations for the three months ended December 31, 2014 and 2013.</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color w:val="auto"/>
        </w:rPr>
        <w:t>Investment income for the three months ended December 31, 2014 was $39.2 million and was attributable to $14.6 million from senior secured loans, $15.9 million from second lien secured debt, $8.2 million from subordinated debt and $0.5 million from preferred and common equity. Investment income for the three months ended December 31, 2013 was $34.4 million and was attributable to $9.6 million from senior secured loans, $12.3 million from second lien secured debt, $11.4 million from subordinated debt and $1.1 million from common equity. The increase in investment income compared with the same period in the prior year is primarily due to the growth of our portfolio.</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Expenses for the three months ended December 31, 2014 totaled $19.7 million. Base management fee for the same period totaled $6.8 million, incentive fee totaled $4.9 million, debt related interest and expenses totaled $6.5 million and general and administrative expenses totaled $1.5 million. Expenses for the three months ended December 31, 2013 totaled $16.5 million. Base management fee for the same period totaled $5.7 million, incentive fee totaled $4.5 million, debt related interest and expenses totaled $4.6 million and general and administrative expenses totaled $1.7 million. The increase in expenses compared with the same period in the prior year was primarily due to increased borrowing costs and the growth of our portfolio.</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Net investment income totaled $19.5 million, or $0.26 per share, for the three months ended December 31, 2014, and $18.0 million, or $0.27 per share, for the three months ended December 31, 2013. The increase in net investment income compared with the same period in the prior year was due to the growth of our portfolio offset by higher financing costs. The decrease in net investment income per share compared with the same period in the prior year was due to the issuance of new shares.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Sales and repayments of investments for the three months ended December 31, 2014 totaled $79.3 million and realized gains totaled $8.6 million. Sales and repayments of investments totaled $144.0 million and realized gains totaled $2.7 million for the three months ended December 31, 2013. The increase in realized gains compared with the same period in the prior year is due to the improved merger and acquisition environment and repayments of our investments.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2019 Notes and 2025 Notes</w:t>
      </w:r>
    </w:p>
    <w:p>
      <w:pPr>
        <w:spacing w:after="0" w:line="212" w:lineRule="exact"/>
        <w:rPr>
          <w:sz w:val="20"/>
          <w:szCs w:val="20"/>
          <w:color w:val="auto"/>
        </w:rPr>
      </w:pPr>
    </w:p>
    <w:p>
      <w:pPr>
        <w:ind w:right="460"/>
        <w:spacing w:after="0" w:line="287" w:lineRule="auto"/>
        <w:rPr>
          <w:sz w:val="20"/>
          <w:szCs w:val="20"/>
          <w:color w:val="auto"/>
        </w:rPr>
      </w:pPr>
      <w:r>
        <w:rPr>
          <w:rFonts w:ascii="Arial" w:cs="Arial" w:eastAsia="Arial" w:hAnsi="Arial"/>
          <w:sz w:val="19"/>
          <w:szCs w:val="19"/>
          <w:color w:val="auto"/>
        </w:rPr>
        <w:t>For the three months ended December 31, 2014 and 2013, we reported a net unrealized (depreciation) appreciation on investments of $(53.2) million and $14.7 million, respectively. As of December 31, 2014 and September 30, 2014, our net unrealized depreciation on investments totaled $54.0 million and $0.9 million, respectively. The decrease compared with the same period in the prior year was the result of the overall variation in the leveraged finance markets.</w:t>
      </w:r>
    </w:p>
    <w:p>
      <w:pPr>
        <w:spacing w:after="0" w:line="14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For the three months ended December 31, 2014 and 2013, we reported a net unrealized depreciation on our multi-currency, senior secured revolving credit facility, or the Credit Facility, and our 6.25% notes due 2025, or 2025 Notes, and 4.50% notes due 2019, or 2019 Notes, of $1.1 million and $4.1 million, respectively. The decrease compared with the same period in the prior year was due to changes in the capital markets.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Net change in net assets resulting from operations totaled $(23.9) million, or $(0.32) per share, for the three months ended December 31, 2014. This compares to a net change in net assets resulting from operations of $39.5 million, or $0.59 per share, for the three months ended December 31, 2013. The decrease in the net change in net assets from operations compared with the same period in the prior year reflects the change in portfolio investment values during the reporting period.</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21"/>
          <w:szCs w:val="21"/>
          <w:color w:val="auto"/>
        </w:rPr>
        <w:t>As of December 31, 2014 and September 30, 2014, there was $125.9 million (including a temporary draw of $8.0 million) and $55.2 million, respectively, in outstanding borrowings under the Credit Facility, with a weighted average interest rate at the time of 2.75% and 2.80%, respectively, exclusive of the fee on undrawn commitments of 0.375%.</w:t>
      </w:r>
    </w:p>
    <w:p>
      <w:pPr>
        <w:spacing w:after="0" w:line="169" w:lineRule="exact"/>
        <w:rPr>
          <w:sz w:val="20"/>
          <w:szCs w:val="20"/>
          <w:color w:val="auto"/>
        </w:rPr>
      </w:pPr>
    </w:p>
    <w:p>
      <w:pPr>
        <w:ind w:right="20"/>
        <w:spacing w:after="0"/>
        <w:rPr>
          <w:sz w:val="20"/>
          <w:szCs w:val="20"/>
          <w:color w:val="auto"/>
        </w:rPr>
      </w:pPr>
      <w:r>
        <w:rPr>
          <w:rFonts w:ascii="Arial" w:cs="Arial" w:eastAsia="Arial" w:hAnsi="Arial"/>
          <w:sz w:val="22"/>
          <w:szCs w:val="22"/>
          <w:color w:val="auto"/>
        </w:rPr>
        <w:t>As of December 31, 2014 and September 30, 2014, we had $250.0 million and $71.3 million of 2019 Notes and 2025 Notes outstanding with a fixed interest rate of 4.50% and 6.25% per year, respectively. We had $71.3 million of 2025 Notes outstanding with a fixed interest rate of 6.25% as of December 31, 2013.</w:t>
      </w:r>
    </w:p>
    <w:p>
      <w:pPr>
        <w:sectPr>
          <w:pgSz w:w="11900" w:h="16838" w:orient="portrait"/>
          <w:cols w:equalWidth="0" w:num="1">
            <w:col w:w="11220"/>
          </w:cols>
          <w:pgMar w:left="320" w:top="118" w:right="359" w:bottom="60" w:gutter="0" w:footer="0" w:header="0"/>
        </w:sectPr>
      </w:pPr>
    </w:p>
    <w:bookmarkStart w:id="4" w:name="page5"/>
    <w:bookmarkEnd w:id="4"/>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As of December 31, 2014 and September 30, 2014, we had $225.0 million and $150.0 million in debt commitments from the U.S. Small Business Administration, or SBA, respectively, and $150.0 million was drawn for each period. The SBA debentures have a weighted average rate of 3.70% exclusive of upfront fees of 3.43%, which are being amortized.</w:t>
      </w:r>
    </w:p>
    <w:p>
      <w:pPr>
        <w:spacing w:after="0" w:line="167"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On December 31, 2014 and September 30, 2014, we had cash and cash equivalents of $54.3 million and $66.5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ind w:right="280"/>
        <w:spacing w:after="0" w:line="328" w:lineRule="auto"/>
        <w:rPr>
          <w:sz w:val="20"/>
          <w:szCs w:val="20"/>
          <w:color w:val="auto"/>
        </w:rPr>
      </w:pPr>
      <w:r>
        <w:rPr>
          <w:rFonts w:ascii="Arial" w:cs="Arial" w:eastAsia="Arial" w:hAnsi="Arial"/>
          <w:sz w:val="19"/>
          <w:szCs w:val="19"/>
          <w:color w:val="auto"/>
        </w:rPr>
        <w:t>The annualized weighted average cost of debt for the three months ended December 31, 2014 and 2013, inclusive of the fee on the undrawn commitment on the Credit Facility and upfront fees on SBA debentures, was 4.63% and 4.20%, respectively.</w:t>
      </w:r>
    </w:p>
    <w:p>
      <w:pPr>
        <w:spacing w:after="0" w:line="105" w:lineRule="exact"/>
        <w:rPr>
          <w:sz w:val="20"/>
          <w:szCs w:val="20"/>
          <w:color w:val="auto"/>
        </w:rPr>
      </w:pPr>
    </w:p>
    <w:p>
      <w:pPr>
        <w:ind w:right="440"/>
        <w:spacing w:after="0" w:line="328" w:lineRule="auto"/>
        <w:rPr>
          <w:sz w:val="20"/>
          <w:szCs w:val="20"/>
          <w:color w:val="auto"/>
        </w:rPr>
      </w:pPr>
      <w:r>
        <w:rPr>
          <w:rFonts w:ascii="Arial" w:cs="Arial" w:eastAsia="Arial" w:hAnsi="Arial"/>
          <w:sz w:val="19"/>
          <w:szCs w:val="19"/>
          <w:color w:val="auto"/>
        </w:rPr>
        <w:t>As of December 31, 2014 and September 30, 2014, we had $419.1 million and $489.8 million of unused borrowing capacity, respectively, subject to the regulatory restrictions that the 1940 Act imposes on us as a business development company.</w:t>
      </w:r>
    </w:p>
    <w:p>
      <w:pPr>
        <w:spacing w:after="0" w:line="105" w:lineRule="exact"/>
        <w:rPr>
          <w:sz w:val="20"/>
          <w:szCs w:val="20"/>
          <w:color w:val="auto"/>
        </w:rPr>
      </w:pPr>
    </w:p>
    <w:p>
      <w:pPr>
        <w:ind w:right="60"/>
        <w:spacing w:after="0"/>
        <w:rPr>
          <w:sz w:val="20"/>
          <w:szCs w:val="20"/>
          <w:color w:val="auto"/>
        </w:rPr>
      </w:pPr>
      <w:r>
        <w:rPr>
          <w:rFonts w:ascii="Arial" w:cs="Arial" w:eastAsia="Arial" w:hAnsi="Arial"/>
          <w:sz w:val="22"/>
          <w:szCs w:val="22"/>
          <w:color w:val="auto"/>
        </w:rPr>
        <w:t>Our operating activities used cash of $61.8 million for the three months ended December 31, 2014, primarily for net purchases of investments. Our financing activities provided cash of $49.6 million for the same period, primarily from net borrowings under our Credit Facility.</w:t>
      </w:r>
    </w:p>
    <w:p>
      <w:pPr>
        <w:spacing w:after="0" w:line="18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Our operating activities used cash of $104.1 million for the three months ended December 31, 2013, primarily for net purchases of investments. Our financing activities provided cash of $76.4 million for the same period, primarily from net borrowings under our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After quarter-end, Patriot National, Inc. priced and closed an initial public offering. Our proceeds of approximately $60 million resulted in about $0.13 per share of realized gain, an increase in NAV per share of about $0.08 and about $0.04 per share of other income.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During the three months ended December 31, 2014 and 2013, we declared distributions of $0.28 per share each period for total distributions of $21.0 million and $18.6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Securities and Exchange Commission, or the SEC.</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pacing w:after="0" w:line="396"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332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December 31,</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2014</w:t>
            </w:r>
          </w:p>
        </w:tc>
        <w:tc>
          <w:tcPr>
            <w:tcW w:w="2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September 30,</w:t>
            </w: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17"/>
                <w:szCs w:val="17"/>
                <w:color w:val="auto"/>
              </w:rPr>
            </w:pP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448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(cost - $1,241,937,230 and</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$1,171,573,359, respectively)</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$ 1,229,810,600</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$ 1,212,515,400</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 $108,969,135 and $108,572,406,</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2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70,789,290</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67,847,521</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Controlled, affiliated investments (cost</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$43,661,751 and $38,708,555,</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2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39,995,228</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37,691,845</w:t>
            </w:r>
          </w:p>
        </w:tc>
      </w:tr>
      <w:tr>
        <w:trPr>
          <w:trHeight w:val="203"/>
        </w:trPr>
        <w:tc>
          <w:tcPr>
            <w:tcW w:w="448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of investments (cost -</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$1,394,568,116 and $1,318,854,320,</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2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1,340,595,118</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1,318,054,766</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(cost -</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$54,401,649 and $66,600,195,</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2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54,329,248</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66,518,682</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2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12,594,493</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13,703,525</w:t>
            </w:r>
          </w:p>
        </w:tc>
      </w:tr>
      <w:tr>
        <w:trPr>
          <w:trHeight w:val="202"/>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financing costs and other assets</w:t>
            </w:r>
          </w:p>
        </w:tc>
        <w:tc>
          <w:tcPr>
            <w:tcW w:w="2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13,646,208</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13,550,224</w:t>
            </w:r>
          </w:p>
        </w:tc>
      </w:tr>
      <w:tr>
        <w:trPr>
          <w:trHeight w:val="203"/>
        </w:trPr>
        <w:tc>
          <w:tcPr>
            <w:tcW w:w="448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$ 1,421,165,067</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$ 1,411,827,197</w:t>
            </w:r>
          </w:p>
        </w:tc>
      </w:tr>
      <w:tr>
        <w:trPr>
          <w:trHeight w:val="203"/>
        </w:trPr>
        <w:tc>
          <w:tcPr>
            <w:tcW w:w="448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21,026,015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21,026,015</w:t>
            </w:r>
          </w:p>
        </w:tc>
      </w:tr>
    </w:tbl>
    <w:p>
      <w:pPr>
        <w:sectPr>
          <w:pgSz w:w="11900" w:h="16903" w:orient="portrait"/>
          <w:cols w:equalWidth="0" w:num="1">
            <w:col w:w="11240"/>
          </w:cols>
          <w:pgMar w:left="320" w:top="118"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Payable for investments purchased</w:t>
            </w:r>
          </w:p>
        </w:tc>
        <w:tc>
          <w:tcPr>
            <w:tcW w:w="320" w:type="dxa"/>
            <w:vAlign w:val="bottom"/>
          </w:tcPr>
          <w:p>
            <w:pPr>
              <w:spacing w:after="0"/>
              <w:rPr>
                <w:sz w:val="17"/>
                <w:szCs w:val="17"/>
                <w:color w:val="auto"/>
              </w:rPr>
            </w:pP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4,432,500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15,607,059</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 -</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$125,881,500 and $55,226,300,</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122,316,693</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53,497,620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 payable (cost -</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$150,000,000)</w:t>
            </w:r>
          </w:p>
        </w:tc>
        <w:tc>
          <w:tcPr>
            <w:tcW w:w="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150,000,000</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150,000,000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2019 Notes payable (cost - $250,000,000)</w:t>
            </w:r>
          </w:p>
        </w:tc>
        <w:tc>
          <w:tcPr>
            <w:tcW w:w="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250,446,250</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251,350,250</w:t>
            </w:r>
          </w:p>
        </w:tc>
      </w:tr>
      <w:tr>
        <w:trPr>
          <w:trHeight w:val="202"/>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2025 Notes payable (cost - $71,250,000)</w:t>
            </w:r>
          </w:p>
        </w:tc>
        <w:tc>
          <w:tcPr>
            <w:tcW w:w="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73,444,500</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71,820,000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6,796,751</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6,385,103</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4,869,218</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4,622,754</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debt</w:t>
            </w:r>
          </w:p>
        </w:tc>
        <w:tc>
          <w:tcPr>
            <w:tcW w:w="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6,505,077</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1,962,264</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2,722,323</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3,113,683</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638,126,827</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583,817,248</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Common stock, 75,092,911 shares issued and</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 value $0.001 per share and</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100,000,000 shares authorized.</w:t>
            </w:r>
          </w:p>
        </w:tc>
        <w:tc>
          <w:tcPr>
            <w:tcW w:w="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75,093</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75,093</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852,465,375</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852,465,375</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in excess of net investment</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3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(13,351,723)</w:t>
            </w:r>
          </w:p>
        </w:tc>
        <w:tc>
          <w:tcPr>
            <w:tcW w:w="3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(11,802,580)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 on</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3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(3,029,163)</w:t>
            </w:r>
          </w:p>
        </w:tc>
        <w:tc>
          <w:tcPr>
            <w:tcW w:w="3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(11,655,302)</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unrealized depreciation on investments</w:t>
            </w:r>
          </w:p>
        </w:tc>
        <w:tc>
          <w:tcPr>
            <w:tcW w:w="3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(54,045,399)</w:t>
            </w:r>
          </w:p>
        </w:tc>
        <w:tc>
          <w:tcPr>
            <w:tcW w:w="3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(881,067)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unrealized depreciation (appreciation)</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debt</w:t>
            </w:r>
          </w:p>
        </w:tc>
        <w:tc>
          <w:tcPr>
            <w:tcW w:w="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924,057</w:t>
            </w:r>
          </w:p>
        </w:tc>
        <w:tc>
          <w:tcPr>
            <w:tcW w:w="3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(191,570)</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783,038,240</w:t>
            </w:r>
          </w:p>
        </w:tc>
        <w:tc>
          <w:tcPr>
            <w:tcW w:w="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828,009,949</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$ 1,421,165,067</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$ 1,411,827,197</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10.43</w:t>
            </w:r>
          </w:p>
        </w:tc>
        <w:tc>
          <w:tcPr>
            <w:tcW w:w="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6860" w:type="dxa"/>
            <w:vAlign w:val="bottom"/>
            <w:gridSpan w:val="4"/>
          </w:tcPr>
          <w:p>
            <w:pPr>
              <w:jc w:val="center"/>
              <w:ind w:left="1172"/>
              <w:spacing w:after="0"/>
              <w:rPr>
                <w:sz w:val="20"/>
                <w:szCs w:val="20"/>
                <w:color w:val="auto"/>
              </w:rPr>
            </w:pPr>
            <w:r>
              <w:rPr>
                <w:rFonts w:ascii="Courier New" w:cs="Courier New" w:eastAsia="Courier New" w:hAnsi="Courier New"/>
                <w:sz w:val="18"/>
                <w:szCs w:val="18"/>
                <w:color w:val="auto"/>
                <w:w w:val="97"/>
              </w:rPr>
              <w:t>PENNANTPARK INVESTMENT CORPORATION AND SUBSIDIARIES</w:t>
            </w:r>
          </w:p>
        </w:tc>
        <w:tc>
          <w:tcPr>
            <w:tcW w:w="1160" w:type="dxa"/>
            <w:vAlign w:val="bottom"/>
          </w:tcPr>
          <w:p>
            <w:pPr>
              <w:spacing w:after="0"/>
              <w:rPr>
                <w:sz w:val="24"/>
                <w:szCs w:val="24"/>
                <w:color w:val="auto"/>
              </w:rPr>
            </w:pPr>
          </w:p>
        </w:tc>
      </w:tr>
      <w:tr>
        <w:trPr>
          <w:trHeight w:val="203"/>
        </w:trPr>
        <w:tc>
          <w:tcPr>
            <w:tcW w:w="6220" w:type="dxa"/>
            <w:vAlign w:val="bottom"/>
            <w:gridSpan w:val="3"/>
          </w:tcPr>
          <w:p>
            <w:pPr>
              <w:jc w:val="center"/>
              <w:ind w:left="183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640" w:type="dxa"/>
            <w:vAlign w:val="bottom"/>
            <w:gridSpan w:val="2"/>
          </w:tcPr>
          <w:p>
            <w:pPr>
              <w:jc w:val="center"/>
              <w:ind w:left="339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08"/>
        </w:trPr>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w w:val="96"/>
              </w:rPr>
              <w:t>Three Months Ended December 31,</w:t>
            </w:r>
          </w:p>
        </w:tc>
      </w:tr>
      <w:tr>
        <w:trPr>
          <w:trHeight w:val="203"/>
        </w:trPr>
        <w:tc>
          <w:tcPr>
            <w:tcW w:w="4380" w:type="dxa"/>
            <w:vAlign w:val="bottom"/>
          </w:tcPr>
          <w:p>
            <w:pPr>
              <w:spacing w:after="0"/>
              <w:rPr>
                <w:sz w:val="17"/>
                <w:szCs w:val="17"/>
                <w:color w:val="auto"/>
              </w:rPr>
            </w:pPr>
          </w:p>
        </w:tc>
        <w:tc>
          <w:tcPr>
            <w:tcW w:w="3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2014</w:t>
            </w:r>
          </w:p>
        </w:tc>
        <w:tc>
          <w:tcPr>
            <w:tcW w:w="64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2013</w:t>
            </w:r>
          </w:p>
        </w:tc>
      </w:tr>
      <w:tr>
        <w:trPr>
          <w:trHeight w:val="202"/>
        </w:trPr>
        <w:tc>
          <w:tcPr>
            <w:tcW w:w="4380" w:type="dxa"/>
            <w:vAlign w:val="bottom"/>
          </w:tcPr>
          <w:p>
            <w:pPr>
              <w:spacing w:after="0"/>
              <w:rPr>
                <w:sz w:val="17"/>
                <w:szCs w:val="17"/>
                <w:color w:val="auto"/>
              </w:rPr>
            </w:pP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non-affiliated</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34,861,628</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28,964,935</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income</w:t>
            </w:r>
          </w:p>
        </w:tc>
        <w:tc>
          <w:tcPr>
            <w:tcW w:w="2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1,578,838</w:t>
            </w:r>
          </w:p>
        </w:tc>
        <w:tc>
          <w:tcPr>
            <w:tcW w:w="6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2,514,857</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affiliated</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2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1,485,410</w:t>
            </w:r>
          </w:p>
        </w:tc>
        <w:tc>
          <w:tcPr>
            <w:tcW w:w="6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1,264,610</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 affiliated investments:</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2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1,278,796</w:t>
            </w:r>
          </w:p>
        </w:tc>
        <w:tc>
          <w:tcPr>
            <w:tcW w:w="6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1,393,454</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income</w:t>
            </w:r>
          </w:p>
        </w:tc>
        <w:tc>
          <w:tcPr>
            <w:tcW w:w="2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300,833</w:t>
            </w:r>
          </w:p>
        </w:tc>
      </w:tr>
      <w:tr>
        <w:trPr>
          <w:trHeight w:val="203"/>
        </w:trPr>
        <w:tc>
          <w:tcPr>
            <w:tcW w:w="4380" w:type="dxa"/>
            <w:vAlign w:val="bottom"/>
          </w:tcPr>
          <w:p>
            <w:pPr>
              <w:spacing w:after="0"/>
              <w:rPr>
                <w:sz w:val="17"/>
                <w:szCs w:val="17"/>
                <w:color w:val="auto"/>
              </w:rPr>
            </w:pP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2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39,204,672</w:t>
            </w:r>
          </w:p>
        </w:tc>
        <w:tc>
          <w:tcPr>
            <w:tcW w:w="6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34,438,689</w:t>
            </w:r>
          </w:p>
        </w:tc>
      </w:tr>
      <w:tr>
        <w:trPr>
          <w:trHeight w:val="203"/>
        </w:trPr>
        <w:tc>
          <w:tcPr>
            <w:tcW w:w="4380" w:type="dxa"/>
            <w:vAlign w:val="bottom"/>
          </w:tcPr>
          <w:p>
            <w:pPr>
              <w:spacing w:after="0"/>
              <w:rPr>
                <w:sz w:val="17"/>
                <w:szCs w:val="17"/>
                <w:color w:val="auto"/>
              </w:rPr>
            </w:pP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Expenses:</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2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6,796,751</w:t>
            </w:r>
          </w:p>
        </w:tc>
        <w:tc>
          <w:tcPr>
            <w:tcW w:w="6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5,747,060</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2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4,869,218</w:t>
            </w:r>
          </w:p>
        </w:tc>
        <w:tc>
          <w:tcPr>
            <w:tcW w:w="6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4,488,779</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and expenses on debt</w:t>
            </w:r>
          </w:p>
        </w:tc>
        <w:tc>
          <w:tcPr>
            <w:tcW w:w="2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6,515,331</w:t>
            </w:r>
          </w:p>
        </w:tc>
        <w:tc>
          <w:tcPr>
            <w:tcW w:w="6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4,559,523</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2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857,064</w:t>
            </w:r>
          </w:p>
        </w:tc>
        <w:tc>
          <w:tcPr>
            <w:tcW w:w="6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911,596</w:t>
            </w:r>
          </w:p>
        </w:tc>
      </w:tr>
      <w:tr>
        <w:trPr>
          <w:trHeight w:val="202"/>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general and administrative</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expenses</w:t>
            </w:r>
          </w:p>
        </w:tc>
        <w:tc>
          <w:tcPr>
            <w:tcW w:w="2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689,436</w:t>
            </w:r>
          </w:p>
        </w:tc>
        <w:tc>
          <w:tcPr>
            <w:tcW w:w="6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776,614</w:t>
            </w:r>
          </w:p>
        </w:tc>
      </w:tr>
      <w:tr>
        <w:trPr>
          <w:trHeight w:val="203"/>
        </w:trPr>
        <w:tc>
          <w:tcPr>
            <w:tcW w:w="4380" w:type="dxa"/>
            <w:vAlign w:val="bottom"/>
          </w:tcPr>
          <w:p>
            <w:pPr>
              <w:spacing w:after="0"/>
              <w:rPr>
                <w:sz w:val="17"/>
                <w:szCs w:val="17"/>
                <w:color w:val="auto"/>
              </w:rPr>
            </w:pP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expenses</w:t>
            </w:r>
          </w:p>
        </w:tc>
        <w:tc>
          <w:tcPr>
            <w:tcW w:w="2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19,727,800</w:t>
            </w:r>
          </w:p>
        </w:tc>
        <w:tc>
          <w:tcPr>
            <w:tcW w:w="6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16,483,572</w:t>
            </w:r>
          </w:p>
        </w:tc>
      </w:tr>
      <w:tr>
        <w:trPr>
          <w:trHeight w:val="202"/>
        </w:trPr>
        <w:tc>
          <w:tcPr>
            <w:tcW w:w="4380" w:type="dxa"/>
            <w:vAlign w:val="bottom"/>
          </w:tcPr>
          <w:p>
            <w:pPr>
              <w:spacing w:after="0"/>
              <w:rPr>
                <w:sz w:val="17"/>
                <w:szCs w:val="17"/>
                <w:color w:val="auto"/>
              </w:rPr>
            </w:pP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2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19,476,872</w:t>
            </w:r>
          </w:p>
        </w:tc>
        <w:tc>
          <w:tcPr>
            <w:tcW w:w="6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17,955,117</w:t>
            </w:r>
          </w:p>
        </w:tc>
      </w:tr>
      <w:tr>
        <w:trPr>
          <w:trHeight w:val="203"/>
        </w:trPr>
        <w:tc>
          <w:tcPr>
            <w:tcW w:w="4380" w:type="dxa"/>
            <w:vAlign w:val="bottom"/>
          </w:tcPr>
          <w:p>
            <w:pPr>
              <w:spacing w:after="0"/>
              <w:rPr>
                <w:sz w:val="17"/>
                <w:szCs w:val="17"/>
                <w:color w:val="auto"/>
              </w:rPr>
            </w:pP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(loss) gain on</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debt:</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on investments</w:t>
            </w:r>
          </w:p>
        </w:tc>
        <w:tc>
          <w:tcPr>
            <w:tcW w:w="2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8,626,139</w:t>
            </w:r>
          </w:p>
        </w:tc>
        <w:tc>
          <w:tcPr>
            <w:tcW w:w="6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2,659,111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(depreciation)</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 on:</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ind w:left="540"/>
              <w:spacing w:after="0"/>
              <w:rPr>
                <w:sz w:val="20"/>
                <w:szCs w:val="20"/>
                <w:color w:val="auto"/>
              </w:rPr>
            </w:pPr>
            <w:r>
              <w:rPr>
                <w:rFonts w:ascii="Courier New" w:cs="Courier New" w:eastAsia="Courier New" w:hAnsi="Courier New"/>
                <w:sz w:val="18"/>
                <w:szCs w:val="18"/>
                <w:color w:val="auto"/>
              </w:rPr>
              <w:t>investments</w:t>
            </w:r>
          </w:p>
        </w:tc>
        <w:tc>
          <w:tcPr>
            <w:tcW w:w="4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(53,059,559)</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14,215,508</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Non-controlled and controlled,</w:t>
            </w: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48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(104,773)</w:t>
            </w:r>
          </w:p>
        </w:tc>
        <w:tc>
          <w:tcPr>
            <w:tcW w:w="4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521,217</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Debt depreciation</w:t>
            </w:r>
          </w:p>
        </w:tc>
        <w:tc>
          <w:tcPr>
            <w:tcW w:w="48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1,115,627</w:t>
            </w:r>
          </w:p>
        </w:tc>
        <w:tc>
          <w:tcPr>
            <w:tcW w:w="4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4,104,000</w:t>
            </w:r>
          </w:p>
        </w:tc>
      </w:tr>
      <w:tr>
        <w:trPr>
          <w:trHeight w:val="203"/>
        </w:trPr>
        <w:tc>
          <w:tcPr>
            <w:tcW w:w="4320" w:type="dxa"/>
            <w:vAlign w:val="bottom"/>
          </w:tcPr>
          <w:p>
            <w:pPr>
              <w:spacing w:after="0"/>
              <w:rPr>
                <w:sz w:val="17"/>
                <w:szCs w:val="17"/>
                <w:color w:val="auto"/>
              </w:rPr>
            </w:pPr>
          </w:p>
        </w:tc>
        <w:tc>
          <w:tcPr>
            <w:tcW w:w="1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change in unrealized</w:t>
            </w: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appreciation on</w:t>
            </w: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investments and debt</w:t>
            </w:r>
          </w:p>
        </w:tc>
        <w:tc>
          <w:tcPr>
            <w:tcW w:w="48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(52,048,705)</w:t>
            </w:r>
          </w:p>
        </w:tc>
        <w:tc>
          <w:tcPr>
            <w:tcW w:w="4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18,840,725</w:t>
            </w:r>
          </w:p>
        </w:tc>
      </w:tr>
      <w:tr>
        <w:trPr>
          <w:trHeight w:val="203"/>
        </w:trPr>
        <w:tc>
          <w:tcPr>
            <w:tcW w:w="4320" w:type="dxa"/>
            <w:vAlign w:val="bottom"/>
          </w:tcPr>
          <w:p>
            <w:pPr>
              <w:spacing w:after="0"/>
              <w:rPr>
                <w:sz w:val="17"/>
                <w:szCs w:val="17"/>
                <w:color w:val="auto"/>
              </w:rPr>
            </w:pPr>
          </w:p>
        </w:tc>
        <w:tc>
          <w:tcPr>
            <w:tcW w:w="1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(loss) gain</w:t>
            </w: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investments and debt</w:t>
            </w:r>
          </w:p>
        </w:tc>
        <w:tc>
          <w:tcPr>
            <w:tcW w:w="48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(43,422,566)</w:t>
            </w:r>
          </w:p>
        </w:tc>
        <w:tc>
          <w:tcPr>
            <w:tcW w:w="4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21,499,836</w:t>
            </w:r>
          </w:p>
        </w:tc>
      </w:tr>
      <w:tr>
        <w:trPr>
          <w:trHeight w:val="203"/>
        </w:trPr>
        <w:tc>
          <w:tcPr>
            <w:tcW w:w="4320" w:type="dxa"/>
            <w:vAlign w:val="bottom"/>
          </w:tcPr>
          <w:p>
            <w:pPr>
              <w:spacing w:after="0"/>
              <w:rPr>
                <w:sz w:val="17"/>
                <w:szCs w:val="17"/>
                <w:color w:val="auto"/>
              </w:rPr>
            </w:pPr>
          </w:p>
        </w:tc>
        <w:tc>
          <w:tcPr>
            <w:tcW w:w="1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increase in net assets</w:t>
            </w: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resulting from operations</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(23,945,694)</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39,454,953</w:t>
            </w:r>
          </w:p>
        </w:tc>
      </w:tr>
      <w:tr>
        <w:trPr>
          <w:trHeight w:val="203"/>
        </w:trPr>
        <w:tc>
          <w:tcPr>
            <w:tcW w:w="4320" w:type="dxa"/>
            <w:vAlign w:val="bottom"/>
          </w:tcPr>
          <w:p>
            <w:pPr>
              <w:spacing w:after="0"/>
              <w:rPr>
                <w:sz w:val="17"/>
                <w:szCs w:val="17"/>
                <w:color w:val="auto"/>
              </w:rPr>
            </w:pPr>
          </w:p>
        </w:tc>
        <w:tc>
          <w:tcPr>
            <w:tcW w:w="1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increase in net assets</w:t>
            </w: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resulting from operations per common</w:t>
            </w: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(0.32)</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0.59</w:t>
            </w:r>
          </w:p>
        </w:tc>
      </w:tr>
      <w:tr>
        <w:trPr>
          <w:trHeight w:val="203"/>
        </w:trPr>
        <w:tc>
          <w:tcPr>
            <w:tcW w:w="4320" w:type="dxa"/>
            <w:vAlign w:val="bottom"/>
          </w:tcPr>
          <w:p>
            <w:pPr>
              <w:spacing w:after="0"/>
              <w:rPr>
                <w:sz w:val="17"/>
                <w:szCs w:val="17"/>
                <w:color w:val="auto"/>
              </w:rPr>
            </w:pPr>
          </w:p>
        </w:tc>
        <w:tc>
          <w:tcPr>
            <w:tcW w:w="1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0.26</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4320" w:type="dxa"/>
            <w:vAlign w:val="bottom"/>
          </w:tcPr>
          <w:p>
            <w:pPr>
              <w:spacing w:after="0"/>
              <w:rPr>
                <w:sz w:val="17"/>
                <w:szCs w:val="17"/>
                <w:color w:val="auto"/>
              </w:rPr>
            </w:pPr>
          </w:p>
        </w:tc>
        <w:tc>
          <w:tcPr>
            <w:tcW w:w="1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All forward-looking statements speak only as of the date of this press release.</w:t>
      </w:r>
    </w:p>
    <w:p>
      <w:pPr>
        <w:spacing w:after="0" w:line="159"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We may use words such as "anticipates, "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20"/>
      </w:cols>
      <w:pgMar w:left="320" w:top="1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2020-05-05T15:07:17Z</dcterms:created>
  <dcterms:modified xsi:type="dcterms:W3CDTF">2020-05-05T15:07:17Z</dcterms:modified>
</cp:coreProperties>
</file>