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422910</wp:posOffset>
            </wp:positionH>
            <wp:positionV relativeFrom="page">
              <wp:posOffset>849630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340" w:hanging="322"/>
        <w:spacing w:after="0" w:line="180" w:lineRule="auto"/>
        <w:tabs>
          <w:tab w:leader="none" w:pos="340" w:val="left"/>
        </w:tabs>
        <w:numPr>
          <w:ilvl w:val="0"/>
          <w:numId w:val="1"/>
        </w:numPr>
        <w:rPr>
          <w:rFonts w:ascii="MS PGothic" w:cs="MS PGothic" w:eastAsia="MS PGothic" w:hAnsi="MS PGothic"/>
          <w:sz w:val="30"/>
          <w:szCs w:val="30"/>
          <w:color w:val="auto"/>
          <w:vertAlign w:val="sub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2024</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ind w:left="340" w:hanging="322"/>
        <w:spacing w:after="0" w:line="180" w:lineRule="auto"/>
        <w:tabs>
          <w:tab w:leader="none" w:pos="340" w:val="left"/>
        </w:tabs>
        <w:numPr>
          <w:ilvl w:val="0"/>
          <w:numId w:val="2"/>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6820" w:type="dxa"/>
            <w:vAlign w:val="bottom"/>
          </w:tcPr>
          <w:p>
            <w:pPr>
              <w:ind w:left="34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40"/>
        </w:trPr>
        <w:tc>
          <w:tcPr>
            <w:tcW w:w="6820" w:type="dxa"/>
            <w:vAlign w:val="bottom"/>
          </w:tcPr>
          <w:p>
            <w:pPr>
              <w:jc w:val="center"/>
              <w:ind w:left="3679"/>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814-00736</w:t>
            </w:r>
          </w:p>
        </w:tc>
        <w:tc>
          <w:tcPr>
            <w:tcW w:w="3740" w:type="dxa"/>
            <w:vAlign w:val="bottom"/>
          </w:tcPr>
          <w:p>
            <w:pPr>
              <w:spacing w:after="0"/>
              <w:rPr>
                <w:sz w:val="20"/>
                <w:szCs w:val="20"/>
                <w:color w:val="auto"/>
              </w:rPr>
            </w:pPr>
          </w:p>
        </w:tc>
      </w:tr>
      <w:tr>
        <w:trPr>
          <w:trHeight w:val="74"/>
        </w:trPr>
        <w:tc>
          <w:tcPr>
            <w:tcW w:w="10560" w:type="dxa"/>
            <w:vAlign w:val="bottom"/>
            <w:tcBorders>
              <w:bottom w:val="single" w:sz="8" w:color="auto"/>
            </w:tcBorders>
            <w:gridSpan w:val="2"/>
          </w:tcPr>
          <w:p>
            <w:pPr>
              <w:spacing w:after="0"/>
              <w:rPr>
                <w:sz w:val="6"/>
                <w:szCs w:val="6"/>
                <w:color w:val="auto"/>
              </w:rPr>
            </w:pPr>
          </w:p>
        </w:tc>
      </w:tr>
      <w:tr>
        <w:trPr>
          <w:trHeight w:val="338"/>
        </w:trPr>
        <w:tc>
          <w:tcPr>
            <w:tcW w:w="1056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auto"/>
                <w:w w:val="98"/>
              </w:rPr>
              <w:t>PENNANTPARK INVESTMENT CORPORATION</w:t>
            </w:r>
          </w:p>
        </w:tc>
      </w:tr>
      <w:tr>
        <w:trPr>
          <w:trHeight w:val="174"/>
        </w:trPr>
        <w:tc>
          <w:tcPr>
            <w:tcW w:w="6820" w:type="dxa"/>
            <w:vAlign w:val="bottom"/>
          </w:tcPr>
          <w:p>
            <w:pPr>
              <w:jc w:val="center"/>
              <w:ind w:left="36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740" w:type="dxa"/>
            <w:vAlign w:val="bottom"/>
          </w:tcPr>
          <w:p>
            <w:pPr>
              <w:spacing w:after="0"/>
              <w:rPr>
                <w:sz w:val="15"/>
                <w:szCs w:val="15"/>
                <w:color w:val="auto"/>
              </w:rPr>
            </w:pPr>
          </w:p>
        </w:tc>
      </w:tr>
      <w:tr>
        <w:trPr>
          <w:trHeight w:val="152"/>
        </w:trPr>
        <w:tc>
          <w:tcPr>
            <w:tcW w:w="682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r>
      <w:tr>
        <w:trPr>
          <w:trHeight w:val="435"/>
        </w:trPr>
        <w:tc>
          <w:tcPr>
            <w:tcW w:w="6820" w:type="dxa"/>
            <w:vAlign w:val="bottom"/>
          </w:tcPr>
          <w:p>
            <w:pPr>
              <w:jc w:val="center"/>
              <w:ind w:right="1419"/>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3740" w:type="dxa"/>
            <w:vAlign w:val="bottom"/>
          </w:tcPr>
          <w:p>
            <w:pPr>
              <w:jc w:val="right"/>
              <w:ind w:right="2067"/>
              <w:spacing w:after="0"/>
              <w:rPr>
                <w:sz w:val="20"/>
                <w:szCs w:val="20"/>
                <w:color w:val="auto"/>
              </w:rPr>
            </w:pPr>
            <w:r>
              <w:rPr>
                <w:rFonts w:ascii="Times New Roman" w:cs="Times New Roman" w:eastAsia="Times New Roman" w:hAnsi="Times New Roman"/>
                <w:sz w:val="16"/>
                <w:szCs w:val="16"/>
                <w:b w:val="1"/>
                <w:bCs w:val="1"/>
                <w:color w:val="auto"/>
              </w:rPr>
              <w:t>20-8250744</w:t>
            </w:r>
          </w:p>
        </w:tc>
      </w:tr>
      <w:tr>
        <w:trPr>
          <w:trHeight w:val="174"/>
        </w:trPr>
        <w:tc>
          <w:tcPr>
            <w:tcW w:w="6820" w:type="dxa"/>
            <w:vAlign w:val="bottom"/>
          </w:tcPr>
          <w:p>
            <w:pPr>
              <w:jc w:val="center"/>
              <w:ind w:right="1439"/>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3740" w:type="dxa"/>
            <w:vAlign w:val="bottom"/>
          </w:tcPr>
          <w:p>
            <w:pPr>
              <w:jc w:val="center"/>
              <w:ind w:right="1247"/>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317"/>
        </w:trPr>
        <w:tc>
          <w:tcPr>
            <w:tcW w:w="6820" w:type="dxa"/>
            <w:vAlign w:val="bottom"/>
          </w:tcPr>
          <w:p>
            <w:pPr>
              <w:jc w:val="center"/>
              <w:ind w:right="1419"/>
              <w:spacing w:after="0"/>
              <w:rPr>
                <w:sz w:val="20"/>
                <w:szCs w:val="20"/>
                <w:color w:val="auto"/>
              </w:rPr>
            </w:pPr>
            <w:r>
              <w:rPr>
                <w:rFonts w:ascii="Times New Roman" w:cs="Times New Roman" w:eastAsia="Times New Roman" w:hAnsi="Times New Roman"/>
                <w:sz w:val="16"/>
                <w:szCs w:val="16"/>
                <w:b w:val="1"/>
                <w:bCs w:val="1"/>
                <w:color w:val="auto"/>
                <w:w w:val="97"/>
              </w:rPr>
              <w:t>1691 Michigan Avenue,</w:t>
            </w:r>
          </w:p>
        </w:tc>
        <w:tc>
          <w:tcPr>
            <w:tcW w:w="3740" w:type="dxa"/>
            <w:vAlign w:val="bottom"/>
          </w:tcPr>
          <w:p>
            <w:pPr>
              <w:spacing w:after="0"/>
              <w:rPr>
                <w:sz w:val="24"/>
                <w:szCs w:val="24"/>
                <w:color w:val="auto"/>
              </w:rPr>
            </w:pPr>
          </w:p>
        </w:tc>
      </w:tr>
      <w:tr>
        <w:trPr>
          <w:trHeight w:val="181"/>
        </w:trPr>
        <w:tc>
          <w:tcPr>
            <w:tcW w:w="6820" w:type="dxa"/>
            <w:vAlign w:val="bottom"/>
          </w:tcPr>
          <w:p>
            <w:pPr>
              <w:jc w:val="center"/>
              <w:ind w:right="1439"/>
              <w:spacing w:after="0" w:line="181" w:lineRule="exact"/>
              <w:rPr>
                <w:sz w:val="20"/>
                <w:szCs w:val="20"/>
                <w:color w:val="auto"/>
              </w:rPr>
            </w:pPr>
            <w:r>
              <w:rPr>
                <w:rFonts w:ascii="Times New Roman" w:cs="Times New Roman" w:eastAsia="Times New Roman" w:hAnsi="Times New Roman"/>
                <w:sz w:val="16"/>
                <w:szCs w:val="16"/>
                <w:b w:val="1"/>
                <w:bCs w:val="1"/>
                <w:color w:val="auto"/>
                <w:w w:val="97"/>
              </w:rPr>
              <w:t>Miami Beach, Florida</w:t>
            </w:r>
          </w:p>
        </w:tc>
        <w:tc>
          <w:tcPr>
            <w:tcW w:w="3740" w:type="dxa"/>
            <w:vAlign w:val="bottom"/>
          </w:tcPr>
          <w:p>
            <w:pPr>
              <w:jc w:val="right"/>
              <w:ind w:right="2267"/>
              <w:spacing w:after="0" w:line="181" w:lineRule="exact"/>
              <w:rPr>
                <w:sz w:val="20"/>
                <w:szCs w:val="20"/>
                <w:color w:val="auto"/>
              </w:rPr>
            </w:pPr>
            <w:r>
              <w:rPr>
                <w:rFonts w:ascii="Times New Roman" w:cs="Times New Roman" w:eastAsia="Times New Roman" w:hAnsi="Times New Roman"/>
                <w:sz w:val="16"/>
                <w:szCs w:val="16"/>
                <w:b w:val="1"/>
                <w:bCs w:val="1"/>
                <w:color w:val="auto"/>
              </w:rPr>
              <w:t>33139</w:t>
            </w:r>
          </w:p>
        </w:tc>
      </w:tr>
      <w:tr>
        <w:trPr>
          <w:trHeight w:val="174"/>
        </w:trPr>
        <w:tc>
          <w:tcPr>
            <w:tcW w:w="6820" w:type="dxa"/>
            <w:vAlign w:val="bottom"/>
          </w:tcPr>
          <w:p>
            <w:pPr>
              <w:jc w:val="center"/>
              <w:ind w:right="143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40" w:type="dxa"/>
            <w:vAlign w:val="bottom"/>
          </w:tcPr>
          <w:p>
            <w:pPr>
              <w:jc w:val="center"/>
              <w:ind w:right="1227"/>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(786) 297-9500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7" w:lineRule="exact"/>
        <w:rPr>
          <w:sz w:val="24"/>
          <w:szCs w:val="24"/>
          <w:color w:val="auto"/>
        </w:rPr>
      </w:pPr>
    </w:p>
    <w:p>
      <w:pPr>
        <w:ind w:left="1180"/>
        <w:spacing w:after="0"/>
        <w:tabs>
          <w:tab w:leader="none" w:pos="4680" w:val="left"/>
          <w:tab w:leader="none" w:pos="738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ind w:left="520"/>
        <w:spacing w:after="0"/>
        <w:tabs>
          <w:tab w:leader="none" w:pos="5080" w:val="left"/>
          <w:tab w:leader="none" w:pos="7880" w:val="left"/>
        </w:tabs>
        <w:rPr>
          <w:sz w:val="20"/>
          <w:szCs w:val="20"/>
          <w:color w:val="auto"/>
        </w:rPr>
      </w:pPr>
      <w:r>
        <w:rPr>
          <w:rFonts w:ascii="Times New Roman" w:cs="Times New Roman" w:eastAsia="Times New Roman" w:hAnsi="Times New Roman"/>
          <w:sz w:val="14"/>
          <w:szCs w:val="14"/>
          <w:color w:val="auto"/>
        </w:rPr>
        <w:t>Common Stock, par value $0.001 per share</w:t>
      </w:r>
      <w:r>
        <w:rPr>
          <w:sz w:val="20"/>
          <w:szCs w:val="20"/>
          <w:color w:val="auto"/>
        </w:rPr>
        <w:tab/>
      </w:r>
      <w:r>
        <w:rPr>
          <w:rFonts w:ascii="Times New Roman" w:cs="Times New Roman" w:eastAsia="Times New Roman" w:hAnsi="Times New Roman"/>
          <w:sz w:val="14"/>
          <w:szCs w:val="14"/>
          <w:color w:val="auto"/>
        </w:rPr>
        <w:t>PNNT</w:t>
      </w:r>
      <w:r>
        <w:rPr>
          <w:sz w:val="20"/>
          <w:szCs w:val="20"/>
          <w:color w:val="auto"/>
        </w:rPr>
        <w:tab/>
      </w:r>
      <w:r>
        <w:rPr>
          <w:rFonts w:ascii="Times New Roman" w:cs="Times New Roman" w:eastAsia="Times New Roman" w:hAnsi="Times New Roman"/>
          <w:sz w:val="14"/>
          <w:szCs w:val="14"/>
          <w:color w:val="auto"/>
        </w:rPr>
        <w:t>The New York Stock Exchange</w:t>
      </w:r>
    </w:p>
    <w:p>
      <w:pPr>
        <w:spacing w:after="0" w:line="75" w:lineRule="exact"/>
        <w:rPr>
          <w:sz w:val="24"/>
          <w:szCs w:val="24"/>
          <w:color w:val="auto"/>
        </w:rPr>
      </w:pPr>
    </w:p>
    <w:p>
      <w:pPr>
        <w:ind w:right="120" w:firstLine="46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r>
        <w:rPr>
          <w:rFonts w:ascii="MS PGothic" w:cs="MS PGothic" w:eastAsia="MS PGothic" w:hAnsi="MS PGothic"/>
          <w:sz w:val="14"/>
          <w:szCs w:val="14"/>
          <w:color w:val="auto"/>
        </w:rPr>
        <w:t>☐</w:t>
      </w:r>
    </w:p>
    <w:p>
      <w:pPr>
        <w:spacing w:after="0" w:line="18" w:lineRule="exact"/>
        <w:rPr>
          <w:sz w:val="24"/>
          <w:szCs w:val="24"/>
          <w:color w:val="auto"/>
        </w:rPr>
      </w:pPr>
    </w:p>
    <w:p>
      <w:pPr>
        <w:ind w:right="480" w:firstLine="46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300" w:firstLine="468"/>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60"/>
          </w:cols>
          <w:pgMar w:left="660" w:top="1356" w:right="680" w:bottom="1440" w:gutter="0" w:footer="0" w:header="0"/>
        </w:sectPr>
      </w:pPr>
    </w:p>
    <w:p>
      <w:pPr>
        <w:spacing w:after="0" w:line="5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tabs>
          <w:tab w:leader="none" w:pos="4940" w:val="left"/>
          <w:tab w:leader="none" w:pos="76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49" w:lineRule="exact"/>
        <w:rPr>
          <w:sz w:val="24"/>
          <w:szCs w:val="24"/>
          <w:color w:val="auto"/>
        </w:rPr>
      </w:pPr>
    </w:p>
    <w:p>
      <w:pPr>
        <w:spacing w:after="0" w:line="161" w:lineRule="exact"/>
        <w:tabs>
          <w:tab w:leader="none" w:pos="4940" w:val="left"/>
          <w:tab w:leader="none" w:pos="76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5" w:lineRule="exact"/>
        <w:rPr>
          <w:sz w:val="24"/>
          <w:szCs w:val="24"/>
          <w:color w:val="auto"/>
        </w:rPr>
      </w:pPr>
    </w:p>
    <w:p>
      <w:pPr>
        <w:sectPr>
          <w:pgSz w:w="11900" w:h="16840" w:orient="portrait"/>
          <w:cols w:equalWidth="0" w:num="2">
            <w:col w:w="1740" w:space="540"/>
            <w:col w:w="8280"/>
          </w:cols>
          <w:pgMar w:left="660" w:top="1356" w:right="680" w:bottom="1440" w:gutter="0" w:footer="0" w:header="0"/>
          <w:type w:val="continuous"/>
        </w:sectPr>
      </w:pPr>
    </w:p>
    <w:p>
      <w:pPr>
        <w:ind w:right="80" w:firstLine="468"/>
        <w:spacing w:after="0" w:line="26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300"/>
        <w:spacing w:after="0" w:line="161" w:lineRule="exact"/>
        <w:tabs>
          <w:tab w:leader="none" w:pos="69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as of February 10, 2025 was 65,296,094.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139065</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774700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6" w:right="680" w:bottom="1440" w:gutter="0" w:footer="0" w:header="0"/>
          <w:type w:val="continuous"/>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PENNANTPARK INVESTMENT CORPORATION</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FORM 10-Q FOR THE QUARTER ENDED DECEMBER 31, 2024</w:t>
      </w:r>
    </w:p>
    <w:p>
      <w:pPr>
        <w:spacing w:after="0" w:line="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40" w:type="dxa"/>
            <w:vAlign w:val="bottom"/>
            <w:gridSpan w:val="12"/>
          </w:tcPr>
          <w:p>
            <w:pPr>
              <w:jc w:val="center"/>
              <w:ind w:right="1860"/>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PART I. CONSOLIDATED FINANCIAL INFORMATION</w:t>
              </w:r>
            </w:hyperlink>
          </w:p>
        </w:tc>
        <w:tc>
          <w:tcPr>
            <w:tcW w:w="1980" w:type="dxa"/>
            <w:vAlign w:val="bottom"/>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3320" w:type="dxa"/>
            <w:vAlign w:val="bottom"/>
            <w:gridSpan w:val="12"/>
          </w:tcPr>
          <w:p>
            <w:pPr>
              <w:spacing w:after="0"/>
              <w:rPr>
                <w:rFonts w:ascii="Times New Roman" w:cs="Times New Roman" w:eastAsia="Times New Roman" w:hAnsi="Times New Roman"/>
                <w:sz w:val="13"/>
                <w:szCs w:val="13"/>
                <w:b w:val="1"/>
                <w:bCs w:val="1"/>
                <w:color w:val="0000FF"/>
              </w:rPr>
            </w:pPr>
            <w:hyperlink w:anchor="page4">
              <w:r>
                <w:rPr>
                  <w:rFonts w:ascii="Times New Roman" w:cs="Times New Roman" w:eastAsia="Times New Roman" w:hAnsi="Times New Roman"/>
                  <w:sz w:val="13"/>
                  <w:szCs w:val="13"/>
                  <w:b w:val="1"/>
                  <w:bCs w:val="1"/>
                  <w:color w:val="0000FF"/>
                </w:rPr>
                <w:t>Item 1. Consolidated Financial Statements</w:t>
              </w:r>
            </w:hyperlink>
          </w:p>
        </w:tc>
        <w:tc>
          <w:tcPr>
            <w:tcW w:w="3380" w:type="dxa"/>
            <w:vAlign w:val="bottom"/>
            <w:tcBorders>
              <w:top w:val="single" w:sz="8" w:color="0000EE"/>
            </w:tcBorders>
            <w:gridSpan w:val="11"/>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60" w:type="dxa"/>
            <w:vAlign w:val="bottom"/>
            <w:tcBorders>
              <w:bottom w:val="single" w:sz="8" w:color="0000EE"/>
            </w:tcBorders>
            <w:gridSpan w:val="20"/>
          </w:tcPr>
          <w:p>
            <w:pPr>
              <w:spacing w:after="0"/>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Consolidated Statements of Assets and Liabilities as of December 31, 2024 (unaudited) and September 30, 2024</w:t>
              </w:r>
            </w:hyperlink>
          </w:p>
        </w:tc>
        <w:tc>
          <w:tcPr>
            <w:tcW w:w="228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40" w:type="dxa"/>
            <w:vAlign w:val="bottom"/>
            <w:gridSpan w:val="23"/>
          </w:tcPr>
          <w:p>
            <w:pPr>
              <w:spacing w:after="0"/>
              <w:rPr>
                <w:rFonts w:ascii="Times New Roman" w:cs="Times New Roman" w:eastAsia="Times New Roman" w:hAnsi="Times New Roman"/>
                <w:sz w:val="13"/>
                <w:szCs w:val="13"/>
                <w:color w:val="0000FF"/>
              </w:rPr>
            </w:pPr>
            <w:hyperlink w:anchor="page5">
              <w:r>
                <w:rPr>
                  <w:rFonts w:ascii="Times New Roman" w:cs="Times New Roman" w:eastAsia="Times New Roman" w:hAnsi="Times New Roman"/>
                  <w:sz w:val="13"/>
                  <w:szCs w:val="13"/>
                  <w:color w:val="0000FF"/>
                </w:rPr>
                <w:t>Consolidated Statements of Operations for the three months ended December 31, 2024 and 2023 (unaudited)</w:t>
              </w:r>
            </w:hyperlink>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40" w:type="dxa"/>
            <w:vAlign w:val="bottom"/>
            <w:gridSpan w:val="23"/>
          </w:tcPr>
          <w:p>
            <w:pPr>
              <w:spacing w:after="0"/>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Consolidated Statements of Changes in Net Assets for the three months ended December 31, 2024 and 2023 (unaudited)</w:t>
              </w:r>
            </w:hyperlink>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8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3"/>
                <w:szCs w:val="13"/>
                <w:color w:val="0000FF"/>
              </w:rPr>
            </w:pPr>
            <w:hyperlink w:anchor="page7">
              <w:r>
                <w:rPr>
                  <w:rFonts w:ascii="Times New Roman" w:cs="Times New Roman" w:eastAsia="Times New Roman" w:hAnsi="Times New Roman"/>
                  <w:sz w:val="13"/>
                  <w:szCs w:val="13"/>
                  <w:color w:val="0000FF"/>
                </w:rPr>
                <w:t>Consolidated Statements of Cash Flows for the three months ended December 31, 2024 and 2023 (unaudited)</w:t>
              </w:r>
            </w:hyperlink>
          </w:p>
        </w:tc>
        <w:tc>
          <w:tcPr>
            <w:tcW w:w="560" w:type="dxa"/>
            <w:vAlign w:val="bottom"/>
            <w:tcBorders>
              <w:top w:val="single" w:sz="8" w:color="0000EE"/>
            </w:tcBorders>
            <w:gridSpan w:val="2"/>
          </w:tcPr>
          <w:p>
            <w:pPr>
              <w:spacing w:after="0"/>
              <w:rPr>
                <w:sz w:val="24"/>
                <w:szCs w:val="24"/>
                <w:color w:val="auto"/>
              </w:rPr>
            </w:pPr>
          </w:p>
        </w:tc>
        <w:tc>
          <w:tcPr>
            <w:tcW w:w="1900" w:type="dxa"/>
            <w:vAlign w:val="bottom"/>
            <w:gridSpan w:val="2"/>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20" w:type="dxa"/>
            <w:vAlign w:val="bottom"/>
            <w:tcBorders>
              <w:bottom w:val="single" w:sz="8" w:color="0000EE"/>
            </w:tcBorders>
            <w:gridSpan w:val="17"/>
          </w:tcPr>
          <w:p>
            <w:pPr>
              <w:spacing w:after="0"/>
              <w:rPr>
                <w:rFonts w:ascii="Times New Roman" w:cs="Times New Roman" w:eastAsia="Times New Roman" w:hAnsi="Times New Roman"/>
                <w:sz w:val="13"/>
                <w:szCs w:val="13"/>
                <w:color w:val="0000FF"/>
              </w:rPr>
            </w:pPr>
            <w:hyperlink w:anchor="page8">
              <w:r>
                <w:rPr>
                  <w:rFonts w:ascii="Times New Roman" w:cs="Times New Roman" w:eastAsia="Times New Roman" w:hAnsi="Times New Roman"/>
                  <w:sz w:val="13"/>
                  <w:szCs w:val="13"/>
                  <w:color w:val="0000FF"/>
                </w:rPr>
                <w:t>Consolidated Schedules of Investments as of December 31, 2024 (unaudited) and September 30, 2024</w:t>
              </w:r>
            </w:hyperlink>
          </w:p>
        </w:tc>
        <w:tc>
          <w:tcPr>
            <w:tcW w:w="2820" w:type="dxa"/>
            <w:vAlign w:val="bottom"/>
            <w:gridSpan w:val="6"/>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2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Times New Roman" w:cs="Times New Roman" w:eastAsia="Times New Roman" w:hAnsi="Times New Roman"/>
                <w:sz w:val="13"/>
                <w:szCs w:val="13"/>
                <w:color w:val="0000FF"/>
              </w:rPr>
            </w:pPr>
            <w:hyperlink w:anchor="page28">
              <w:r>
                <w:rPr>
                  <w:rFonts w:ascii="Times New Roman" w:cs="Times New Roman" w:eastAsia="Times New Roman" w:hAnsi="Times New Roman"/>
                  <w:sz w:val="13"/>
                  <w:szCs w:val="13"/>
                  <w:color w:val="0000FF"/>
                </w:rPr>
                <w:t>Notes to Consolidated Financial Statements (unaudited)</w:t>
              </w:r>
            </w:hyperlink>
          </w:p>
        </w:tc>
        <w:tc>
          <w:tcPr>
            <w:tcW w:w="5300" w:type="dxa"/>
            <w:vAlign w:val="bottom"/>
            <w:gridSpan w:val="13"/>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EE"/>
            </w:tcBorders>
            <w:gridSpan w:val="15"/>
          </w:tcPr>
          <w:p>
            <w:pPr>
              <w:spacing w:after="0"/>
              <w:rPr>
                <w:rFonts w:ascii="Times New Roman" w:cs="Times New Roman" w:eastAsia="Times New Roman" w:hAnsi="Times New Roman"/>
                <w:sz w:val="13"/>
                <w:szCs w:val="13"/>
                <w:color w:val="0000FF"/>
              </w:rPr>
            </w:pPr>
            <w:hyperlink w:anchor="page48">
              <w:r>
                <w:rPr>
                  <w:rFonts w:ascii="Times New Roman" w:cs="Times New Roman" w:eastAsia="Times New Roman" w:hAnsi="Times New Roman"/>
                  <w:sz w:val="13"/>
                  <w:szCs w:val="13"/>
                  <w:color w:val="0000FF"/>
                </w:rPr>
                <w:t>Report of Independent Registered Public Accounting Firm (PCAOB ID 49)</w:t>
              </w:r>
            </w:hyperlink>
          </w:p>
        </w:tc>
        <w:tc>
          <w:tcPr>
            <w:tcW w:w="4260" w:type="dxa"/>
            <w:vAlign w:val="bottom"/>
            <w:gridSpan w:val="8"/>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92"/>
        </w:trPr>
        <w:tc>
          <w:tcPr>
            <w:tcW w:w="20" w:type="dxa"/>
            <w:vAlign w:val="bottom"/>
          </w:tcPr>
          <w:p>
            <w:pPr>
              <w:spacing w:after="0"/>
              <w:rPr>
                <w:sz w:val="24"/>
                <w:szCs w:val="24"/>
                <w:color w:val="auto"/>
              </w:rPr>
            </w:pPr>
          </w:p>
        </w:tc>
        <w:tc>
          <w:tcPr>
            <w:tcW w:w="5440" w:type="dxa"/>
            <w:vAlign w:val="bottom"/>
            <w:tcBorders>
              <w:bottom w:val="single" w:sz="8" w:color="0000EE"/>
            </w:tcBorders>
            <w:gridSpan w:val="17"/>
          </w:tcPr>
          <w:p>
            <w:pPr>
              <w:spacing w:after="0"/>
              <w:rPr>
                <w:rFonts w:ascii="Times New Roman" w:cs="Times New Roman" w:eastAsia="Times New Roman" w:hAnsi="Times New Roman"/>
                <w:sz w:val="13"/>
                <w:szCs w:val="13"/>
                <w:b w:val="1"/>
                <w:bCs w:val="1"/>
                <w:color w:val="0000FF"/>
              </w:rPr>
            </w:pPr>
            <w:hyperlink w:anchor="page50">
              <w:r>
                <w:rPr>
                  <w:rFonts w:ascii="Times New Roman" w:cs="Times New Roman" w:eastAsia="Times New Roman" w:hAnsi="Times New Roman"/>
                  <w:sz w:val="13"/>
                  <w:szCs w:val="13"/>
                  <w:b w:val="1"/>
                  <w:bCs w:val="1"/>
                  <w:color w:val="0000FF"/>
                </w:rPr>
                <w:t>Item 2. Management’s Discussion and Analysis of Financial Condition and Results of Operations</w:t>
              </w:r>
            </w:hyperlink>
          </w:p>
        </w:tc>
        <w:tc>
          <w:tcPr>
            <w:tcW w:w="3120" w:type="dxa"/>
            <w:vAlign w:val="bottom"/>
            <w:gridSpan w:val="7"/>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292"/>
        </w:trPr>
        <w:tc>
          <w:tcPr>
            <w:tcW w:w="20" w:type="dxa"/>
            <w:vAlign w:val="bottom"/>
          </w:tcPr>
          <w:p>
            <w:pPr>
              <w:spacing w:after="0"/>
              <w:rPr>
                <w:sz w:val="24"/>
                <w:szCs w:val="24"/>
                <w:color w:val="auto"/>
              </w:rPr>
            </w:pPr>
          </w:p>
        </w:tc>
        <w:tc>
          <w:tcPr>
            <w:tcW w:w="3860" w:type="dxa"/>
            <w:vAlign w:val="bottom"/>
            <w:tcBorders>
              <w:bottom w:val="single" w:sz="8" w:color="0000EE"/>
            </w:tcBorders>
            <w:gridSpan w:val="14"/>
          </w:tcPr>
          <w:p>
            <w:pPr>
              <w:spacing w:after="0"/>
              <w:rPr>
                <w:rFonts w:ascii="Times New Roman" w:cs="Times New Roman" w:eastAsia="Times New Roman" w:hAnsi="Times New Roman"/>
                <w:sz w:val="13"/>
                <w:szCs w:val="13"/>
                <w:b w:val="1"/>
                <w:bCs w:val="1"/>
                <w:color w:val="0000FF"/>
              </w:rPr>
            </w:pPr>
            <w:hyperlink w:anchor="page66">
              <w:r>
                <w:rPr>
                  <w:rFonts w:ascii="Times New Roman" w:cs="Times New Roman" w:eastAsia="Times New Roman" w:hAnsi="Times New Roman"/>
                  <w:sz w:val="13"/>
                  <w:szCs w:val="13"/>
                  <w:b w:val="1"/>
                  <w:bCs w:val="1"/>
                  <w:color w:val="0000FF"/>
                </w:rPr>
                <w:t>Item 3. Quantitative and Qualitative Disclosures About Market Risk</w:t>
              </w:r>
            </w:hyperlink>
          </w:p>
        </w:tc>
        <w:tc>
          <w:tcPr>
            <w:tcW w:w="4700" w:type="dxa"/>
            <w:vAlign w:val="bottom"/>
            <w:gridSpan w:val="10"/>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92"/>
        </w:trPr>
        <w:tc>
          <w:tcPr>
            <w:tcW w:w="20" w:type="dxa"/>
            <w:vAlign w:val="bottom"/>
          </w:tcPr>
          <w:p>
            <w:pPr>
              <w:spacing w:after="0"/>
              <w:rPr>
                <w:sz w:val="24"/>
                <w:szCs w:val="24"/>
                <w:color w:val="auto"/>
              </w:rPr>
            </w:pPr>
          </w:p>
        </w:tc>
        <w:tc>
          <w:tcPr>
            <w:tcW w:w="8560" w:type="dxa"/>
            <w:vAlign w:val="bottom"/>
            <w:gridSpan w:val="24"/>
          </w:tcPr>
          <w:p>
            <w:pPr>
              <w:spacing w:after="0"/>
              <w:rPr>
                <w:rFonts w:ascii="Times New Roman" w:cs="Times New Roman" w:eastAsia="Times New Roman" w:hAnsi="Times New Roman"/>
                <w:sz w:val="13"/>
                <w:szCs w:val="13"/>
                <w:b w:val="1"/>
                <w:bCs w:val="1"/>
                <w:color w:val="0000FF"/>
              </w:rPr>
            </w:pPr>
            <w:hyperlink w:anchor="page67">
              <w:r>
                <w:rPr>
                  <w:rFonts w:ascii="Times New Roman" w:cs="Times New Roman" w:eastAsia="Times New Roman" w:hAnsi="Times New Roman"/>
                  <w:sz w:val="13"/>
                  <w:szCs w:val="13"/>
                  <w:b w:val="1"/>
                  <w:bCs w:val="1"/>
                  <w:color w:val="0000FF"/>
                </w:rPr>
                <w:t>Item 4. Controls and Procedures</w:t>
              </w:r>
            </w:hyperlink>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92"/>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9"/>
          </w:tcPr>
          <w:p>
            <w:pPr>
              <w:jc w:val="center"/>
              <w:ind w:right="2520"/>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PART II. OTHER INFORMATION</w:t>
              </w:r>
            </w:hyperlink>
          </w:p>
        </w:tc>
        <w:tc>
          <w:tcPr>
            <w:tcW w:w="1980" w:type="dxa"/>
            <w:vAlign w:val="bottom"/>
          </w:tcPr>
          <w:p>
            <w:pPr>
              <w:spacing w:after="0"/>
              <w:rPr>
                <w:sz w:val="24"/>
                <w:szCs w:val="24"/>
                <w:color w:val="auto"/>
              </w:rPr>
            </w:pPr>
          </w:p>
        </w:tc>
      </w:tr>
      <w:tr>
        <w:trPr>
          <w:trHeight w:val="292"/>
        </w:trPr>
        <w:tc>
          <w:tcPr>
            <w:tcW w:w="20" w:type="dxa"/>
            <w:vAlign w:val="bottom"/>
          </w:tcPr>
          <w:p>
            <w:pPr>
              <w:spacing w:after="0"/>
              <w:rPr>
                <w:sz w:val="24"/>
                <w:szCs w:val="24"/>
                <w:color w:val="auto"/>
              </w:rPr>
            </w:pPr>
          </w:p>
        </w:tc>
        <w:tc>
          <w:tcPr>
            <w:tcW w:w="1460" w:type="dxa"/>
            <w:vAlign w:val="bottom"/>
            <w:tcBorders>
              <w:bottom w:val="single" w:sz="8" w:color="0000EE"/>
            </w:tcBorders>
            <w:gridSpan w:val="5"/>
          </w:tcPr>
          <w:p>
            <w:pPr>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Item 1. Legal Proceedings</w:t>
              </w:r>
            </w:hyperlink>
          </w:p>
        </w:tc>
        <w:tc>
          <w:tcPr>
            <w:tcW w:w="2520" w:type="dxa"/>
            <w:vAlign w:val="bottom"/>
            <w:gridSpan w:val="10"/>
          </w:tcPr>
          <w:p>
            <w:pPr>
              <w:spacing w:after="0"/>
              <w:rPr>
                <w:sz w:val="24"/>
                <w:szCs w:val="24"/>
                <w:color w:val="auto"/>
              </w:rPr>
            </w:pPr>
          </w:p>
        </w:tc>
        <w:tc>
          <w:tcPr>
            <w:tcW w:w="2100" w:type="dxa"/>
            <w:vAlign w:val="bottom"/>
            <w:tcBorders>
              <w:top w:val="single" w:sz="8" w:color="0000EE"/>
            </w:tcBorders>
            <w:gridSpan w:val="4"/>
          </w:tcPr>
          <w:p>
            <w:pPr>
              <w:spacing w:after="0"/>
              <w:rPr>
                <w:sz w:val="24"/>
                <w:szCs w:val="24"/>
                <w:color w:val="auto"/>
              </w:rPr>
            </w:pPr>
          </w:p>
        </w:tc>
        <w:tc>
          <w:tcPr>
            <w:tcW w:w="2480" w:type="dxa"/>
            <w:vAlign w:val="bottom"/>
            <w:gridSpan w:val="5"/>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2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Times New Roman" w:cs="Times New Roman" w:eastAsia="Times New Roman" w:hAnsi="Times New Roman"/>
                <w:sz w:val="13"/>
                <w:szCs w:val="13"/>
                <w:b w:val="1"/>
                <w:bCs w:val="1"/>
                <w:color w:val="0000FF"/>
                <w:w w:val="99"/>
              </w:rPr>
            </w:pPr>
            <w:hyperlink w:anchor="page68">
              <w:r>
                <w:rPr>
                  <w:rFonts w:ascii="Times New Roman" w:cs="Times New Roman" w:eastAsia="Times New Roman" w:hAnsi="Times New Roman"/>
                  <w:sz w:val="13"/>
                  <w:szCs w:val="13"/>
                  <w:b w:val="1"/>
                  <w:bCs w:val="1"/>
                  <w:color w:val="0000FF"/>
                  <w:w w:val="99"/>
                </w:rPr>
                <w:t>Item 1A. Risk Factors</w:t>
              </w:r>
            </w:hyperlink>
          </w:p>
        </w:tc>
        <w:tc>
          <w:tcPr>
            <w:tcW w:w="7320" w:type="dxa"/>
            <w:vAlign w:val="bottom"/>
            <w:gridSpan w:val="20"/>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20" w:type="dxa"/>
            <w:vAlign w:val="bottom"/>
          </w:tcPr>
          <w:p>
            <w:pPr>
              <w:spacing w:after="0"/>
              <w:rPr>
                <w:sz w:val="24"/>
                <w:szCs w:val="24"/>
                <w:color w:val="auto"/>
              </w:rPr>
            </w:pPr>
          </w:p>
        </w:tc>
        <w:tc>
          <w:tcPr>
            <w:tcW w:w="8560" w:type="dxa"/>
            <w:vAlign w:val="bottom"/>
            <w:gridSpan w:val="24"/>
          </w:tcPr>
          <w:p>
            <w:pPr>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Item 2. Unregistered Sales of Equity Securities and Use of Proceeds</w:t>
              </w:r>
            </w:hyperlink>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2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Item 3. Defaults Upon Senior Securities</w:t>
              </w:r>
            </w:hyperlink>
          </w:p>
        </w:tc>
        <w:tc>
          <w:tcPr>
            <w:tcW w:w="1560" w:type="dxa"/>
            <w:vAlign w:val="bottom"/>
            <w:tcBorders>
              <w:top w:val="single" w:sz="8" w:color="0000EE"/>
            </w:tcBorders>
            <w:gridSpan w:val="4"/>
          </w:tcPr>
          <w:p>
            <w:pPr>
              <w:spacing w:after="0"/>
              <w:rPr>
                <w:sz w:val="24"/>
                <w:szCs w:val="24"/>
                <w:color w:val="auto"/>
              </w:rPr>
            </w:pPr>
          </w:p>
        </w:tc>
        <w:tc>
          <w:tcPr>
            <w:tcW w:w="4780" w:type="dxa"/>
            <w:vAlign w:val="bottom"/>
            <w:gridSpan w:val="11"/>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2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Item 4. Mine Safety Disclosures</w:t>
              </w:r>
            </w:hyperlink>
          </w:p>
        </w:tc>
        <w:tc>
          <w:tcPr>
            <w:tcW w:w="6780" w:type="dxa"/>
            <w:vAlign w:val="bottom"/>
            <w:gridSpan w:val="17"/>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20" w:type="dxa"/>
            <w:vAlign w:val="bottom"/>
          </w:tcPr>
          <w:p>
            <w:pPr>
              <w:spacing w:after="0"/>
              <w:rPr>
                <w:sz w:val="24"/>
                <w:szCs w:val="24"/>
                <w:color w:val="auto"/>
              </w:rPr>
            </w:pPr>
          </w:p>
        </w:tc>
        <w:tc>
          <w:tcPr>
            <w:tcW w:w="8560" w:type="dxa"/>
            <w:vAlign w:val="bottom"/>
            <w:gridSpan w:val="24"/>
          </w:tcPr>
          <w:p>
            <w:pPr>
              <w:spacing w:after="0"/>
              <w:rPr>
                <w:rFonts w:ascii="Times New Roman" w:cs="Times New Roman" w:eastAsia="Times New Roman" w:hAnsi="Times New Roman"/>
                <w:sz w:val="13"/>
                <w:szCs w:val="13"/>
                <w:b w:val="1"/>
                <w:bCs w:val="1"/>
                <w:color w:val="0000FF"/>
              </w:rPr>
            </w:pPr>
            <w:hyperlink w:anchor="page68">
              <w:r>
                <w:rPr>
                  <w:rFonts w:ascii="Times New Roman" w:cs="Times New Roman" w:eastAsia="Times New Roman" w:hAnsi="Times New Roman"/>
                  <w:sz w:val="13"/>
                  <w:szCs w:val="13"/>
                  <w:b w:val="1"/>
                  <w:bCs w:val="1"/>
                  <w:color w:val="0000FF"/>
                </w:rPr>
                <w:t>Item 5. Other Information</w:t>
              </w:r>
            </w:hyperlink>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20" w:type="dxa"/>
            <w:vAlign w:val="bottom"/>
          </w:tcPr>
          <w:p>
            <w:pPr>
              <w:spacing w:after="0"/>
              <w:rPr>
                <w:sz w:val="24"/>
                <w:szCs w:val="24"/>
                <w:color w:val="auto"/>
              </w:rPr>
            </w:pP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3"/>
                <w:szCs w:val="13"/>
                <w:b w:val="1"/>
                <w:bCs w:val="1"/>
                <w:color w:val="0000FF"/>
                <w:w w:val="99"/>
              </w:rPr>
            </w:pPr>
            <w:hyperlink w:anchor="page69">
              <w:r>
                <w:rPr>
                  <w:rFonts w:ascii="Times New Roman" w:cs="Times New Roman" w:eastAsia="Times New Roman" w:hAnsi="Times New Roman"/>
                  <w:sz w:val="13"/>
                  <w:szCs w:val="13"/>
                  <w:b w:val="1"/>
                  <w:bCs w:val="1"/>
                  <w:color w:val="0000FF"/>
                  <w:w w:val="99"/>
                </w:rPr>
                <w:t>Item 6. Exhibits</w:t>
              </w:r>
            </w:hyperlink>
          </w:p>
        </w:tc>
        <w:tc>
          <w:tcPr>
            <w:tcW w:w="580" w:type="dxa"/>
            <w:vAlign w:val="bottom"/>
            <w:tcBorders>
              <w:top w:val="single" w:sz="8" w:color="0000EE"/>
            </w:tcBorders>
            <w:gridSpan w:val="3"/>
          </w:tcPr>
          <w:p>
            <w:pPr>
              <w:spacing w:after="0"/>
              <w:rPr>
                <w:sz w:val="24"/>
                <w:szCs w:val="24"/>
                <w:color w:val="auto"/>
              </w:rPr>
            </w:pPr>
          </w:p>
        </w:tc>
        <w:tc>
          <w:tcPr>
            <w:tcW w:w="7080" w:type="dxa"/>
            <w:vAlign w:val="bottom"/>
            <w:gridSpan w:val="18"/>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292"/>
        </w:trPr>
        <w:tc>
          <w:tcPr>
            <w:tcW w:w="20" w:type="dxa"/>
            <w:vAlign w:val="bottom"/>
          </w:tcPr>
          <w:p>
            <w:pPr>
              <w:spacing w:after="0"/>
              <w:rPr>
                <w:sz w:val="24"/>
                <w:szCs w:val="24"/>
                <w:color w:val="auto"/>
              </w:rPr>
            </w:pPr>
          </w:p>
        </w:tc>
        <w:tc>
          <w:tcPr>
            <w:tcW w:w="860" w:type="dxa"/>
            <w:vAlign w:val="bottom"/>
            <w:tcBorders>
              <w:bottom w:val="single" w:sz="8" w:color="0000EE"/>
            </w:tcBorders>
            <w:gridSpan w:val="2"/>
          </w:tcPr>
          <w:p>
            <w:pPr>
              <w:spacing w:after="0"/>
              <w:rPr>
                <w:rFonts w:ascii="Times New Roman" w:cs="Times New Roman" w:eastAsia="Times New Roman" w:hAnsi="Times New Roman"/>
                <w:sz w:val="13"/>
                <w:szCs w:val="13"/>
                <w:b w:val="1"/>
                <w:bCs w:val="1"/>
                <w:color w:val="0000FF"/>
                <w:w w:val="99"/>
              </w:rPr>
            </w:pPr>
            <w:hyperlink w:anchor="page70">
              <w:r>
                <w:rPr>
                  <w:rFonts w:ascii="Times New Roman" w:cs="Times New Roman" w:eastAsia="Times New Roman" w:hAnsi="Times New Roman"/>
                  <w:sz w:val="13"/>
                  <w:szCs w:val="13"/>
                  <w:b w:val="1"/>
                  <w:bCs w:val="1"/>
                  <w:color w:val="0000FF"/>
                  <w:w w:val="99"/>
                </w:rPr>
                <w:t>SIGNATURES</w:t>
              </w:r>
            </w:hyperlink>
          </w:p>
        </w:tc>
        <w:tc>
          <w:tcPr>
            <w:tcW w:w="7700" w:type="dxa"/>
            <w:vAlign w:val="bottom"/>
            <w:gridSpan w:val="22"/>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344"/>
        </w:trPr>
        <w:tc>
          <w:tcPr>
            <w:tcW w:w="5460" w:type="dxa"/>
            <w:vAlign w:val="bottom"/>
            <w:gridSpan w:val="18"/>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680"/>
        </w:trPr>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PART I—CONSOLIDATED FINANCIAL INFORMATION</w:t>
      </w:r>
    </w:p>
    <w:p>
      <w:pPr>
        <w:spacing w:after="0" w:line="165" w:lineRule="exact"/>
        <w:rPr>
          <w:sz w:val="20"/>
          <w:szCs w:val="20"/>
          <w:color w:val="auto"/>
        </w:rPr>
      </w:pPr>
    </w:p>
    <w:p>
      <w:pPr>
        <w:ind w:firstLine="420"/>
        <w:spacing w:after="0" w:line="252" w:lineRule="auto"/>
        <w:rPr>
          <w:sz w:val="20"/>
          <w:szCs w:val="20"/>
          <w:color w:val="auto"/>
        </w:rPr>
      </w:pPr>
      <w:r>
        <w:rPr>
          <w:rFonts w:ascii="Times New Roman" w:cs="Times New Roman" w:eastAsia="Times New Roman" w:hAnsi="Times New Roman"/>
          <w:sz w:val="13"/>
          <w:szCs w:val="13"/>
          <w:color w:val="auto"/>
        </w:rPr>
        <w:t>We are filing this Quarterly Report on Form 10-Q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collectively to our consolidated subsidiaries, PNNT Investment Holdings II, LLC and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“BNP Credit Facility” refers to our revolving credit facility with BNP Paribas prior to deconsolidation of Funding I; “Truist Credit Facility” refers to our multi-currency, senior secured revolving credit facility with Truist Bank, as amended and restated; “2026 Notes” refers to our 4.50% Notes due May 2026; “2026 Notes- 2”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consolidated subsidiaries.</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2" w:right="7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Item 1.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7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70"/>
        </w:trPr>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 (amortized cost—$856,406 and $916,168, respectively)</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845,829</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910,323</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 (amortized cost—$57,109 and $56,734, respectively)</w:t>
            </w:r>
          </w:p>
        </w:tc>
        <w:tc>
          <w:tcPr>
            <w:tcW w:w="140" w:type="dxa"/>
            <w:vAlign w:val="bottom"/>
          </w:tcPr>
          <w:p>
            <w:pPr>
              <w:spacing w:after="0"/>
              <w:rPr>
                <w:sz w:val="13"/>
                <w:szCs w:val="13"/>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11,032</w:t>
            </w:r>
          </w:p>
        </w:tc>
        <w:tc>
          <w:tcPr>
            <w:tcW w:w="12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33,423</w:t>
            </w:r>
          </w:p>
        </w:tc>
      </w:tr>
      <w:tr>
        <w:trPr>
          <w:trHeight w:val="156"/>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cost—$370,967 and $343,970, respectively)</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441,205</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384,304</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investments (amortized cost—$1,284,482 and $1,316,872, respectively)</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1,298,066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(cost—$55,868 and $49,833, respectively)</w:t>
            </w:r>
          </w:p>
        </w:tc>
        <w:tc>
          <w:tcPr>
            <w:tcW w:w="140" w:type="dxa"/>
            <w:vAlign w:val="bottom"/>
            <w:shd w:val="clear" w:color="auto" w:fill="CCECFF"/>
          </w:tcPr>
          <w:p>
            <w:pPr>
              <w:spacing w:after="0"/>
              <w:rPr>
                <w:sz w:val="13"/>
                <w:szCs w:val="13"/>
                <w:color w:val="auto"/>
              </w:rPr>
            </w:pPr>
          </w:p>
        </w:tc>
        <w:tc>
          <w:tcPr>
            <w:tcW w:w="15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55,851</w:t>
            </w:r>
          </w:p>
        </w:tc>
        <w:tc>
          <w:tcPr>
            <w:tcW w:w="12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49,861</w:t>
            </w: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5,261</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140" w:type="dxa"/>
            <w:vAlign w:val="bottom"/>
            <w:shd w:val="clear" w:color="auto" w:fill="CCECFF"/>
          </w:tcPr>
          <w:p>
            <w:pPr>
              <w:spacing w:after="0"/>
              <w:rPr>
                <w:sz w:val="13"/>
                <w:szCs w:val="13"/>
                <w:color w:val="auto"/>
              </w:rPr>
            </w:pPr>
          </w:p>
        </w:tc>
        <w:tc>
          <w:tcPr>
            <w:tcW w:w="15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47,230</w:t>
            </w:r>
          </w:p>
        </w:tc>
        <w:tc>
          <w:tcPr>
            <w:tcW w:w="12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receivable</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5,417</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1,412,091</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1,389,086</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Truist Credit Facility payable, at fair value (cost—$464,456 and $461,456, respectively)</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460,033</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 payable, net (par— $150,000)</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148,796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Notes-2 payable, net (par— $165,000)</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163,293</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 purchased</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125,050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100,096</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Distributions payable</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Incentive fee payable</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2,756</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4,053</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140" w:type="dxa"/>
            <w:vAlign w:val="bottom"/>
          </w:tcPr>
          <w:p>
            <w:pPr>
              <w:spacing w:after="0"/>
              <w:rPr>
                <w:sz w:val="13"/>
                <w:szCs w:val="13"/>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917,770</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895,178</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44"/>
        </w:trPr>
        <w:tc>
          <w:tcPr>
            <w:tcW w:w="73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 65,296,094 and 65,296,094 shares issued and outstanding, respectively</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7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Par value $0.001 per share and 200,000,000 shares authorized</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743,968</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743,968</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(249,712)</w:t>
            </w:r>
          </w:p>
        </w:tc>
        <w:tc>
          <w:tcPr>
            <w:tcW w:w="12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(250,125)</w:t>
            </w:r>
          </w:p>
        </w:tc>
      </w:tr>
      <w:tr>
        <w:trPr>
          <w:trHeight w:val="156"/>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494,321</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493,908</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1,412,091</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1,389,086</w:t>
            </w:r>
          </w:p>
        </w:tc>
        <w:tc>
          <w:tcPr>
            <w:tcW w:w="8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732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7.57</w:t>
            </w:r>
          </w:p>
        </w:tc>
        <w:tc>
          <w:tcPr>
            <w:tcW w:w="2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7.56</w:t>
            </w:r>
          </w:p>
        </w:tc>
        <w:tc>
          <w:tcPr>
            <w:tcW w:w="80" w:type="dxa"/>
            <w:vAlign w:val="bottom"/>
            <w:tcBorders>
              <w:bottom w:val="single" w:sz="8" w:color="CCECFF"/>
            </w:tcBorders>
            <w:shd w:val="clear" w:color="auto" w:fill="CCECFF"/>
          </w:tcPr>
          <w:p>
            <w:pPr>
              <w:spacing w:after="0"/>
              <w:rPr>
                <w:sz w:val="14"/>
                <w:szCs w:val="14"/>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12"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60" w:type="dxa"/>
            <w:vAlign w:val="bottom"/>
          </w:tcPr>
          <w:p>
            <w:pPr>
              <w:spacing w:after="0"/>
              <w:rPr>
                <w:sz w:val="13"/>
                <w:szCs w:val="13"/>
                <w:color w:val="auto"/>
              </w:rPr>
            </w:pPr>
          </w:p>
        </w:tc>
        <w:tc>
          <w:tcPr>
            <w:tcW w:w="3140" w:type="dxa"/>
            <w:vAlign w:val="bottom"/>
            <w:gridSpan w:val="5"/>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760" w:type="dxa"/>
            <w:vAlign w:val="bottom"/>
          </w:tcPr>
          <w:p>
            <w:pPr>
              <w:spacing w:after="0"/>
              <w:rPr>
                <w:sz w:val="14"/>
                <w:szCs w:val="14"/>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180" w:type="dxa"/>
            <w:vAlign w:val="bottom"/>
            <w:shd w:val="clear" w:color="auto" w:fill="CCECFF"/>
          </w:tcPr>
          <w:p>
            <w:pPr>
              <w:jc w:val="right"/>
              <w:ind w:right="103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18,767</w:t>
            </w: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21,068</w:t>
            </w: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1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non-controlled, affiliated investments:</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118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5,481</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1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4,689</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18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34,207</w:t>
            </w: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34,336</w:t>
            </w:r>
          </w:p>
        </w:tc>
      </w:tr>
      <w:tr>
        <w:trPr>
          <w:trHeight w:val="15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118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11,741</w:t>
            </w: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9,557</w:t>
            </w: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Base management fee</w:t>
            </w:r>
          </w:p>
        </w:tc>
        <w:tc>
          <w:tcPr>
            <w:tcW w:w="1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Incentive fee</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2,756</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provision for taxes</w:t>
            </w:r>
          </w:p>
        </w:tc>
        <w:tc>
          <w:tcPr>
            <w:tcW w:w="11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20,515</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18,285</w:t>
            </w: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11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21,215</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18,678</w:t>
            </w: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18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12,992</w:t>
            </w: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15,658</w:t>
            </w:r>
          </w:p>
        </w:tc>
      </w:tr>
      <w:tr>
        <w:trPr>
          <w:trHeight w:val="15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180" w:type="dxa"/>
            <w:vAlign w:val="bottom"/>
          </w:tcPr>
          <w:p>
            <w:pPr>
              <w:spacing w:after="0"/>
              <w:rPr>
                <w:sz w:val="13"/>
                <w:szCs w:val="1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(2,560)</w:t>
            </w: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2,581</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1180" w:type="dxa"/>
            <w:vAlign w:val="bottom"/>
            <w:shd w:val="clear" w:color="auto" w:fill="CCECFF"/>
          </w:tcPr>
          <w:p>
            <w:pPr>
              <w:spacing w:after="0"/>
              <w:rPr>
                <w:sz w:val="13"/>
                <w:szCs w:val="13"/>
                <w:color w:val="auto"/>
              </w:rPr>
            </w:pPr>
          </w:p>
        </w:tc>
        <w:tc>
          <w:tcPr>
            <w:tcW w:w="820" w:type="dxa"/>
            <w:vAlign w:val="bottom"/>
            <w:gridSpan w:val="3"/>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(750 )</w:t>
            </w: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 and debt</w:t>
            </w:r>
          </w:p>
        </w:tc>
        <w:tc>
          <w:tcPr>
            <w:tcW w:w="1180" w:type="dxa"/>
            <w:vAlign w:val="bottom"/>
          </w:tcPr>
          <w:p>
            <w:pPr>
              <w:spacing w:after="0"/>
              <w:rPr>
                <w:sz w:val="13"/>
                <w:szCs w:val="1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(2,560)</w:t>
            </w:r>
          </w:p>
        </w:tc>
        <w:tc>
          <w:tcPr>
            <w:tcW w:w="1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100" w:type="dxa"/>
            <w:vAlign w:val="bottom"/>
          </w:tcPr>
          <w:p>
            <w:pPr>
              <w:spacing w:after="0"/>
              <w:rPr>
                <w:sz w:val="13"/>
                <w:szCs w:val="13"/>
                <w:color w:val="auto"/>
              </w:rPr>
            </w:pPr>
          </w:p>
        </w:tc>
      </w:tr>
      <w:tr>
        <w:trPr>
          <w:trHeight w:val="156"/>
        </w:trPr>
        <w:tc>
          <w:tcPr>
            <w:tcW w:w="6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180" w:type="dxa"/>
            <w:vAlign w:val="bottom"/>
          </w:tcPr>
          <w:p>
            <w:pPr>
              <w:spacing w:after="0"/>
              <w:rPr>
                <w:sz w:val="13"/>
                <w:szCs w:val="1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(4,777)</w:t>
            </w:r>
          </w:p>
        </w:tc>
        <w:tc>
          <w:tcPr>
            <w:tcW w:w="11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(12,270)</w:t>
            </w: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7,138</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7,324</w:t>
            </w:r>
          </w:p>
        </w:tc>
        <w:tc>
          <w:tcPr>
            <w:tcW w:w="100" w:type="dxa"/>
            <w:vAlign w:val="bottom"/>
            <w:shd w:val="clear" w:color="auto" w:fill="CCECFF"/>
          </w:tcPr>
          <w:p>
            <w:pPr>
              <w:spacing w:after="0"/>
              <w:rPr>
                <w:sz w:val="13"/>
                <w:szCs w:val="13"/>
                <w:color w:val="auto"/>
              </w:rPr>
            </w:pPr>
          </w:p>
        </w:tc>
      </w:tr>
      <w:tr>
        <w:trPr>
          <w:trHeight w:val="168"/>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118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(37)</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appreciation (depreciation)</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3,328</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(2,040)</w:t>
            </w: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1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(6,836)</w:t>
            </w:r>
          </w:p>
        </w:tc>
      </w:tr>
      <w:tr>
        <w:trPr>
          <w:trHeight w:val="156"/>
        </w:trPr>
        <w:tc>
          <w:tcPr>
            <w:tcW w:w="6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1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(5,005)</w:t>
            </w:r>
          </w:p>
        </w:tc>
      </w:tr>
      <w:tr>
        <w:trPr>
          <w:trHeight w:val="15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180" w:type="dxa"/>
            <w:vAlign w:val="bottom"/>
          </w:tcPr>
          <w:p>
            <w:pPr>
              <w:jc w:val="right"/>
              <w:ind w:right="103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16,084</w:t>
            </w:r>
          </w:p>
        </w:tc>
        <w:tc>
          <w:tcPr>
            <w:tcW w:w="280" w:type="dxa"/>
            <w:vAlign w:val="bottom"/>
          </w:tcPr>
          <w:p>
            <w:pPr>
              <w:spacing w:after="0"/>
              <w:rPr>
                <w:sz w:val="13"/>
                <w:szCs w:val="13"/>
                <w:color w:val="auto"/>
              </w:rPr>
            </w:pP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10,653</w:t>
            </w:r>
          </w:p>
        </w:tc>
      </w:tr>
      <w:tr>
        <w:trPr>
          <w:trHeight w:val="20"/>
        </w:trPr>
        <w:tc>
          <w:tcPr>
            <w:tcW w:w="67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76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 share</w:t>
            </w:r>
          </w:p>
        </w:tc>
        <w:tc>
          <w:tcPr>
            <w:tcW w:w="1180" w:type="dxa"/>
            <w:vAlign w:val="bottom"/>
            <w:tcBorders>
              <w:top w:val="single" w:sz="8" w:color="auto"/>
              <w:bottom w:val="single" w:sz="8" w:color="auto"/>
            </w:tcBorders>
            <w:shd w:val="clear" w:color="auto" w:fill="CCECFF"/>
          </w:tcPr>
          <w:p>
            <w:pPr>
              <w:jc w:val="right"/>
              <w:ind w:right="10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0.25</w:t>
            </w:r>
          </w:p>
        </w:tc>
        <w:tc>
          <w:tcPr>
            <w:tcW w:w="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CCECFF"/>
            </w:tcBorders>
            <w:shd w:val="clear" w:color="auto" w:fill="CCECFF"/>
          </w:tcPr>
          <w:p>
            <w:pPr>
              <w:spacing w:after="0"/>
              <w:rPr>
                <w:sz w:val="14"/>
                <w:szCs w:val="14"/>
                <w:color w:val="auto"/>
              </w:rPr>
            </w:pPr>
          </w:p>
        </w:tc>
        <w:tc>
          <w:tcPr>
            <w:tcW w:w="1140" w:type="dxa"/>
            <w:vAlign w:val="bottom"/>
            <w:tcBorders>
              <w:top w:val="single" w:sz="8" w:color="auto"/>
              <w:bottom w:val="single" w:sz="8" w:color="auto"/>
            </w:tcBorders>
            <w:shd w:val="clear" w:color="auto" w:fill="CCECFF"/>
          </w:tcPr>
          <w:p>
            <w:pPr>
              <w:jc w:val="right"/>
              <w:ind w:right="9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0.16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32"/>
        </w:trPr>
        <w:tc>
          <w:tcPr>
            <w:tcW w:w="67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w:t>
            </w:r>
          </w:p>
        </w:tc>
        <w:tc>
          <w:tcPr>
            <w:tcW w:w="1180" w:type="dxa"/>
            <w:vAlign w:val="bottom"/>
          </w:tcPr>
          <w:p>
            <w:pPr>
              <w:jc w:val="right"/>
              <w:ind w:right="10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0.20</w:t>
            </w:r>
          </w:p>
        </w:tc>
        <w:tc>
          <w:tcPr>
            <w:tcW w:w="280" w:type="dxa"/>
            <w:vAlign w:val="bottom"/>
          </w:tcPr>
          <w:p>
            <w:pPr>
              <w:spacing w:after="0"/>
              <w:rPr>
                <w:sz w:val="11"/>
                <w:szCs w:val="11"/>
                <w:color w:val="auto"/>
              </w:rPr>
            </w:pPr>
          </w:p>
        </w:tc>
        <w:tc>
          <w:tcPr>
            <w:tcW w:w="1140" w:type="dxa"/>
            <w:vAlign w:val="bottom"/>
          </w:tcPr>
          <w:p>
            <w:pPr>
              <w:jc w:val="right"/>
              <w:ind w:right="9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0.24</w:t>
            </w:r>
          </w:p>
        </w:tc>
      </w:tr>
      <w:tr>
        <w:trPr>
          <w:trHeight w:val="20"/>
        </w:trPr>
        <w:tc>
          <w:tcPr>
            <w:tcW w:w="6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60" w:type="dxa"/>
            <w:vAlign w:val="bottom"/>
          </w:tcPr>
          <w:p>
            <w:pPr>
              <w:spacing w:after="0"/>
              <w:rPr>
                <w:sz w:val="13"/>
                <w:szCs w:val="13"/>
                <w:color w:val="auto"/>
              </w:rPr>
            </w:pPr>
          </w:p>
        </w:tc>
        <w:tc>
          <w:tcPr>
            <w:tcW w:w="3140" w:type="dxa"/>
            <w:vAlign w:val="bottom"/>
            <w:gridSpan w:val="4"/>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760" w:type="dxa"/>
            <w:vAlign w:val="bottom"/>
          </w:tcPr>
          <w:p>
            <w:pPr>
              <w:spacing w:after="0"/>
              <w:rPr>
                <w:sz w:val="14"/>
                <w:szCs w:val="14"/>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1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1140" w:type="dxa"/>
            <w:vAlign w:val="bottom"/>
          </w:tcPr>
          <w:p>
            <w:pPr>
              <w:jc w:val="right"/>
              <w:ind w:right="1019"/>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12,992</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15,658</w:t>
            </w: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114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(2,560)</w:t>
            </w:r>
          </w:p>
        </w:tc>
        <w:tc>
          <w:tcPr>
            <w:tcW w:w="114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8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2,361</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(4,946)</w:t>
            </w: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unrealized appreciation (depreciation) on investments</w:t>
            </w:r>
          </w:p>
        </w:tc>
        <w:tc>
          <w:tcPr>
            <w:tcW w:w="114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(37)</w:t>
            </w:r>
          </w:p>
        </w:tc>
        <w:tc>
          <w:tcPr>
            <w:tcW w:w="114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3,328</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(2,040)</w:t>
            </w: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14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16,084</w:t>
            </w:r>
          </w:p>
        </w:tc>
        <w:tc>
          <w:tcPr>
            <w:tcW w:w="114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10,653</w:t>
            </w:r>
          </w:p>
        </w:tc>
      </w:tr>
      <w:tr>
        <w:trPr>
          <w:trHeight w:val="15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114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(15,671)</w:t>
            </w:r>
          </w:p>
        </w:tc>
        <w:tc>
          <w:tcPr>
            <w:tcW w:w="114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(13,698)</w:t>
            </w: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114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(15,671)</w:t>
            </w:r>
          </w:p>
        </w:tc>
        <w:tc>
          <w:tcPr>
            <w:tcW w:w="11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(13,698)</w:t>
            </w:r>
          </w:p>
        </w:tc>
      </w:tr>
      <w:tr>
        <w:trPr>
          <w:trHeight w:val="156"/>
        </w:trPr>
        <w:tc>
          <w:tcPr>
            <w:tcW w:w="6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114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(3,045)</w:t>
            </w:r>
          </w:p>
        </w:tc>
      </w:tr>
      <w:tr>
        <w:trPr>
          <w:trHeight w:val="15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7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Beginning of period</w:t>
            </w:r>
          </w:p>
        </w:tc>
        <w:tc>
          <w:tcPr>
            <w:tcW w:w="114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493,908</w:t>
            </w:r>
          </w:p>
        </w:tc>
        <w:tc>
          <w:tcPr>
            <w:tcW w:w="2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80" w:type="dxa"/>
            <w:vAlign w:val="bottom"/>
            <w:shd w:val="clear" w:color="auto" w:fill="CCECFF"/>
          </w:tcPr>
          <w:p>
            <w:pPr>
              <w:spacing w:after="0"/>
              <w:rPr>
                <w:sz w:val="13"/>
                <w:szCs w:val="13"/>
                <w:color w:val="auto"/>
              </w:rPr>
            </w:pPr>
          </w:p>
        </w:tc>
      </w:tr>
      <w:tr>
        <w:trPr>
          <w:trHeight w:val="15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End of period</w:t>
            </w:r>
          </w:p>
        </w:tc>
        <w:tc>
          <w:tcPr>
            <w:tcW w:w="114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494,321</w:t>
            </w:r>
          </w:p>
        </w:tc>
        <w:tc>
          <w:tcPr>
            <w:tcW w:w="280" w:type="dxa"/>
            <w:vAlign w:val="bottom"/>
          </w:tcPr>
          <w:p>
            <w:pPr>
              <w:spacing w:after="0"/>
              <w:rPr>
                <w:sz w:val="13"/>
                <w:szCs w:val="13"/>
                <w:color w:val="auto"/>
              </w:rPr>
            </w:pP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499,142</w:t>
            </w:r>
          </w:p>
        </w:tc>
        <w:tc>
          <w:tcPr>
            <w:tcW w:w="80" w:type="dxa"/>
            <w:vAlign w:val="bottom"/>
          </w:tcPr>
          <w:p>
            <w:pPr>
              <w:spacing w:after="0"/>
              <w:rPr>
                <w:sz w:val="13"/>
                <w:szCs w:val="13"/>
                <w:color w:val="auto"/>
              </w:rPr>
            </w:pPr>
          </w:p>
        </w:tc>
      </w:tr>
      <w:tr>
        <w:trPr>
          <w:trHeight w:val="20"/>
        </w:trPr>
        <w:tc>
          <w:tcPr>
            <w:tcW w:w="6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7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16,084</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10,653</w:t>
            </w:r>
          </w:p>
        </w:tc>
      </w:tr>
      <w:tr>
        <w:trPr>
          <w:trHeight w:val="144"/>
        </w:trPr>
        <w:tc>
          <w:tcPr>
            <w:tcW w:w="7260" w:type="dxa"/>
            <w:vAlign w:val="bottom"/>
            <w:shd w:val="clear" w:color="auto" w:fill="CCECFF"/>
          </w:tcPr>
          <w:p>
            <w:pPr>
              <w:ind w:left="34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w:t>
            </w:r>
          </w:p>
        </w:tc>
        <w:tc>
          <w:tcPr>
            <w:tcW w:w="9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68"/>
        </w:trPr>
        <w:tc>
          <w:tcPr>
            <w:tcW w:w="72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3"/>
                <w:szCs w:val="13"/>
                <w:color w:val="auto"/>
              </w:rPr>
              <w:t>operations to net cash provided by (used in) operating activities:</w:t>
            </w:r>
          </w:p>
        </w:tc>
        <w:tc>
          <w:tcPr>
            <w:tcW w:w="9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5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change in net unrealized (appreciation) depreciation on investments</w:t>
            </w:r>
          </w:p>
        </w:tc>
        <w:tc>
          <w:tcPr>
            <w:tcW w:w="9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(2,361)</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(3,328)</w:t>
            </w: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(1,831)</w:t>
            </w:r>
          </w:p>
        </w:tc>
      </w:tr>
      <w:tr>
        <w:trPr>
          <w:trHeight w:val="156"/>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(724 )</w:t>
            </w: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(281 )</w:t>
            </w:r>
          </w:p>
        </w:tc>
      </w:tr>
      <w:tr>
        <w:trPr>
          <w:trHeight w:val="15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9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(394,229)</w:t>
            </w:r>
          </w:p>
        </w:tc>
        <w:tc>
          <w:tcPr>
            <w:tcW w:w="9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(281,000)</w:t>
            </w:r>
          </w:p>
        </w:tc>
      </w:tr>
      <w:tr>
        <w:trPr>
          <w:trHeight w:val="156"/>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Payment-in-kind income</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(2,244)</w:t>
            </w: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(980 )</w:t>
            </w:r>
          </w:p>
        </w:tc>
      </w:tr>
      <w:tr>
        <w:trPr>
          <w:trHeight w:val="15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427,065</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170,753</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(Increase) decrease in:</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2"/>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Interest receivable</w:t>
            </w:r>
          </w:p>
        </w:tc>
        <w:tc>
          <w:tcPr>
            <w:tcW w:w="94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60" w:type="dxa"/>
            <w:vAlign w:val="bottom"/>
            <w:shd w:val="clear" w:color="auto" w:fill="CCECFF"/>
          </w:tcPr>
          <w:p>
            <w:pPr>
              <w:spacing w:after="0"/>
              <w:rPr>
                <w:sz w:val="21"/>
                <w:szCs w:val="21"/>
                <w:color w:val="auto"/>
              </w:rPr>
            </w:pPr>
          </w:p>
        </w:tc>
        <w:tc>
          <w:tcPr>
            <w:tcW w:w="940" w:type="dxa"/>
            <w:vAlign w:val="bottom"/>
            <w:shd w:val="clear" w:color="auto" w:fill="CCECFF"/>
          </w:tcPr>
          <w:p>
            <w:pPr>
              <w:spacing w:after="0"/>
              <w:rPr>
                <w:sz w:val="21"/>
                <w:szCs w:val="21"/>
                <w:color w:val="auto"/>
              </w:rPr>
            </w:pPr>
          </w:p>
        </w:tc>
        <w:tc>
          <w:tcPr>
            <w:tcW w:w="620" w:type="dxa"/>
            <w:vAlign w:val="bottom"/>
            <w:gridSpan w:val="2"/>
            <w:shd w:val="clear" w:color="auto" w:fill="CCECFF"/>
          </w:tcPr>
          <w:p>
            <w:pPr>
              <w:jc w:val="right"/>
              <w:ind w:right="40"/>
              <w:spacing w:after="0" w:line="252" w:lineRule="exact"/>
              <w:rPr>
                <w:sz w:val="20"/>
                <w:szCs w:val="20"/>
                <w:color w:val="auto"/>
              </w:rPr>
            </w:pPr>
            <w:r>
              <w:rPr>
                <w:rFonts w:ascii="Times New Roman" w:cs="Times New Roman" w:eastAsia="Times New Roman" w:hAnsi="Times New Roman"/>
                <w:sz w:val="13"/>
                <w:szCs w:val="13"/>
                <w:color w:val="auto"/>
              </w:rPr>
              <w:t xml:space="preserve">(3,064 </w:t>
            </w:r>
            <w:r>
              <w:rPr>
                <w:rFonts w:ascii="Times New Roman" w:cs="Times New Roman" w:eastAsia="Times New Roman" w:hAnsi="Times New Roman"/>
                <w:sz w:val="26"/>
                <w:szCs w:val="26"/>
                <w:color w:val="auto"/>
                <w:vertAlign w:val="subscript"/>
              </w:rPr>
              <w:t>)</w:t>
            </w:r>
          </w:p>
        </w:tc>
      </w:tr>
      <w:tr>
        <w:trPr>
          <w:trHeight w:val="15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Receivables from investments sold</w:t>
            </w:r>
          </w:p>
        </w:tc>
        <w:tc>
          <w:tcPr>
            <w:tcW w:w="9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(47,230)</w:t>
            </w:r>
          </w:p>
        </w:tc>
        <w:tc>
          <w:tcPr>
            <w:tcW w:w="9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Distribution receivable</w:t>
            </w: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(302 )</w:t>
            </w:r>
          </w:p>
        </w:tc>
      </w:tr>
      <w:tr>
        <w:trPr>
          <w:trHeight w:val="15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Due from affiliate</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(181 )</w:t>
            </w:r>
          </w:p>
        </w:tc>
      </w:tr>
      <w:tr>
        <w:trPr>
          <w:trHeight w:val="156"/>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(235 )</w:t>
            </w:r>
          </w:p>
        </w:tc>
      </w:tr>
      <w:tr>
        <w:trPr>
          <w:trHeight w:val="15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Increase (decrease) in:</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Due to affiliate</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(33)</w:t>
            </w: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(2,542)</w:t>
            </w:r>
          </w:p>
        </w:tc>
      </w:tr>
      <w:tr>
        <w:trPr>
          <w:trHeight w:val="15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9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24,954</w:t>
            </w:r>
          </w:p>
        </w:tc>
        <w:tc>
          <w:tcPr>
            <w:tcW w:w="9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(48,099)</w:t>
            </w:r>
          </w:p>
        </w:tc>
      </w:tr>
      <w:tr>
        <w:trPr>
          <w:trHeight w:val="156"/>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(3,556)</w:t>
            </w: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(3,106)</w:t>
            </w:r>
          </w:p>
        </w:tc>
      </w:tr>
      <w:tr>
        <w:trPr>
          <w:trHeight w:val="15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Base management fee payable, net</w:t>
            </w:r>
          </w:p>
        </w:tc>
        <w:tc>
          <w:tcPr>
            <w:tcW w:w="9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Incentive fee payable</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(301 )</w:t>
            </w: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(2,431)</w:t>
            </w:r>
          </w:p>
        </w:tc>
      </w:tr>
      <w:tr>
        <w:trPr>
          <w:trHeight w:val="156"/>
        </w:trPr>
        <w:tc>
          <w:tcPr>
            <w:tcW w:w="7260" w:type="dxa"/>
            <w:vAlign w:val="bottom"/>
            <w:shd w:val="clear" w:color="auto" w:fill="CCECFF"/>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18,745</w:t>
            </w: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(155,121)</w:t>
            </w: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940" w:type="dxa"/>
            <w:vAlign w:val="bottom"/>
            <w:shd w:val="clear" w:color="auto" w:fill="CCECFF"/>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(15,671)</w:t>
            </w:r>
          </w:p>
        </w:tc>
        <w:tc>
          <w:tcPr>
            <w:tcW w:w="940" w:type="dxa"/>
            <w:vAlign w:val="bottom"/>
            <w:shd w:val="clear" w:color="auto" w:fill="CCECFF"/>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(22,828)</w:t>
            </w:r>
          </w:p>
        </w:tc>
      </w:tr>
      <w:tr>
        <w:trPr>
          <w:trHeight w:val="156"/>
        </w:trPr>
        <w:tc>
          <w:tcPr>
            <w:tcW w:w="72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Borrowings under Truist Credit Facility</w:t>
            </w:r>
          </w:p>
        </w:tc>
        <w:tc>
          <w:tcPr>
            <w:tcW w:w="9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55,000</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228,036</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Repayments under Truist Credit Facility</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(52,000)</w:t>
            </w: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(52,000)</w:t>
            </w:r>
          </w:p>
        </w:tc>
      </w:tr>
      <w:tr>
        <w:trPr>
          <w:trHeight w:val="156"/>
        </w:trPr>
        <w:tc>
          <w:tcPr>
            <w:tcW w:w="726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9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(12,671)</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153,208</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equivalents</w:t>
            </w:r>
          </w:p>
        </w:tc>
        <w:tc>
          <w:tcPr>
            <w:tcW w:w="9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6,074</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(1,913)</w:t>
            </w: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9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(84)</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9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49,861</w:t>
            </w:r>
          </w:p>
        </w:tc>
        <w:tc>
          <w:tcPr>
            <w:tcW w:w="94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38,775</w:t>
            </w:r>
          </w:p>
        </w:tc>
      </w:tr>
      <w:tr>
        <w:trPr>
          <w:trHeight w:val="156"/>
        </w:trPr>
        <w:tc>
          <w:tcPr>
            <w:tcW w:w="72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940" w:type="dxa"/>
            <w:vAlign w:val="bottom"/>
          </w:tcPr>
          <w:p>
            <w:pPr>
              <w:jc w:val="right"/>
              <w:ind w:right="7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55,851</w:t>
            </w:r>
          </w:p>
        </w:tc>
        <w:tc>
          <w:tcPr>
            <w:tcW w:w="940" w:type="dxa"/>
            <w:vAlign w:val="bottom"/>
          </w:tcPr>
          <w:p>
            <w:pPr>
              <w:jc w:val="right"/>
              <w:ind w:right="7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36,893</w:t>
            </w:r>
          </w:p>
        </w:tc>
      </w:tr>
      <w:tr>
        <w:trPr>
          <w:trHeight w:val="20"/>
        </w:trPr>
        <w:tc>
          <w:tcPr>
            <w:tcW w:w="7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26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56"/>
        </w:trPr>
        <w:tc>
          <w:tcPr>
            <w:tcW w:w="726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Interest paid</w:t>
            </w:r>
          </w:p>
        </w:tc>
        <w:tc>
          <w:tcPr>
            <w:tcW w:w="940" w:type="dxa"/>
            <w:vAlign w:val="bottom"/>
          </w:tcPr>
          <w:p>
            <w:pPr>
              <w:jc w:val="right"/>
              <w:ind w:right="7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14,858</w:t>
            </w:r>
          </w:p>
        </w:tc>
        <w:tc>
          <w:tcPr>
            <w:tcW w:w="940" w:type="dxa"/>
            <w:vAlign w:val="bottom"/>
          </w:tcPr>
          <w:p>
            <w:pPr>
              <w:jc w:val="right"/>
              <w:ind w:right="7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12,224</w:t>
            </w:r>
          </w:p>
        </w:tc>
      </w:tr>
      <w:tr>
        <w:trPr>
          <w:trHeight w:val="20"/>
        </w:trPr>
        <w:tc>
          <w:tcPr>
            <w:tcW w:w="7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7260" w:type="dxa"/>
            <w:vAlign w:val="bottom"/>
            <w:tcBorders>
              <w:bottom w:val="single" w:sz="8" w:color="CCECFF"/>
            </w:tcBorders>
            <w:shd w:val="clear" w:color="auto" w:fill="CCECFF"/>
          </w:tcPr>
          <w:p>
            <w:pPr>
              <w:ind w:left="180"/>
              <w:spacing w:after="0" w:line="133" w:lineRule="exact"/>
              <w:rPr>
                <w:sz w:val="20"/>
                <w:szCs w:val="20"/>
                <w:color w:val="auto"/>
              </w:rPr>
            </w:pPr>
            <w:r>
              <w:rPr>
                <w:rFonts w:ascii="Times New Roman" w:cs="Times New Roman" w:eastAsia="Times New Roman" w:hAnsi="Times New Roman"/>
                <w:sz w:val="13"/>
                <w:szCs w:val="13"/>
                <w:color w:val="auto"/>
              </w:rPr>
              <w:t>Taxes paid</w:t>
            </w:r>
          </w:p>
        </w:tc>
        <w:tc>
          <w:tcPr>
            <w:tcW w:w="940" w:type="dxa"/>
            <w:vAlign w:val="bottom"/>
            <w:tcBorders>
              <w:bottom w:val="single" w:sz="8" w:color="auto"/>
            </w:tcBorders>
            <w:shd w:val="clear" w:color="auto" w:fill="CCECFF"/>
          </w:tcPr>
          <w:p>
            <w:pPr>
              <w:jc w:val="right"/>
              <w:ind w:right="7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CFF"/>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ind w:right="7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3,357</w:t>
            </w:r>
          </w:p>
        </w:tc>
        <w:tc>
          <w:tcPr>
            <w:tcW w:w="80" w:type="dxa"/>
            <w:vAlign w:val="bottom"/>
            <w:tcBorders>
              <w:bottom w:val="single" w:sz="8" w:color="CCECFF"/>
            </w:tcBorders>
            <w:shd w:val="clear" w:color="auto" w:fill="CCECFF"/>
          </w:tcPr>
          <w:p>
            <w:pPr>
              <w:spacing w:after="0"/>
              <w:rPr>
                <w:sz w:val="14"/>
                <w:szCs w:val="14"/>
                <w:color w:val="auto"/>
              </w:rPr>
            </w:pPr>
          </w:p>
        </w:tc>
      </w:tr>
      <w:tr>
        <w:trPr>
          <w:trHeight w:val="132"/>
        </w:trPr>
        <w:tc>
          <w:tcPr>
            <w:tcW w:w="726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Non-cash exchanges and conversions</w:t>
            </w:r>
          </w:p>
        </w:tc>
        <w:tc>
          <w:tcPr>
            <w:tcW w:w="940" w:type="dxa"/>
            <w:vAlign w:val="bottom"/>
            <w:tcBorders>
              <w:bottom w:val="single" w:sz="8" w:color="auto"/>
            </w:tcBorders>
          </w:tcPr>
          <w:p>
            <w:pPr>
              <w:jc w:val="right"/>
              <w:ind w:right="7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5,963</w:t>
            </w:r>
          </w:p>
        </w:tc>
        <w:tc>
          <w:tcPr>
            <w:tcW w:w="260" w:type="dxa"/>
            <w:vAlign w:val="bottom"/>
          </w:tcPr>
          <w:p>
            <w:pPr>
              <w:spacing w:after="0"/>
              <w:rPr>
                <w:sz w:val="11"/>
                <w:szCs w:val="11"/>
                <w:color w:val="auto"/>
              </w:rPr>
            </w:pPr>
          </w:p>
        </w:tc>
        <w:tc>
          <w:tcPr>
            <w:tcW w:w="940" w:type="dxa"/>
            <w:vAlign w:val="bottom"/>
            <w:tcBorders>
              <w:bottom w:val="single" w:sz="8" w:color="auto"/>
            </w:tcBorders>
          </w:tcPr>
          <w:p>
            <w:pPr>
              <w:jc w:val="right"/>
              <w:ind w:right="7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r>
      <w:tr>
        <w:trPr>
          <w:trHeight w:val="20"/>
        </w:trPr>
        <w:tc>
          <w:tcPr>
            <w:tcW w:w="7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72"/>
        </w:trPr>
        <w:tc>
          <w:tcPr>
            <w:tcW w:w="7260" w:type="dxa"/>
            <w:vAlign w:val="bottom"/>
            <w:tcBorders>
              <w:bottom w:val="single" w:sz="8" w:color="CCECFF"/>
            </w:tcBorders>
            <w:shd w:val="clear" w:color="auto" w:fill="CCEC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Non-cash purchases and disposition of investments</w:t>
            </w:r>
          </w:p>
        </w:tc>
        <w:tc>
          <w:tcPr>
            <w:tcW w:w="940" w:type="dxa"/>
            <w:vAlign w:val="bottom"/>
            <w:tcBorders>
              <w:top w:val="single" w:sz="8" w:color="auto"/>
              <w:bottom w:val="single" w:sz="8" w:color="auto"/>
            </w:tcBorders>
            <w:shd w:val="clear" w:color="auto" w:fill="CCECFF"/>
          </w:tcPr>
          <w:p>
            <w:pPr>
              <w:jc w:val="right"/>
              <w:ind w:right="7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26,250</w:t>
            </w:r>
          </w:p>
        </w:tc>
        <w:tc>
          <w:tcPr>
            <w:tcW w:w="260" w:type="dxa"/>
            <w:vAlign w:val="bottom"/>
            <w:tcBorders>
              <w:bottom w:val="single" w:sz="8" w:color="CCECFF"/>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ind w:right="7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4"/>
                <w:szCs w:val="14"/>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4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0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Non-Controlled, Non-Affiliated Portfolio Companies - 171.1% </w:t>
            </w:r>
            <w:r>
              <w:rPr>
                <w:rFonts w:ascii="Times New Roman" w:cs="Times New Roman" w:eastAsia="Times New Roman" w:hAnsi="Times New Roman"/>
                <w:sz w:val="12"/>
                <w:szCs w:val="12"/>
                <w:color w:val="auto"/>
                <w:vertAlign w:val="superscript"/>
              </w:rPr>
              <w:t>(1), (2)</w:t>
            </w: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- 95.2% of Net Assets</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03/31/2025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1,534</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10/02/2029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9.84 %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04/02/2025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1,799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Avenu Buyer, LLC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10/02/2029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9.84 %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10/02/2029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Inc. -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08/01/2029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05/06/2026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10.59 %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SOFR+626</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05/06/2026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Adweek Purchaser,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05/30/2027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11.33 %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Adweek Purchaser, LLC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11/30/2025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08/16/2029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04/09/2027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10.09 %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04/09/2027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 - Third Out</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05/06/2028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11.46 %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8,840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7,562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5,242</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Purchaser, Inc. - Fourth Out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05/06/2028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11.46 %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4,760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305</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Funded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06/30/2026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10.19 %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SOFR+585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06/30/2026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10.23 %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SOFR+590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07/17/2025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13.25 %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1,596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1,596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1,576</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10/28/2031</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9.17 %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14,981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10/28/2031</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A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08/28/2025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08/28/2026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08/28/2029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03/13/2025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09/13/2029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Azureon,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06/26/2029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10.08 %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5,218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5,150</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5,103</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Azureon, LLC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06/26/2026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(56 )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Azureon, LLC -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06/26/2029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96"/>
        </w:trPr>
        <w:tc>
          <w:tcPr>
            <w:tcW w:w="34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8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06/21/2029</w:t>
            </w:r>
          </w:p>
        </w:tc>
        <w:tc>
          <w:tcPr>
            <w:tcW w:w="20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right"/>
              <w:ind w:right="112"/>
              <w:spacing w:after="0" w:line="97" w:lineRule="exact"/>
              <w:rPr>
                <w:sz w:val="20"/>
                <w:szCs w:val="20"/>
                <w:color w:val="auto"/>
              </w:rPr>
            </w:pPr>
            <w:r>
              <w:rPr>
                <w:rFonts w:ascii="Times New Roman" w:cs="Times New Roman" w:eastAsia="Times New Roman" w:hAnsi="Times New Roman"/>
                <w:sz w:val="10"/>
                <w:szCs w:val="10"/>
                <w:color w:val="auto"/>
              </w:rPr>
              <w:t>9.85</w:t>
            </w:r>
          </w:p>
        </w:tc>
        <w:tc>
          <w:tcPr>
            <w:tcW w:w="84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3,532</w:t>
            </w:r>
          </w:p>
        </w:tc>
        <w:tc>
          <w:tcPr>
            <w:tcW w:w="240" w:type="dxa"/>
            <w:vAlign w:val="bottom"/>
            <w:shd w:val="clear" w:color="auto" w:fill="CCECFF"/>
          </w:tcPr>
          <w:p>
            <w:pPr>
              <w:spacing w:after="0"/>
              <w:rPr>
                <w:sz w:val="8"/>
                <w:szCs w:val="8"/>
                <w:color w:val="auto"/>
              </w:rPr>
            </w:pPr>
          </w:p>
        </w:tc>
        <w:tc>
          <w:tcPr>
            <w:tcW w:w="6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3,497</w:t>
            </w:r>
          </w:p>
        </w:tc>
        <w:tc>
          <w:tcPr>
            <w:tcW w:w="160" w:type="dxa"/>
            <w:vAlign w:val="bottom"/>
            <w:shd w:val="clear" w:color="auto" w:fill="CCECFF"/>
          </w:tcPr>
          <w:p>
            <w:pPr>
              <w:spacing w:after="0"/>
              <w:rPr>
                <w:sz w:val="8"/>
                <w:szCs w:val="8"/>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3,479</w:t>
            </w:r>
          </w:p>
        </w:tc>
        <w:tc>
          <w:tcPr>
            <w:tcW w:w="0" w:type="dxa"/>
            <w:vAlign w:val="bottom"/>
          </w:tcPr>
          <w:p>
            <w:pPr>
              <w:spacing w:after="0"/>
              <w:rPr>
                <w:sz w:val="1"/>
                <w:szCs w:val="1"/>
                <w:color w:val="auto"/>
              </w:rPr>
            </w:pPr>
          </w:p>
        </w:tc>
      </w:tr>
      <w:tr>
        <w:trPr>
          <w:trHeight w:val="120"/>
        </w:trPr>
        <w:tc>
          <w:tcPr>
            <w:tcW w:w="3480" w:type="dxa"/>
            <w:vAlign w:val="bottom"/>
            <w:vMerge w:val="continue"/>
            <w:shd w:val="clear" w:color="auto" w:fill="CCECFF"/>
          </w:tcPr>
          <w:p>
            <w:pPr>
              <w:spacing w:after="0"/>
              <w:rPr>
                <w:sz w:val="10"/>
                <w:szCs w:val="10"/>
                <w:color w:val="auto"/>
              </w:rPr>
            </w:pPr>
          </w:p>
        </w:tc>
        <w:tc>
          <w:tcPr>
            <w:tcW w:w="820" w:type="dxa"/>
            <w:vAlign w:val="bottom"/>
            <w:vMerge w:val="continue"/>
            <w:shd w:val="clear" w:color="auto" w:fill="CCECFF"/>
          </w:tcPr>
          <w:p>
            <w:pPr>
              <w:spacing w:after="0"/>
              <w:rPr>
                <w:sz w:val="10"/>
                <w:szCs w:val="10"/>
                <w:color w:val="auto"/>
              </w:rPr>
            </w:pPr>
          </w:p>
        </w:tc>
        <w:tc>
          <w:tcPr>
            <w:tcW w:w="2000" w:type="dxa"/>
            <w:vAlign w:val="bottom"/>
            <w:vMerge w:val="continue"/>
            <w:shd w:val="clear" w:color="auto" w:fill="CCECFF"/>
          </w:tcPr>
          <w:p>
            <w:pPr>
              <w:spacing w:after="0"/>
              <w:rPr>
                <w:sz w:val="10"/>
                <w:szCs w:val="10"/>
                <w:color w:val="auto"/>
              </w:rPr>
            </w:pP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vMerge w:val="continue"/>
            <w:shd w:val="clear" w:color="auto" w:fill="CCECFF"/>
          </w:tcPr>
          <w:p>
            <w:pPr>
              <w:spacing w:after="0"/>
              <w:rPr>
                <w:sz w:val="10"/>
                <w:szCs w:val="10"/>
                <w:color w:val="auto"/>
              </w:rPr>
            </w:pPr>
          </w:p>
        </w:tc>
        <w:tc>
          <w:tcPr>
            <w:tcW w:w="840" w:type="dxa"/>
            <w:vAlign w:val="bottom"/>
            <w:vMerge w:val="continue"/>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vMerge w:val="continue"/>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(PIK 15.00%)</w:t>
            </w: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12/21/2025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06/21/2029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05/02/2025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13.00 %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4,031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3,996</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11/08/2029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11.08 %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24,629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24,625</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Best Practice Associates, LLC -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11/08/2029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8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07/01/2029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right"/>
              <w:ind w:right="12"/>
              <w:spacing w:after="0" w:line="180" w:lineRule="exact"/>
              <w:rPr>
                <w:sz w:val="20"/>
                <w:szCs w:val="20"/>
                <w:color w:val="auto"/>
              </w:rPr>
            </w:pPr>
            <w:r>
              <w:rPr>
                <w:rFonts w:ascii="Times New Roman" w:cs="Times New Roman" w:eastAsia="Times New Roman" w:hAnsi="Times New Roman"/>
                <w:sz w:val="10"/>
                <w:szCs w:val="10"/>
                <w:color w:val="auto"/>
              </w:rPr>
              <w:t xml:space="preserve">10.08 </w:t>
            </w:r>
            <w:r>
              <w:rPr>
                <w:rFonts w:ascii="Times New Roman" w:cs="Times New Roman" w:eastAsia="Times New Roman" w:hAnsi="Times New Roman"/>
                <w:sz w:val="19"/>
                <w:szCs w:val="19"/>
                <w:color w:val="auto"/>
                <w:vertAlign w:val="subscript"/>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shd w:val="clear" w:color="auto" w:fill="CCECFF"/>
          </w:tcPr>
          <w:p>
            <w:pPr>
              <w:spacing w:after="0"/>
              <w:rPr>
                <w:sz w:val="15"/>
                <w:szCs w:val="15"/>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4,821</w:t>
            </w:r>
          </w:p>
        </w:tc>
        <w:tc>
          <w:tcPr>
            <w:tcW w:w="160" w:type="dxa"/>
            <w:vAlign w:val="bottom"/>
            <w:shd w:val="clear" w:color="auto" w:fill="CCECFF"/>
          </w:tcPr>
          <w:p>
            <w:pPr>
              <w:spacing w:after="0"/>
              <w:rPr>
                <w:sz w:val="15"/>
                <w:szCs w:val="15"/>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02/07/2030</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 Revolver</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01/31/2028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11.05 %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09/17/2026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9.73 %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SOFR+540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1,252</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09/17/2026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 - Funded Revolver</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09/17/2026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9.73 %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SOFR+540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835</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09/17/2026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(69 )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BLC Holding Company,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11/20/2030</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9.25 %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12,104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12,016</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12,013</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BLC Holding Company, Inc.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11/20/2026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8"/>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BLC Holding Company, Inc. -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11/20/2030</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3,005</w:t>
            </w:r>
          </w:p>
        </w:tc>
        <w:tc>
          <w:tcPr>
            <w:tcW w:w="240" w:type="dxa"/>
            <w:vAlign w:val="bottom"/>
          </w:tcPr>
          <w:p>
            <w:pPr>
              <w:spacing w:after="0"/>
              <w:rPr>
                <w:sz w:val="13"/>
                <w:szCs w:val="13"/>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040" w:type="dxa"/>
            <w:vAlign w:val="bottom"/>
          </w:tcPr>
          <w:p>
            <w:pPr>
              <w:ind w:left="82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Boss Industries, LLC</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12/27/2030</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Conglomerate Manufacturing</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9.33 %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11,000</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10,918</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10,918</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Boss Industries, LLC - Funded Revolver</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12/27/2030</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Conglomerate Manufacturing</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Boss Industries, LLC -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12/27/2030</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Conglomerate Manufacturing</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10/31/2025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12/01/2029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2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12/01/2029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12/01/2029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02/07/2026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10,017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(50 )</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 - Funded Revolver</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02/07/2030</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10.05 %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Revolver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02/07/2030</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3,139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06/14/2028</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23,676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23,370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23,676</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06/14/2028</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 Unfunded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06/14/2028</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Case Works, LLC - Unfunded Term Loan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10/01/2025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Case Works, LLC - Funded Revolver</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10/01/2029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9.65 %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749</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Case Works, LLC - Revolver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10/01/2029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CF512, Inc. -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08/20/2026</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CJX Borrower, LLC</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07/13/2027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0" w:type="dxa"/>
            <w:vAlign w:val="bottom"/>
          </w:tcPr>
          <w:p>
            <w:pPr>
              <w:spacing w:after="0"/>
              <w:rPr>
                <w:sz w:val="1"/>
                <w:szCs w:val="1"/>
                <w:color w:val="auto"/>
              </w:rPr>
            </w:pPr>
          </w:p>
        </w:tc>
      </w:tr>
      <w:tr>
        <w:trPr>
          <w:trHeight w:val="124"/>
        </w:trPr>
        <w:tc>
          <w:tcPr>
            <w:tcW w:w="30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CJX Borrower, LLC - Unfunded Term Loan </w:t>
            </w:r>
            <w:r>
              <w:rPr>
                <w:rFonts w:ascii="Times New Roman" w:cs="Times New Roman" w:eastAsia="Times New Roman" w:hAnsi="Times New Roman"/>
                <w:sz w:val="12"/>
                <w:szCs w:val="12"/>
                <w:color w:val="auto"/>
                <w:vertAlign w:val="superscript"/>
              </w:rPr>
              <w:t>(7)</w:t>
            </w:r>
          </w:p>
        </w:tc>
        <w:tc>
          <w:tcPr>
            <w:tcW w:w="1260" w:type="dxa"/>
            <w:vAlign w:val="bottom"/>
            <w:vMerge w:val="restart"/>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07/13/2027</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vMerge w:val="restart"/>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w:t>
            </w:r>
          </w:p>
        </w:tc>
        <w:tc>
          <w:tcPr>
            <w:tcW w:w="240" w:type="dxa"/>
            <w:vAlign w:val="bottom"/>
            <w:shd w:val="clear" w:color="auto" w:fill="CCECFF"/>
          </w:tcPr>
          <w:p>
            <w:pPr>
              <w:spacing w:after="0"/>
              <w:rPr>
                <w:sz w:val="10"/>
                <w:szCs w:val="10"/>
                <w:color w:val="auto"/>
              </w:rPr>
            </w:pPr>
          </w:p>
        </w:tc>
        <w:tc>
          <w:tcPr>
            <w:tcW w:w="6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2"/>
        </w:trPr>
        <w:tc>
          <w:tcPr>
            <w:tcW w:w="3040" w:type="dxa"/>
            <w:vAlign w:val="bottom"/>
            <w:vMerge w:val="continue"/>
            <w:shd w:val="clear" w:color="auto" w:fill="CCECFF"/>
          </w:tcPr>
          <w:p>
            <w:pPr>
              <w:spacing w:after="0"/>
              <w:rPr>
                <w:sz w:val="8"/>
                <w:szCs w:val="8"/>
                <w:color w:val="auto"/>
              </w:rPr>
            </w:pPr>
          </w:p>
        </w:tc>
        <w:tc>
          <w:tcPr>
            <w:tcW w:w="1260" w:type="dxa"/>
            <w:vAlign w:val="bottom"/>
            <w:vMerge w:val="continue"/>
            <w:shd w:val="clear" w:color="auto" w:fill="CCECFF"/>
          </w:tcPr>
          <w:p>
            <w:pPr>
              <w:spacing w:after="0"/>
              <w:rPr>
                <w:sz w:val="8"/>
                <w:szCs w:val="8"/>
                <w:color w:val="auto"/>
              </w:rPr>
            </w:pPr>
          </w:p>
        </w:tc>
        <w:tc>
          <w:tcPr>
            <w:tcW w:w="2040" w:type="dxa"/>
            <w:vAlign w:val="bottom"/>
            <w:shd w:val="clear" w:color="auto" w:fill="CCECFF"/>
          </w:tcPr>
          <w:p>
            <w:pPr>
              <w:spacing w:after="0"/>
              <w:rPr>
                <w:sz w:val="8"/>
                <w:szCs w:val="8"/>
                <w:color w:val="auto"/>
              </w:rPr>
            </w:pPr>
          </w:p>
        </w:tc>
        <w:tc>
          <w:tcPr>
            <w:tcW w:w="840" w:type="dxa"/>
            <w:vAlign w:val="bottom"/>
            <w:vMerge w:val="continue"/>
            <w:shd w:val="clear" w:color="auto" w:fill="CCECFF"/>
          </w:tcPr>
          <w:p>
            <w:pPr>
              <w:spacing w:after="0"/>
              <w:rPr>
                <w:sz w:val="8"/>
                <w:szCs w:val="8"/>
                <w:color w:val="auto"/>
              </w:rPr>
            </w:pPr>
          </w:p>
        </w:tc>
        <w:tc>
          <w:tcPr>
            <w:tcW w:w="820" w:type="dxa"/>
            <w:vAlign w:val="bottom"/>
            <w:vMerge w:val="continue"/>
            <w:shd w:val="clear" w:color="auto" w:fill="CCECFF"/>
          </w:tcPr>
          <w:p>
            <w:pPr>
              <w:spacing w:after="0"/>
              <w:rPr>
                <w:sz w:val="8"/>
                <w:szCs w:val="8"/>
                <w:color w:val="auto"/>
              </w:rPr>
            </w:pPr>
          </w:p>
        </w:tc>
        <w:tc>
          <w:tcPr>
            <w:tcW w:w="820" w:type="dxa"/>
            <w:vAlign w:val="bottom"/>
            <w:vMerge w:val="continue"/>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20" w:type="dxa"/>
            <w:vAlign w:val="bottom"/>
            <w:vMerge w:val="continue"/>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72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CJX Borrower, LLC - Funded Revolver</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07/13/2027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10.12 %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CJX Borrower, LLC -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07/13/2027</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 Revolver</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02/07/2025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10.14 %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 Unfunded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02/07/2025</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 Revolver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08/16/2027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C5MI Acquisition, LLC</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07/31/2030</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10.33 %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7,481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7,373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C5MI Acquisition, LLC - Funded Revolver</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07/31/2030</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679</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Acquisition, LLC - Unfunded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07/31/2030</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3,444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(52 )</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 Unfunded Revolver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08/31/2027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11/03/2025</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10.71 %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SOFR+635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 Revolver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11/03/2025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09/30/2026</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Duggal Acquisition, LLC - Funded Revolver</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09/30/2030</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507</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09/30/2030</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07/15/2028</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10.29 %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12/22/2028</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10/18/2027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Emergency Care Partners, LLC - Unfunded Term Loan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04/18/2026</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Emergency Care Partners, LLC - Revolver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10/18/2027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ENC Parent Corporation</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08/20/2029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8.84 %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SOFR+451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3,009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2,914</w:t>
            </w:r>
          </w:p>
        </w:tc>
        <w:tc>
          <w:tcPr>
            <w:tcW w:w="0" w:type="dxa"/>
            <w:vAlign w:val="bottom"/>
          </w:tcPr>
          <w:p>
            <w:pPr>
              <w:spacing w:after="0"/>
              <w:rPr>
                <w:sz w:val="1"/>
                <w:szCs w:val="1"/>
                <w:color w:val="auto"/>
              </w:rPr>
            </w:pPr>
          </w:p>
        </w:tc>
      </w:tr>
      <w:tr>
        <w:trPr>
          <w:trHeight w:val="12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05/25/2029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1,436</w:t>
            </w:r>
          </w:p>
        </w:tc>
        <w:tc>
          <w:tcPr>
            <w:tcW w:w="0" w:type="dxa"/>
            <w:vAlign w:val="bottom"/>
          </w:tcPr>
          <w:p>
            <w:pPr>
              <w:spacing w:after="0"/>
              <w:rPr>
                <w:sz w:val="1"/>
                <w:szCs w:val="1"/>
                <w:color w:val="auto"/>
              </w:rPr>
            </w:pPr>
          </w:p>
        </w:tc>
      </w:tr>
      <w:tr>
        <w:trPr>
          <w:trHeight w:val="120"/>
        </w:trPr>
        <w:tc>
          <w:tcPr>
            <w:tcW w:w="30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 Revolver </w:t>
            </w:r>
            <w:r>
              <w:rPr>
                <w:rFonts w:ascii="Times New Roman" w:cs="Times New Roman" w:eastAsia="Times New Roman" w:hAnsi="Times New Roman"/>
                <w:sz w:val="12"/>
                <w:szCs w:val="12"/>
                <w:color w:val="auto"/>
                <w:vertAlign w:val="superscript"/>
              </w:rPr>
              <w:t>(7)</w:t>
            </w:r>
          </w:p>
        </w:tc>
        <w:tc>
          <w:tcPr>
            <w:tcW w:w="1260" w:type="dxa"/>
            <w:vAlign w:val="bottom"/>
            <w:shd w:val="clear" w:color="auto" w:fill="CCECFF"/>
          </w:tcPr>
          <w:p>
            <w:pPr>
              <w:jc w:val="center"/>
              <w:ind w:left="452"/>
              <w:spacing w:after="0"/>
              <w:rPr>
                <w:sz w:val="20"/>
                <w:szCs w:val="20"/>
                <w:color w:val="auto"/>
              </w:rPr>
            </w:pPr>
            <w:r>
              <w:rPr>
                <w:rFonts w:ascii="Times New Roman" w:cs="Times New Roman" w:eastAsia="Times New Roman" w:hAnsi="Times New Roman"/>
                <w:sz w:val="10"/>
                <w:szCs w:val="10"/>
                <w:color w:val="auto"/>
                <w:w w:val="96"/>
              </w:rPr>
              <w:t>05/25/2029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8"/>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Eval Home Health Solutions Intermediate, LLC - Revolver </w:t>
            </w:r>
            <w:r>
              <w:rPr>
                <w:rFonts w:ascii="Times New Roman" w:cs="Times New Roman" w:eastAsia="Times New Roman" w:hAnsi="Times New Roman"/>
                <w:sz w:val="12"/>
                <w:szCs w:val="12"/>
                <w:color w:val="auto"/>
                <w:vertAlign w:val="superscript"/>
              </w:rPr>
              <w:t>(7)</w:t>
            </w:r>
          </w:p>
        </w:tc>
        <w:tc>
          <w:tcPr>
            <w:tcW w:w="1260" w:type="dxa"/>
            <w:vAlign w:val="bottom"/>
          </w:tcPr>
          <w:p>
            <w:pPr>
              <w:jc w:val="center"/>
              <w:ind w:left="452"/>
              <w:spacing w:after="0"/>
              <w:rPr>
                <w:sz w:val="20"/>
                <w:szCs w:val="20"/>
                <w:color w:val="auto"/>
              </w:rPr>
            </w:pPr>
            <w:r>
              <w:rPr>
                <w:rFonts w:ascii="Times New Roman" w:cs="Times New Roman" w:eastAsia="Times New Roman" w:hAnsi="Times New Roman"/>
                <w:sz w:val="10"/>
                <w:szCs w:val="10"/>
                <w:color w:val="auto"/>
                <w:w w:val="96"/>
              </w:rPr>
              <w:t>05/10/2030</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822</w:t>
            </w:r>
          </w:p>
        </w:tc>
        <w:tc>
          <w:tcPr>
            <w:tcW w:w="240" w:type="dxa"/>
            <w:vAlign w:val="bottom"/>
          </w:tcPr>
          <w:p>
            <w:pPr>
              <w:spacing w:after="0"/>
              <w:rPr>
                <w:sz w:val="13"/>
                <w:szCs w:val="13"/>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2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Events Buyer, LLC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6,000</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5,941</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5,940</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Events Buyer, LLC - Unfunded Term Loan A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06/17/2025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5,461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Events Buyer, LLC - Unfunded Term Loan B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5,201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Events Buyer, LLC -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03/15/2027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SOFR+635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24,065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23,862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24,065</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03/15/2027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02/23/2028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11.67 %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SOFR+710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w:t>
            </w: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02/23/2028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05/19/2029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12.56 %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2,812</w:t>
            </w:r>
          </w:p>
        </w:tc>
        <w:tc>
          <w:tcPr>
            <w:tcW w:w="160" w:type="dxa"/>
            <w:vAlign w:val="bottom"/>
          </w:tcPr>
          <w:p>
            <w:pPr>
              <w:spacing w:after="0"/>
              <w:rPr>
                <w:sz w:val="10"/>
                <w:szCs w:val="10"/>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2,811</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GGG MIDCO, LLC</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09/27/2030</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Durable Consumer Products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9.41 %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2,840</w:t>
            </w:r>
          </w:p>
        </w:tc>
        <w:tc>
          <w:tcPr>
            <w:tcW w:w="2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03/27/2026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Durable Consumer Products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6,406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09/27/2030</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Durable Consumer Products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08/10/2027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9.93 %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244</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08/10/2027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 - Funded Revolver</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08/10/2027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9.97 %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08/10/2027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06/30/2025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8.96 %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SOFR+460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4,699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4,478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4,699</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12/31/2026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9.96 %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SOFR+560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12/31/2026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A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02/09/2025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7,706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02/09/2026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16,654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Harris &amp; Co. LLC - Funded Revolver</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08/09/2030</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9.36 %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08/09/2030</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11/08/2029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7,864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7,787</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7,786</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11/07/2025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(PIK 4.00%)</w:t>
            </w: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100" w:type="dxa"/>
            <w:vAlign w:val="bottom"/>
            <w:shd w:val="clear" w:color="auto" w:fill="CCECFF"/>
          </w:tcPr>
          <w:p>
            <w:pPr>
              <w:spacing w:after="0"/>
              <w:rPr>
                <w:sz w:val="10"/>
                <w:szCs w:val="10"/>
                <w:color w:val="auto"/>
              </w:rPr>
            </w:pPr>
          </w:p>
        </w:tc>
        <w:tc>
          <w:tcPr>
            <w:tcW w:w="8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(PIK 4.00%)</w:t>
            </w: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05/10/2026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10.23 %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SOFR+590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6,107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6,124</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HW Holdco, LLC -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05/10/2026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 Holdings LLC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09/22/2028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9.57 %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09/22/2028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 - Funded Revolver</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11/16/2027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9.55 %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SOFR+510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11/16/2027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9.83 %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9,042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9,042</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CAD 2,632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1,830</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- 3rd Amendment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9,091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Funded Revolver</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Inovex Information Systems Incorporated</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12/17/2030</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10,918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10,918</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Inovex Information Systems Incorporated -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Inovex Information Systems Incorporated - Funded Revolver</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12/17/2030</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9.61 %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665</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Inovex Information Systems Incorporated -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12/17/2030</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06/30/2025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03/03/2028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10.05 %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8,634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8,725</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 - Revolver</w:t>
            </w:r>
          </w:p>
        </w:tc>
        <w:tc>
          <w:tcPr>
            <w:tcW w:w="78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03/03/2028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1,061</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ITI Holdings, Inc.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03/03/2028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3,099</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3,028</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3,099</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 - Funded Revolver</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SOFR+610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2,427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2,427</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2,427</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2,427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02/18/2027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12.94 %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SOFR+785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2,940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2,912</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2,896</w:t>
            </w:r>
          </w:p>
        </w:tc>
      </w:t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(PIK 5.10%)</w:t>
            </w: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 -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12.94 %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SOFR+785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2,720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2,720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2,679</w:t>
            </w:r>
          </w:p>
        </w:tc>
      </w:tr>
      <w:tr>
        <w:trPr>
          <w:trHeight w:val="120"/>
        </w:trPr>
        <w:tc>
          <w:tcPr>
            <w:tcW w:w="34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9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(PIK 5.10%)</w:t>
            </w: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Lash OpCo,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(5 )</w:t>
            </w:r>
          </w:p>
        </w:tc>
      </w:tr>
      <w:tr>
        <w:trPr>
          <w:trHeight w:val="121"/>
        </w:trPr>
        <w:tc>
          <w:tcPr>
            <w:tcW w:w="34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SOFR+640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1,967</w:t>
            </w:r>
          </w:p>
        </w:tc>
      </w:tr>
      <w:tr>
        <w:trPr>
          <w:trHeight w:val="120"/>
        </w:trPr>
        <w:tc>
          <w:tcPr>
            <w:tcW w:w="34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(PIK 10.98%)</w:t>
            </w: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1"/>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SOFR+765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9,022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8,942</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8,571</w:t>
            </w:r>
          </w:p>
        </w:tc>
      </w:t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(PIK 1.00%)</w:t>
            </w: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 -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SOFR+765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1,073</w:t>
            </w:r>
          </w:p>
        </w:tc>
      </w:tr>
      <w:tr>
        <w:trPr>
          <w:trHeight w:val="120"/>
        </w:trPr>
        <w:tc>
          <w:tcPr>
            <w:tcW w:w="34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9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(PIK 1.00%)</w:t>
            </w:r>
          </w:p>
        </w:tc>
        <w:tc>
          <w:tcPr>
            <w:tcW w:w="8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Ledge Lounger,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r>
      <w:tr>
        <w:trPr>
          <w:trHeight w:val="196"/>
        </w:trPr>
        <w:tc>
          <w:tcPr>
            <w:tcW w:w="34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 Unfunded Term Loan </w:t>
            </w:r>
            <w:r>
              <w:rPr>
                <w:rFonts w:ascii="Times New Roman" w:cs="Times New Roman" w:eastAsia="Times New Roman" w:hAnsi="Times New Roman"/>
                <w:sz w:val="12"/>
                <w:szCs w:val="12"/>
                <w:color w:val="auto"/>
                <w:vertAlign w:val="superscript"/>
              </w:rPr>
              <w:t>(7)</w:t>
            </w:r>
          </w:p>
        </w:tc>
        <w:tc>
          <w:tcPr>
            <w:tcW w:w="8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06/02/2025</w:t>
            </w:r>
          </w:p>
        </w:tc>
        <w:tc>
          <w:tcPr>
            <w:tcW w:w="19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Borders>
              <w:bottom w:val="single" w:sz="8" w:color="CCECFF"/>
            </w:tcBorders>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CCECFF"/>
            </w:tcBorders>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3,216</w:t>
            </w:r>
          </w:p>
        </w:tc>
        <w:tc>
          <w:tcPr>
            <w:tcW w:w="240" w:type="dxa"/>
            <w:vAlign w:val="bottom"/>
            <w:tcBorders>
              <w:bottom w:val="single" w:sz="8" w:color="CCECFF"/>
            </w:tcBorders>
            <w:shd w:val="clear" w:color="auto" w:fill="CCECFF"/>
          </w:tcPr>
          <w:p>
            <w:pPr>
              <w:spacing w:after="0"/>
              <w:rPr>
                <w:sz w:val="17"/>
                <w:szCs w:val="17"/>
                <w:color w:val="auto"/>
              </w:rPr>
            </w:pPr>
          </w:p>
        </w:tc>
        <w:tc>
          <w:tcPr>
            <w:tcW w:w="6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CFF"/>
            </w:tcBorders>
            <w:shd w:val="clear" w:color="auto" w:fill="CCECFF"/>
          </w:tcPr>
          <w:p>
            <w:pPr>
              <w:spacing w:after="0"/>
              <w:rPr>
                <w:sz w:val="17"/>
                <w:szCs w:val="17"/>
                <w:color w:val="auto"/>
              </w:rPr>
            </w:pPr>
          </w:p>
        </w:tc>
        <w:tc>
          <w:tcPr>
            <w:tcW w:w="720" w:type="dxa"/>
            <w:vAlign w:val="bottom"/>
            <w:tcBorders>
              <w:bottom w:val="single" w:sz="8" w:color="CCECFF"/>
            </w:tcBorders>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(32 )</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10/01/2025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9,622</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9,687</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(5 )</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07/12/2025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Acquisition,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12/19/2030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24,753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24,750</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Acquisition, LLC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06/19/2026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Acquisition, LLC -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12/19/2030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 Funded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10.25 %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SOFR+585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 -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1,734</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MDI Buyer,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1,870</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(42 )</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9.86 %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(167 )</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Mineola 212,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06/24/2025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3,507</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01/16/2026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01/16/2030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SOFR+515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3rd Amendment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09/28/2027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Funded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SOFR+350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NBH Group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08/19/2026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6,630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09/13/2030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(19 )</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2,707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NP Riverhead Industrial,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05/24/2025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4,993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5,038</w:t>
            </w:r>
          </w:p>
        </w:tc>
      </w:tr>
      <w:tr>
        <w:trPr>
          <w:trHeight w:val="158"/>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 Unfunded Term Loan 2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5,598</w:t>
            </w:r>
          </w:p>
        </w:tc>
        <w:tc>
          <w:tcPr>
            <w:tcW w:w="240" w:type="dxa"/>
            <w:vAlign w:val="bottom"/>
          </w:tcPr>
          <w:p>
            <w:pPr>
              <w:spacing w:after="0"/>
              <w:rPr>
                <w:sz w:val="13"/>
                <w:szCs w:val="13"/>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r>
    </w:tbl>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2,100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21"/>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09/03/2027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SOFR+940</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4,305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4,263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3,745</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(PIK 7.50%)</w:t>
            </w: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(19 )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12/17/2029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25,505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25,242</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25,097</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12/17/2029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1,477</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2,747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1,373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09/03/2030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2,681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SOFR+575</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2,178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2,178</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2,239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 - Funded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SOFR+575</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308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308</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1,454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11,970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11,882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11,970</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2,570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1,618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(437 )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(10)</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07/06/2028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37,548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35,977</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15,770</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 Revolver </w:t>
            </w:r>
            <w:r>
              <w:rPr>
                <w:rFonts w:ascii="Times New Roman" w:cs="Times New Roman" w:eastAsia="Times New Roman" w:hAnsi="Times New Roman"/>
                <w:sz w:val="12"/>
                <w:szCs w:val="12"/>
                <w:color w:val="auto"/>
                <w:vertAlign w:val="superscript"/>
              </w:rPr>
              <w:t>(10)</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07/06/2028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5,209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5,042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2,188</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Project Granite Buyer,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6,000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5,940</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Project Granite Buyer, Inc.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923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Project Granite Buyer, Inc. -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554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10.43 %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SOFR+610</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c>
          <w:tcPr>
            <w:tcW w:w="0" w:type="dxa"/>
            <w:vAlign w:val="bottom"/>
          </w:tcPr>
          <w:p>
            <w:pPr>
              <w:spacing w:after="0"/>
              <w:rPr>
                <w:sz w:val="1"/>
                <w:szCs w:val="1"/>
                <w:color w:val="auto"/>
              </w:rPr>
            </w:pPr>
          </w:p>
        </w:tc>
      </w:tr>
      <w:tr>
        <w:trPr>
          <w:trHeight w:val="124"/>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Quantic Electronics, LLC - Unfunded Revolver </w:t>
            </w:r>
            <w:r>
              <w:rPr>
                <w:rFonts w:ascii="Times New Roman" w:cs="Times New Roman" w:eastAsia="Times New Roman" w:hAnsi="Times New Roman"/>
                <w:sz w:val="12"/>
                <w:szCs w:val="12"/>
                <w:color w:val="auto"/>
                <w:vertAlign w:val="superscript"/>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247</w:t>
            </w: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8"/>
        </w:trPr>
        <w:tc>
          <w:tcPr>
            <w:tcW w:w="34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 -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03/31/2025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10.66 %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SOFR+615</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1,262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1,230</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Radius Aerospace,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03/31/2025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965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9.82 %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763</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3,524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 -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1,311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1,301</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06/20/2029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1,364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Recteq,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01/29/2026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1,127</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 - Revolver</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9.61 %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291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1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02/15/2025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5,394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10,181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819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814</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2,330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4,963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4,892</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4,876</w:t>
            </w:r>
          </w:p>
        </w:tc>
        <w:tc>
          <w:tcPr>
            <w:tcW w:w="0" w:type="dxa"/>
            <w:vAlign w:val="bottom"/>
          </w:tcPr>
          <w:p>
            <w:pPr>
              <w:spacing w:after="0"/>
              <w:rPr>
                <w:sz w:val="1"/>
                <w:szCs w:val="1"/>
                <w:color w:val="auto"/>
              </w:rPr>
            </w:pPr>
          </w:p>
        </w:tc>
      </w:tr>
      <w:tr>
        <w:trPr>
          <w:trHeight w:val="204"/>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5,422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7"/>
                <w:szCs w:val="17"/>
                <w:color w:val="auto"/>
              </w:rPr>
            </w:pPr>
          </w:p>
        </w:tc>
        <w:tc>
          <w:tcPr>
            <w:tcW w:w="720" w:type="dxa"/>
            <w:vAlign w:val="bottom"/>
            <w:shd w:val="clear" w:color="auto" w:fill="CCECFF"/>
          </w:tcPr>
          <w:p>
            <w:pPr>
              <w:jc w:val="right"/>
              <w:ind w:right="12"/>
              <w:spacing w:after="0" w:line="204" w:lineRule="exact"/>
              <w:rPr>
                <w:sz w:val="20"/>
                <w:szCs w:val="20"/>
                <w:color w:val="auto"/>
              </w:rPr>
            </w:pPr>
            <w:r>
              <w:rPr>
                <w:rFonts w:ascii="Times New Roman" w:cs="Times New Roman" w:eastAsia="Times New Roman" w:hAnsi="Times New Roman"/>
                <w:sz w:val="10"/>
                <w:szCs w:val="10"/>
                <w:color w:val="auto"/>
              </w:rPr>
              <w:t xml:space="preserve">(95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06/27/2026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1,146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 Funded Revolver</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774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01/16/2025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1,845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4"/>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Sabel Systems Technology Solutions, LLC</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Government Services</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10.84 %</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3M SOFR+625</w:t>
            </w: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12,000</w:t>
            </w: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11,881</w:t>
            </w:r>
          </w:p>
        </w:tc>
        <w:tc>
          <w:tcPr>
            <w:tcW w:w="160" w:type="dxa"/>
            <w:vAlign w:val="bottom"/>
          </w:tcPr>
          <w:p>
            <w:pPr>
              <w:spacing w:after="0"/>
              <w:rPr>
                <w:sz w:val="10"/>
                <w:szCs w:val="10"/>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11,880</w:t>
            </w:r>
          </w:p>
        </w:tc>
        <w:tc>
          <w:tcPr>
            <w:tcW w:w="0" w:type="dxa"/>
            <w:vAlign w:val="bottom"/>
          </w:tcPr>
          <w:p>
            <w:pPr>
              <w:spacing w:after="0"/>
              <w:rPr>
                <w:sz w:val="1"/>
                <w:szCs w:val="1"/>
                <w:color w:val="auto"/>
              </w:rPr>
            </w:pPr>
          </w:p>
        </w:tc>
      </w:tr>
      <w:tr>
        <w:trPr>
          <w:trHeight w:val="44"/>
        </w:trPr>
        <w:tc>
          <w:tcPr>
            <w:tcW w:w="34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9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Sabel Systems Technology Solutions, LLC -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Government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1,328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Safe Haven Defense US LLC - Term Loan</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9.36 %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8,951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8,824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8,951</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1,114</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01/03/2025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610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2"/>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12.96 %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SOFR+860</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4,943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4,929</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4,708</w:t>
            </w: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9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(PIK 5.85%)</w:t>
            </w: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 Revolver</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12.96 %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SOFR+860</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(PIK 5.85%)</w:t>
            </w: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3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0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Seacoast Service Partners,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9.35 %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4,957</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4,956</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Seacoast Service Partners, LLC - Unfunded Term Loan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5,421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Seacoast Service Partners, LLC -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06/13/2029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SOFR+615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4,692</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4,641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4,504</w:t>
            </w:r>
          </w:p>
        </w:tc>
      </w:tr>
      <w:tr>
        <w:trPr>
          <w:trHeight w:val="204"/>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Buyer, LLC - Revolver</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06/13/2028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shd w:val="clear" w:color="auto" w:fill="CCECFF"/>
          </w:tcPr>
          <w:p>
            <w:pPr>
              <w:jc w:val="right"/>
              <w:ind w:right="32"/>
              <w:spacing w:after="0" w:line="204" w:lineRule="exact"/>
              <w:rPr>
                <w:sz w:val="20"/>
                <w:szCs w:val="20"/>
                <w:color w:val="auto"/>
              </w:rPr>
            </w:pPr>
            <w:r>
              <w:rPr>
                <w:rFonts w:ascii="Times New Roman" w:cs="Times New Roman" w:eastAsia="Times New Roman" w:hAnsi="Times New Roman"/>
                <w:sz w:val="10"/>
                <w:szCs w:val="10"/>
                <w:color w:val="auto"/>
              </w:rPr>
              <w:t xml:space="preserve">12.65 </w:t>
            </w:r>
            <w:r>
              <w:rPr>
                <w:rFonts w:ascii="Times New Roman" w:cs="Times New Roman" w:eastAsia="Times New Roman" w:hAnsi="Times New Roman"/>
                <w:sz w:val="19"/>
                <w:szCs w:val="19"/>
                <w:color w:val="auto"/>
                <w:vertAlign w:val="subscript"/>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w:t>
            </w:r>
          </w:p>
        </w:tc>
        <w:tc>
          <w:tcPr>
            <w:tcW w:w="240" w:type="dxa"/>
            <w:vAlign w:val="bottom"/>
            <w:shd w:val="clear" w:color="auto" w:fill="CCECFF"/>
          </w:tcPr>
          <w:p>
            <w:pPr>
              <w:spacing w:after="0"/>
              <w:rPr>
                <w:sz w:val="17"/>
                <w:szCs w:val="17"/>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w:t>
            </w:r>
          </w:p>
        </w:tc>
        <w:tc>
          <w:tcPr>
            <w:tcW w:w="160" w:type="dxa"/>
            <w:vAlign w:val="bottom"/>
            <w:shd w:val="clear" w:color="auto" w:fill="CCECFF"/>
          </w:tcPr>
          <w:p>
            <w:pPr>
              <w:spacing w:after="0"/>
              <w:rPr>
                <w:sz w:val="17"/>
                <w:szCs w:val="17"/>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1,901</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Seaway Buyer, LLC - Unfunded Revolver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06/13/2028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(46 )</w:t>
            </w: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Shiftkey,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10.34 %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SOFR+601</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17,550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17,449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16,708</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12/17/2027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SOFR+690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15,715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15,416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15,636</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 Unfunded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12/17/2027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(18 )</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Smartronix, LLC - Unfunded Revolver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Solutionreach, Inc. - Funded Revolver</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13.75 %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833</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SOFR+515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1,035</w:t>
            </w:r>
          </w:p>
        </w:tc>
      </w:tr>
      <w:tr>
        <w:trPr>
          <w:trHeight w:val="148"/>
        </w:trPr>
        <w:tc>
          <w:tcPr>
            <w:tcW w:w="34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Spendmend Holdings LLC - Unfunded Term Loan 1 </w:t>
            </w:r>
            <w:r>
              <w:rPr>
                <w:rFonts w:ascii="Times New Roman" w:cs="Times New Roman" w:eastAsia="Times New Roman" w:hAnsi="Times New Roman"/>
                <w:sz w:val="12"/>
                <w:szCs w:val="12"/>
                <w:color w:val="auto"/>
                <w:vertAlign w:val="superscript"/>
              </w:rPr>
              <w:t>(7)</w:t>
            </w:r>
          </w:p>
        </w:tc>
        <w:tc>
          <w:tcPr>
            <w:tcW w:w="8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03/01/2025</w:t>
            </w:r>
          </w:p>
        </w:tc>
        <w:tc>
          <w:tcPr>
            <w:tcW w:w="18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Borders>
              <w:bottom w:val="single" w:sz="8" w:color="CCECFF"/>
            </w:tcBorders>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CCECFF"/>
            </w:tcBorders>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1,743</w:t>
            </w:r>
          </w:p>
        </w:tc>
        <w:tc>
          <w:tcPr>
            <w:tcW w:w="24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2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11/25/2026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1,401</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w w:val="97"/>
              </w:rPr>
              <w:t>STG Distribution, LLC (fka Reception Purchaser) - First Out New Money Term Loans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10/03/2029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SOFR+835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4,095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3,869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4,054</w:t>
            </w:r>
          </w:p>
        </w:tc>
      </w:tr>
      <w:tr>
        <w:trPr>
          <w:trHeight w:val="120"/>
        </w:trPr>
        <w:tc>
          <w:tcPr>
            <w:tcW w:w="3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(PIK 7.25%)</w:t>
            </w: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STG Distribution, LLC (fka Reception Purchaser) - Second Out Term Loans</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10/03/2029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11.93 %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SOFR+760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9,523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5,099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4,952</w:t>
            </w:r>
          </w:p>
        </w:tc>
      </w:tr>
      <w:tr>
        <w:trPr>
          <w:trHeight w:val="120"/>
        </w:trPr>
        <w:tc>
          <w:tcPr>
            <w:tcW w:w="34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9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(PIK 6.50%)</w:t>
            </w:r>
          </w:p>
        </w:tc>
        <w:tc>
          <w:tcPr>
            <w:tcW w:w="8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SV-Aero Holdings, LLC - Unfunded Term Loan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11/01/2026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3,562</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(18 )</w:t>
            </w: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9.28 %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Term Loan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7,068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4,716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8,798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TCG 3.0 Jogger Acquisitionco, Inc. - Funded Revolver</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1,552</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(16 )</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07/27/2026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08/30/2027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10.69 %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SOFR+635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181</w:t>
            </w:r>
          </w:p>
        </w:tc>
      </w:tr>
      <w:tr>
        <w:trPr>
          <w:trHeight w:val="18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The Vertex Companies, LLC - Unfunded Term Loan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11/04/2026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6,457</w:t>
            </w:r>
          </w:p>
        </w:tc>
        <w:tc>
          <w:tcPr>
            <w:tcW w:w="240" w:type="dxa"/>
            <w:vAlign w:val="bottom"/>
            <w:shd w:val="clear" w:color="auto" w:fill="CCECFF"/>
          </w:tcPr>
          <w:p>
            <w:pPr>
              <w:spacing w:after="0"/>
              <w:rPr>
                <w:sz w:val="15"/>
                <w:szCs w:val="15"/>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5"/>
                <w:szCs w:val="15"/>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(42 )</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 Unfunded Revolver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08/30/2027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3,969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(56 )</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TransGo, LLC -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06/16/2025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10.80 %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SOFR+640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06/16/2025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06/15/2027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9.83 %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1,492</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1,491</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A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US Fertility Enterprises, LLC - Unfunded Term Loan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10/07/2026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VRS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11/22/2030</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9.26 %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VRS Buyer, Inc. - Unfunded Term Loan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11/22/2026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VRS Buyer, Inc. -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11/22/2030</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2,380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r>
      <w:tr>
        <w:trPr>
          <w:trHeight w:val="120"/>
        </w:trPr>
        <w:tc>
          <w:tcPr>
            <w:tcW w:w="3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Zips Car Wash,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01/16/2025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SOFR+740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2,371</w:t>
            </w:r>
          </w:p>
        </w:tc>
      </w:tr>
      <w:tr>
        <w:trPr>
          <w:trHeight w:val="120"/>
        </w:trPr>
        <w:tc>
          <w:tcPr>
            <w:tcW w:w="3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(PIK 12.46%)</w:t>
            </w: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4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499,520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470,615</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 - 10.1% of Net Assets</w:t>
            </w: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07/28/2030</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13.53 %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SOFR+910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7,706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ENC Parent Corporation - Second Lien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08/19/2029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12.09 %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SOFR+776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6,375</w:t>
            </w: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07/06/2026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SOFR+835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32,315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32,256</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13.47 %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SOFR+926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3,377</w:t>
            </w: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84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50,888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50,008</w:t>
            </w:r>
          </w:p>
        </w:tc>
      </w:tr>
      <w:tr>
        <w:trPr>
          <w:trHeight w:val="120"/>
        </w:trPr>
        <w:tc>
          <w:tcPr>
            <w:tcW w:w="3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Subordinate Debt/Corporate Notes - 10.3% of Net Assets</w:t>
            </w: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06/21/2030</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15.00 %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3,309</w:t>
            </w: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425450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80" w:top="1312" w:right="78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0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21"/>
        </w:trPr>
        <w:tc>
          <w:tcPr>
            <w:tcW w:w="33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w:t>
            </w:r>
          </w:p>
        </w:tc>
        <w:tc>
          <w:tcPr>
            <w:tcW w:w="8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01/15/2029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16.37 %</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SOFR+1226</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24,284</w:t>
            </w: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23,736</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23,701</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Northwinds Topco,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10/30/2029</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15.00 %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7,396</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7,322</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15.00%)</w:t>
            </w: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Northwinds Topco, Inc. - Unfunded Term Loan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10/30/2029</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(70 )</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03/08/2028</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18.00 %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03/08/2028</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Aggregator, LP - Convertible Note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05/08/2030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12.00 %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307</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01/08/2026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12.33 %</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12.00 %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630</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08/15/2027</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United Land Services Intermediate Parent Holdings,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12/23/2026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14.25 %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16,015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15,747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15,694</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14.25%)</w:t>
            </w: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w w:val="98"/>
              </w:rPr>
              <w:t xml:space="preserve">United Land Services Intermediate Parent Holdings, LLC - Unfunded Term Loan </w:t>
            </w:r>
            <w:r>
              <w:rPr>
                <w:rFonts w:ascii="Times New Roman" w:cs="Times New Roman" w:eastAsia="Times New Roman" w:hAnsi="Times New Roman"/>
                <w:sz w:val="12"/>
                <w:szCs w:val="12"/>
                <w:color w:val="auto"/>
                <w:w w:val="98"/>
                <w:vertAlign w:val="superscript"/>
              </w:rPr>
              <w:t>(7)</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07/12/2025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50,948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50,903</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- 3.4% of Net Assets </w:t>
            </w:r>
            <w:r>
              <w:rPr>
                <w:rFonts w:ascii="Times New Roman" w:cs="Times New Roman" w:eastAsia="Times New Roman" w:hAnsi="Times New Roman"/>
                <w:sz w:val="12"/>
                <w:szCs w:val="12"/>
                <w:b w:val="1"/>
                <w:bCs w:val="1"/>
                <w:color w:val="auto"/>
                <w:vertAlign w:val="superscript"/>
              </w:rPr>
              <w:t>(6)</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Accounting Platform Blocker, Inc. - Preferred Equity</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356,200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360</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18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AFC Acquisitions, Inc. Preferred Equity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507</w:t>
            </w:r>
          </w:p>
        </w:tc>
        <w:tc>
          <w:tcPr>
            <w:tcW w:w="24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780</w:t>
            </w:r>
          </w:p>
        </w:tc>
        <w:tc>
          <w:tcPr>
            <w:tcW w:w="16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950</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6.00 %</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711</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 Preferred (f/k/a MeritDirect Holdings, LP)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1,186</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Holdings, LP (Preferred)</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1,128</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3,562,500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6,740</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Parent, LLC (Preferred)</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7,967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Preferred Equity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104,000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272,771</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485</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 Class A Preferred Equity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116,588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187</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Imagine Topco, LP Preferred</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8.00 %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904</w:t>
            </w:r>
          </w:p>
        </w:tc>
        <w:tc>
          <w:tcPr>
            <w:tcW w:w="0" w:type="dxa"/>
            <w:vAlign w:val="bottom"/>
          </w:tcPr>
          <w:p>
            <w:pPr>
              <w:spacing w:after="0"/>
              <w:rPr>
                <w:sz w:val="1"/>
                <w:szCs w:val="1"/>
                <w:color w:val="auto"/>
              </w:rPr>
            </w:pPr>
          </w:p>
        </w:tc>
      </w:tr>
      <w:tr>
        <w:trPr>
          <w:trHeight w:val="124"/>
        </w:trPr>
        <w:tc>
          <w:tcPr>
            <w:tcW w:w="334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spacing w:after="0"/>
              <w:rPr>
                <w:sz w:val="10"/>
                <w:szCs w:val="10"/>
                <w:color w:val="auto"/>
              </w:rPr>
            </w:pPr>
          </w:p>
        </w:tc>
        <w:tc>
          <w:tcPr>
            <w:tcW w:w="19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c>
          <w:tcPr>
            <w:tcW w:w="240" w:type="dxa"/>
            <w:vAlign w:val="bottom"/>
            <w:shd w:val="clear" w:color="auto" w:fill="CCECFF"/>
          </w:tcPr>
          <w:p>
            <w:pPr>
              <w:spacing w:after="0"/>
              <w:rPr>
                <w:sz w:val="10"/>
                <w:szCs w:val="10"/>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c>
          <w:tcPr>
            <w:tcW w:w="160" w:type="dxa"/>
            <w:vAlign w:val="bottom"/>
            <w:shd w:val="clear" w:color="auto" w:fill="CCECFF"/>
          </w:tcPr>
          <w:p>
            <w:pPr>
              <w:spacing w:after="0"/>
              <w:rPr>
                <w:sz w:val="10"/>
                <w:szCs w:val="10"/>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1,068</w:t>
            </w:r>
          </w:p>
        </w:tc>
        <w:tc>
          <w:tcPr>
            <w:tcW w:w="0" w:type="dxa"/>
            <w:vAlign w:val="bottom"/>
          </w:tcPr>
          <w:p>
            <w:pPr>
              <w:spacing w:after="0"/>
              <w:rPr>
                <w:sz w:val="1"/>
                <w:szCs w:val="1"/>
                <w:color w:val="auto"/>
              </w:rPr>
            </w:pPr>
          </w:p>
        </w:tc>
      </w:tr>
      <w:tr>
        <w:trPr>
          <w:trHeight w:val="104"/>
        </w:trPr>
        <w:tc>
          <w:tcPr>
            <w:tcW w:w="3340" w:type="dxa"/>
            <w:vAlign w:val="bottom"/>
            <w:vMerge w:val="continue"/>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1900" w:type="dxa"/>
            <w:vAlign w:val="bottom"/>
            <w:vMerge w:val="continue"/>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800" w:type="dxa"/>
            <w:vAlign w:val="bottom"/>
            <w:vMerge w:val="continue"/>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580" w:type="dxa"/>
            <w:vAlign w:val="bottom"/>
            <w:vMerge w:val="continue"/>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0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 Partners, LLC - Preferred A</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Holdco, Inc.</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10,624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SP L2 Holdings LLC (Preferred)</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331,229</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 L2 Holdings LLC (Preferred) - Unfunded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189,274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TPC Holding Company, LP</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346</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TWD Parent Holdings, LLC Preferred</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Equity/Parnership Interests</w:t>
            </w:r>
          </w:p>
        </w:tc>
        <w:tc>
          <w:tcPr>
            <w:tcW w:w="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13,694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16,661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Equity/Partnership Interests/Warrants - 26.9% of Net Assets </w:t>
            </w:r>
            <w:r>
              <w:rPr>
                <w:rFonts w:ascii="Times New Roman" w:cs="Times New Roman" w:eastAsia="Times New Roman" w:hAnsi="Times New Roman"/>
                <w:sz w:val="12"/>
                <w:szCs w:val="12"/>
                <w:b w:val="1"/>
                <w:bCs w:val="1"/>
                <w:color w:val="auto"/>
                <w:vertAlign w:val="superscript"/>
              </w:rPr>
              <w:t>(6)</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2,193,038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3,195</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773,800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966</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2,667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InvestCo, LP - Common Equity</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10,684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2,104</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11,940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2,313</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805,164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 Unfunded </w:t>
            </w:r>
            <w:r>
              <w:rPr>
                <w:rFonts w:ascii="Times New Roman" w:cs="Times New Roman" w:eastAsia="Times New Roman" w:hAnsi="Times New Roman"/>
                <w:sz w:val="12"/>
                <w:szCs w:val="12"/>
                <w:color w:val="auto"/>
                <w:vertAlign w:val="superscript"/>
              </w:rPr>
              <w:t>(7), (9)</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194,836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(134 )</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125,000</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AMCSI Crash Co-Invest, LP</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24,898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3,630</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AMCSI Crash Co-Invest, LP - Unfunded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5,102</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 Common (f/k/a MeritDirect Holdings, LP)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9,357</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6,737</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1,700,000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Azureon, LLC (Common)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508,238</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Holdings, LP</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799</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1,680,300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1,647</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Carisk Parent, L.P. - Common Equity</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204,455</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Parent, LLC</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57,416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w:t>
            </w:r>
          </w:p>
        </w:tc>
        <w:tc>
          <w:tcPr>
            <w:tcW w:w="0" w:type="dxa"/>
            <w:vAlign w:val="bottom"/>
          </w:tcPr>
          <w:p>
            <w:pPr>
              <w:spacing w:after="0"/>
              <w:rPr>
                <w:sz w:val="1"/>
                <w:szCs w:val="1"/>
                <w:color w:val="auto"/>
              </w:rPr>
            </w:pPr>
          </w:p>
        </w:tc>
      </w:tr>
      <w:tr>
        <w:trPr>
          <w:trHeight w:val="120"/>
        </w:trPr>
        <w:tc>
          <w:tcPr>
            <w:tcW w:w="33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782,891</w:t>
            </w:r>
          </w:p>
        </w:tc>
        <w:tc>
          <w:tcPr>
            <w:tcW w:w="24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743</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634</w:t>
            </w:r>
          </w:p>
        </w:tc>
        <w:tc>
          <w:tcPr>
            <w:tcW w:w="0" w:type="dxa"/>
            <w:vAlign w:val="bottom"/>
          </w:tcPr>
          <w:p>
            <w:pPr>
              <w:spacing w:after="0"/>
              <w:rPr>
                <w:sz w:val="1"/>
                <w:szCs w:val="1"/>
                <w:color w:val="auto"/>
              </w:rPr>
            </w:pPr>
          </w:p>
        </w:tc>
      </w:tr>
      <w:tr>
        <w:trPr>
          <w:trHeight w:val="120"/>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Cowboy Parent LLC</w:t>
            </w:r>
          </w:p>
        </w:tc>
        <w:tc>
          <w:tcPr>
            <w:tcW w:w="680" w:type="dxa"/>
            <w:vAlign w:val="bottom"/>
            <w:shd w:val="clear" w:color="auto" w:fill="CCECFF"/>
          </w:tcPr>
          <w:p>
            <w:pPr>
              <w:spacing w:after="0"/>
              <w:rPr>
                <w:sz w:val="10"/>
                <w:szCs w:val="10"/>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27,778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3,015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5,665</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425450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20"/>
          </w:cols>
          <w:pgMar w:left="940" w:top="1312" w:right="9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60" w:type="dxa"/>
            <w:vAlign w:val="bottom"/>
          </w:tcPr>
          <w:p>
            <w:pPr>
              <w:spacing w:after="0"/>
              <w:rPr>
                <w:sz w:val="10"/>
                <w:szCs w:val="10"/>
                <w:color w:val="auto"/>
              </w:rPr>
            </w:pPr>
          </w:p>
        </w:tc>
        <w:tc>
          <w:tcPr>
            <w:tcW w:w="86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2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Common Equity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754,200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633</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913,649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1,544</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(7), (9)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227,395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Acquisition, LLC (Common)</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(11)</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2,475</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937,500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1,308</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Events Buyer, LLC (Common)</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201,100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1,458,333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1,738</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15,255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1,782</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 Unfunded </w:t>
            </w:r>
            <w:r>
              <w:rPr>
                <w:rFonts w:ascii="Times New Roman" w:cs="Times New Roman" w:eastAsia="Times New Roman" w:hAnsi="Times New Roman"/>
                <w:sz w:val="12"/>
                <w:szCs w:val="12"/>
                <w:color w:val="auto"/>
                <w:vertAlign w:val="superscript"/>
              </w:rPr>
              <w:t>(7), (9)</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21,817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2,657</w:t>
            </w:r>
          </w:p>
        </w:tc>
        <w:tc>
          <w:tcPr>
            <w:tcW w:w="0" w:type="dxa"/>
            <w:vAlign w:val="bottom"/>
          </w:tcPr>
          <w:p>
            <w:pPr>
              <w:spacing w:after="0"/>
              <w:rPr>
                <w:sz w:val="1"/>
                <w:szCs w:val="1"/>
                <w:color w:val="auto"/>
              </w:rPr>
            </w:pPr>
          </w:p>
        </w:tc>
      </w:tr>
      <w:tr>
        <w:trPr>
          <w:trHeight w:val="121"/>
        </w:trPr>
        <w:tc>
          <w:tcPr>
            <w:tcW w:w="328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655,714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546</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374,444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1,101,293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2,863</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543,562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554</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582</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GCP Boss Holdco, LLC (Common)</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Conglomerate Manufacturing</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1,045,100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1,045</w:t>
            </w: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(Common)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Durable Consumer Products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1,222,700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1,227</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GMP Hills, LP - Common Equity</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3,747,470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3,710</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750,399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1,131,398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1,107</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 Unfunded </w:t>
            </w:r>
            <w:r>
              <w:rPr>
                <w:rFonts w:ascii="Times New Roman" w:cs="Times New Roman" w:eastAsia="Times New Roman" w:hAnsi="Times New Roman"/>
                <w:sz w:val="12"/>
                <w:szCs w:val="12"/>
                <w:color w:val="auto"/>
                <w:vertAlign w:val="superscript"/>
              </w:rPr>
              <w:t>(7)</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368,602</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36"/>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960" w:type="dxa"/>
            <w:vAlign w:val="bottom"/>
            <w:tcBorders>
              <w:bottom w:val="single" w:sz="8" w:color="CCECFF"/>
            </w:tcBorders>
            <w:shd w:val="clear" w:color="auto" w:fill="CCECFF"/>
          </w:tcPr>
          <w:p>
            <w:pPr>
              <w:spacing w:after="0"/>
              <w:rPr>
                <w:sz w:val="11"/>
                <w:szCs w:val="11"/>
                <w:color w:val="auto"/>
              </w:rPr>
            </w:pPr>
          </w:p>
        </w:tc>
        <w:tc>
          <w:tcPr>
            <w:tcW w:w="21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bottom w:val="single" w:sz="8" w:color="CCECFF"/>
            </w:tcBorders>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1,218,045</w:t>
            </w:r>
          </w:p>
        </w:tc>
        <w:tc>
          <w:tcPr>
            <w:tcW w:w="2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16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1,937</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Other Media</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181,495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3,016</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Ironclad Holdco, LLC (Applied Technical Services, LLC)</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4,993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776</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162,445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1,673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3,394</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1,308,814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1,316</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382,353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385</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781</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273,143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851,087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1,217</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335,590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4,453</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1,545,460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1,017,840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Acquisition, LLC (Common)</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1,464,000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1,464</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30,993</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3,385</w:t>
            </w:r>
          </w:p>
        </w:tc>
        <w:tc>
          <w:tcPr>
            <w:tcW w:w="0" w:type="dxa"/>
            <w:vAlign w:val="bottom"/>
          </w:tcPr>
          <w:p>
            <w:pPr>
              <w:spacing w:after="0"/>
              <w:rPr>
                <w:sz w:val="1"/>
                <w:szCs w:val="1"/>
                <w:color w:val="auto"/>
              </w:rPr>
            </w:pPr>
          </w:p>
        </w:tc>
      </w:tr>
      <w:tr>
        <w:trPr>
          <w:trHeight w:val="124"/>
        </w:trPr>
        <w:tc>
          <w:tcPr>
            <w:tcW w:w="32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spacing w:after="0"/>
              <w:rPr>
                <w:sz w:val="10"/>
                <w:szCs w:val="10"/>
                <w:color w:val="auto"/>
              </w:rPr>
            </w:pPr>
          </w:p>
        </w:tc>
        <w:tc>
          <w:tcPr>
            <w:tcW w:w="21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vMerge w:val="restart"/>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815,385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c>
          <w:tcPr>
            <w:tcW w:w="160" w:type="dxa"/>
            <w:vAlign w:val="bottom"/>
            <w:shd w:val="clear" w:color="auto" w:fill="CCECFF"/>
          </w:tcPr>
          <w:p>
            <w:pPr>
              <w:spacing w:after="0"/>
              <w:rPr>
                <w:sz w:val="10"/>
                <w:szCs w:val="10"/>
                <w:color w:val="auto"/>
              </w:rPr>
            </w:pPr>
          </w:p>
        </w:tc>
        <w:tc>
          <w:tcPr>
            <w:tcW w:w="7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3280" w:type="dxa"/>
            <w:vAlign w:val="bottom"/>
            <w:vMerge w:val="continue"/>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2120" w:type="dxa"/>
            <w:vAlign w:val="bottom"/>
            <w:vMerge w:val="continue"/>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260" w:type="dxa"/>
            <w:vAlign w:val="bottom"/>
            <w:vMerge w:val="continue"/>
            <w:shd w:val="clear" w:color="auto" w:fill="CCECFF"/>
          </w:tcPr>
          <w:p>
            <w:pPr>
              <w:spacing w:after="0"/>
              <w:rPr>
                <w:sz w:val="8"/>
                <w:szCs w:val="8"/>
                <w:color w:val="auto"/>
              </w:rPr>
            </w:pPr>
          </w:p>
        </w:tc>
        <w:tc>
          <w:tcPr>
            <w:tcW w:w="860" w:type="dxa"/>
            <w:vAlign w:val="bottom"/>
            <w:vMerge w:val="continue"/>
            <w:shd w:val="clear" w:color="auto" w:fill="CCECFF"/>
          </w:tcPr>
          <w:p>
            <w:pPr>
              <w:spacing w:after="0"/>
              <w:rPr>
                <w:sz w:val="8"/>
                <w:szCs w:val="8"/>
                <w:color w:val="auto"/>
              </w:rPr>
            </w:pPr>
          </w:p>
        </w:tc>
        <w:tc>
          <w:tcPr>
            <w:tcW w:w="820" w:type="dxa"/>
            <w:vAlign w:val="bottom"/>
            <w:vMerge w:val="continue"/>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72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Common Equity A</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3,920,145</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7,174</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1,299</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1,429,480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1,994</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NFS - CFP Holdings LLC - Common Equity</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662,983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1,007</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351,553</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394</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Northwinds Services Group, LLC - Common Equity</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840,000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8,188</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(9)</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98,286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1,022</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OES Co-Invest, LP Class A Common Equity</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847</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1,071</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699,844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700</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 Unfunded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50,156</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1,126</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PAR Excellence Holdings, Inc. - Common Equity</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1,087</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1,468</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Parent, LP</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421,304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(11)</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8,115,794</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7,761</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1,918,047</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Project Granite Holdings, LLC (Common)</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369</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369</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369</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960" w:type="dxa"/>
            <w:vAlign w:val="bottom"/>
          </w:tcPr>
          <w:p>
            <w:pPr>
              <w:spacing w:after="0"/>
              <w:rPr>
                <w:sz w:val="10"/>
                <w:szCs w:val="1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2,958,706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3,970</w:t>
            </w: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(9)</w:t>
            </w:r>
          </w:p>
        </w:tc>
        <w:tc>
          <w:tcPr>
            <w:tcW w:w="960" w:type="dxa"/>
            <w:vAlign w:val="bottom"/>
            <w:shd w:val="clear" w:color="auto" w:fill="CCECFF"/>
          </w:tcPr>
          <w:p>
            <w:pPr>
              <w:spacing w:after="0"/>
              <w:rPr>
                <w:sz w:val="10"/>
                <w:szCs w:val="10"/>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tcPr>
          <w:p>
            <w:pPr>
              <w:jc w:val="right"/>
              <w:ind w:right="13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 Unfunded </w:t>
            </w:r>
            <w:r>
              <w:rPr>
                <w:rFonts w:ascii="Times New Roman" w:cs="Times New Roman" w:eastAsia="Times New Roman" w:hAnsi="Times New Roman"/>
                <w:sz w:val="12"/>
                <w:szCs w:val="12"/>
                <w:color w:val="auto"/>
                <w:vertAlign w:val="superscript"/>
              </w:rPr>
              <w:t>(7), (9)</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RFMG Parent, LP</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1,050,000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1,050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1,258</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Sabel InvestCo, LP (Common)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Government Services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31,972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830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830</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Sabel InvestCo, LP (Common) - Unfunded </w:t>
            </w:r>
            <w:r>
              <w:rPr>
                <w:rFonts w:ascii="Times New Roman" w:cs="Times New Roman" w:eastAsia="Times New Roman" w:hAnsi="Times New Roman"/>
                <w:sz w:val="12"/>
                <w:szCs w:val="12"/>
                <w:color w:val="auto"/>
                <w:vertAlign w:val="superscript"/>
              </w:rPr>
              <w:t>(7), (9)</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Government Services</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47,957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227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227</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36,585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366</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416</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Seacoast Service Partners, LLC (Common)</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280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2,981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2,981</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881,966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882</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36</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4,485</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StellPen Holdings, LLC</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153,846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154</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(9)</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218</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254,206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239</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Co-Invest, LP - Common Equity</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6,475</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1,252</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859</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Tinicum Space Coast Co-Invest, LLC (Common)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2,177</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2,134</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(9)</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545,119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250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739</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 Unfunded </w:t>
            </w:r>
            <w:r>
              <w:rPr>
                <w:rFonts w:ascii="Times New Roman" w:cs="Times New Roman" w:eastAsia="Times New Roman" w:hAnsi="Times New Roman"/>
                <w:sz w:val="12"/>
                <w:szCs w:val="12"/>
                <w:color w:val="auto"/>
                <w:vertAlign w:val="superscript"/>
              </w:rPr>
              <w:t>(7), (9)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350,325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11,527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608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United Land Services Holdings LLC - Common Equity</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184,049</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600</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593</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328</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760</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1,111,111</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1,111</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1,656</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12,419</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1,242</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1,369</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(9)</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208</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208</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3,754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3,791</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4,007</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 (9)</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246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(9)</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161,252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1,818</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116,543</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132,848</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US Government Securities - 25.2% of Net Assets</w:t>
            </w: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7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01/16/2025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4.20 %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125,000</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124,813</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124,794</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124,813</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124,794</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856,406</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845,829</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w w:val="97"/>
              </w:rPr>
              <w:t xml:space="preserve">Investments in Non-Controlled, Affiliated Portfolio Companies - 2.2% of Net Assets </w:t>
            </w:r>
            <w:r>
              <w:rPr>
                <w:rFonts w:ascii="Times New Roman" w:cs="Times New Roman" w:eastAsia="Times New Roman" w:hAnsi="Times New Roman"/>
                <w:sz w:val="12"/>
                <w:szCs w:val="12"/>
                <w:color w:val="auto"/>
                <w:w w:val="97"/>
                <w:vertAlign w:val="superscript"/>
              </w:rPr>
              <w:t>(1), (2)</w:t>
            </w: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- 0.3%</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(10)</w:t>
            </w:r>
          </w:p>
        </w:tc>
        <w:tc>
          <w:tcPr>
            <w:tcW w:w="7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11,702</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10,429</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(7), (10)</w:t>
            </w:r>
          </w:p>
        </w:tc>
        <w:tc>
          <w:tcPr>
            <w:tcW w:w="7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542</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(542 )</w:t>
            </w:r>
          </w:p>
        </w:tc>
        <w:tc>
          <w:tcPr>
            <w:tcW w:w="0" w:type="dxa"/>
            <w:vAlign w:val="bottom"/>
          </w:tcPr>
          <w:p>
            <w:pPr>
              <w:spacing w:after="0"/>
              <w:rPr>
                <w:sz w:val="1"/>
                <w:szCs w:val="1"/>
                <w:color w:val="auto"/>
              </w:rPr>
            </w:pPr>
          </w:p>
        </w:tc>
      </w:tr>
      <w:tr>
        <w:trPr>
          <w:trHeight w:val="158"/>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Junior Revolver </w:t>
            </w:r>
            <w:r>
              <w:rPr>
                <w:rFonts w:ascii="Times New Roman" w:cs="Times New Roman" w:eastAsia="Times New Roman" w:hAnsi="Times New Roman"/>
                <w:sz w:val="12"/>
                <w:szCs w:val="12"/>
                <w:color w:val="auto"/>
                <w:vertAlign w:val="superscript"/>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03/01/2029</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3,333</w:t>
            </w: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3,333</w:t>
            </w: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2,257</w:t>
            </w:r>
          </w:p>
        </w:tc>
        <w:tc>
          <w:tcPr>
            <w:tcW w:w="0" w:type="dxa"/>
            <w:vAlign w:val="bottom"/>
          </w:tcPr>
          <w:p>
            <w:pPr>
              <w:spacing w:after="0"/>
              <w:rPr>
                <w:sz w:val="1"/>
                <w:szCs w:val="1"/>
                <w:color w:val="auto"/>
              </w:rPr>
            </w:pPr>
          </w:p>
        </w:tc>
      </w:tr>
      <w:tr>
        <w:trPr>
          <w:trHeight w:val="46"/>
        </w:trPr>
        <w:tc>
          <w:tcPr>
            <w:tcW w:w="35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13,762</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1,715</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- 1.9% of Net Assets </w:t>
            </w:r>
            <w:r>
              <w:rPr>
                <w:rFonts w:ascii="Times New Roman" w:cs="Times New Roman" w:eastAsia="Times New Roman" w:hAnsi="Times New Roman"/>
                <w:sz w:val="12"/>
                <w:szCs w:val="12"/>
                <w:b w:val="1"/>
                <w:bCs w:val="1"/>
                <w:color w:val="auto"/>
                <w:vertAlign w:val="superscript"/>
              </w:rPr>
              <w:t>(6)</w:t>
            </w: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(Preferred)</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5,887,236</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32,791</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7,910</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918</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918</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1,407</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33,709</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9,317</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Equity/Partnership Interests/Warrants - 0.0% of Net Assets </w:t>
            </w:r>
            <w:r>
              <w:rPr>
                <w:rFonts w:ascii="Times New Roman" w:cs="Times New Roman" w:eastAsia="Times New Roman" w:hAnsi="Times New Roman"/>
                <w:sz w:val="12"/>
                <w:szCs w:val="12"/>
                <w:b w:val="1"/>
                <w:bCs w:val="1"/>
                <w:color w:val="auto"/>
                <w:vertAlign w:val="superscript"/>
              </w:rPr>
              <w:t>(6)</w:t>
            </w: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7,444,347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2,852</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w:t>
            </w:r>
          </w:p>
        </w:tc>
        <w:tc>
          <w:tcPr>
            <w:tcW w:w="76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72,917</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6,786</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9,638</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57,109</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11,032</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- 89.2% </w:t>
            </w:r>
            <w:r>
              <w:rPr>
                <w:rFonts w:ascii="Times New Roman" w:cs="Times New Roman" w:eastAsia="Times New Roman" w:hAnsi="Times New Roman"/>
                <w:sz w:val="12"/>
                <w:szCs w:val="12"/>
                <w:color w:val="auto"/>
                <w:vertAlign w:val="superscript"/>
              </w:rPr>
              <w:t>(1), (2)</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- 20.8% of Net Assets</w:t>
            </w: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(11)</w:t>
            </w:r>
          </w:p>
        </w:tc>
        <w:tc>
          <w:tcPr>
            <w:tcW w:w="76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03/15/2027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11.92 %</w:t>
            </w:r>
          </w:p>
        </w:tc>
        <w:tc>
          <w:tcPr>
            <w:tcW w:w="8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SOFR+700</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GBP 42,457</w:t>
            </w: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58,075</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53,173</w:t>
            </w:r>
          </w:p>
        </w:tc>
        <w:tc>
          <w:tcPr>
            <w:tcW w:w="0" w:type="dxa"/>
            <w:vAlign w:val="bottom"/>
          </w:tcPr>
          <w:p>
            <w:pPr>
              <w:spacing w:after="0"/>
              <w:rPr>
                <w:sz w:val="1"/>
                <w:szCs w:val="1"/>
                <w:color w:val="auto"/>
              </w:rPr>
            </w:pPr>
          </w:p>
        </w:tc>
      </w:tr>
      <w:tr>
        <w:trPr>
          <w:trHeight w:val="120"/>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JF Holdings Corp.</w:t>
            </w:r>
          </w:p>
        </w:tc>
        <w:tc>
          <w:tcPr>
            <w:tcW w:w="7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07/31/2026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10.38 %</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SOFR+605</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49,500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49,038</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49,500</w:t>
            </w:r>
          </w:p>
        </w:tc>
        <w:tc>
          <w:tcPr>
            <w:tcW w:w="0" w:type="dxa"/>
            <w:vAlign w:val="bottom"/>
          </w:tcPr>
          <w:p>
            <w:pPr>
              <w:spacing w:after="0"/>
              <w:rPr>
                <w:sz w:val="1"/>
                <w:szCs w:val="1"/>
                <w:color w:val="auto"/>
              </w:rPr>
            </w:pPr>
          </w:p>
        </w:tc>
      </w:tr>
      <w:tr>
        <w:trPr>
          <w:trHeight w:val="120"/>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76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107,113</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102,673</w:t>
            </w:r>
          </w:p>
        </w:tc>
        <w:tc>
          <w:tcPr>
            <w:tcW w:w="0" w:type="dxa"/>
            <w:vAlign w:val="bottom"/>
          </w:tcPr>
          <w:p>
            <w:pPr>
              <w:spacing w:after="0"/>
              <w:rPr>
                <w:sz w:val="1"/>
                <w:szCs w:val="1"/>
                <w:color w:val="auto"/>
              </w:rPr>
            </w:pPr>
          </w:p>
        </w:tc>
      </w:tr>
      <w:tr>
        <w:trPr>
          <w:trHeight w:val="126"/>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 - 31.4% of Net Assets</w:t>
            </w: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(Unaudited)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4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0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(3)</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(11)</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10/19/2027</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14.50 %</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23,031</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23,031</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23,031</w:t>
            </w:r>
          </w:p>
        </w:tc>
      </w:tr>
      <w:tr>
        <w:trPr>
          <w:trHeight w:val="120"/>
        </w:trPr>
        <w:tc>
          <w:tcPr>
            <w:tcW w:w="34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(PIK 14.50%)</w:t>
            </w: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(11)</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07/31/2027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12.59 %</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SOFR+800</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132,175</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132,175</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132,174</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155,206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155,205</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- 5.4% of Net Assets </w:t>
            </w:r>
            <w:r>
              <w:rPr>
                <w:rFonts w:ascii="Times New Roman" w:cs="Times New Roman" w:eastAsia="Times New Roman" w:hAnsi="Times New Roman"/>
                <w:sz w:val="12"/>
                <w:szCs w:val="12"/>
                <w:color w:val="auto"/>
                <w:vertAlign w:val="superscript"/>
              </w:rPr>
              <w:t>(6)</w:t>
            </w: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A Preferred Equity </w:t>
            </w:r>
            <w:r>
              <w:rPr>
                <w:rFonts w:ascii="Times New Roman" w:cs="Times New Roman" w:eastAsia="Times New Roman" w:hAnsi="Times New Roman"/>
                <w:sz w:val="12"/>
                <w:szCs w:val="12"/>
                <w:color w:val="auto"/>
                <w:vertAlign w:val="superscript"/>
              </w:rPr>
              <w:t>(11)</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2,047,727</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B Preferred Equity </w:t>
            </w:r>
            <w:r>
              <w:rPr>
                <w:rFonts w:ascii="Times New Roman" w:cs="Times New Roman" w:eastAsia="Times New Roman" w:hAnsi="Times New Roman"/>
                <w:sz w:val="12"/>
                <w:szCs w:val="12"/>
                <w:color w:val="auto"/>
                <w:vertAlign w:val="superscript"/>
              </w:rPr>
              <w:t>(11)</w:t>
            </w:r>
          </w:p>
        </w:tc>
        <w:tc>
          <w:tcPr>
            <w:tcW w:w="88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5,409,091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19,318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19,318</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26,631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26,631</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 - 31.7% of Net Assets </w:t>
            </w:r>
            <w:r>
              <w:rPr>
                <w:rFonts w:ascii="Times New Roman" w:cs="Times New Roman" w:eastAsia="Times New Roman" w:hAnsi="Times New Roman"/>
                <w:sz w:val="12"/>
                <w:szCs w:val="12"/>
                <w:b w:val="1"/>
                <w:bCs w:val="1"/>
                <w:color w:val="auto"/>
                <w:vertAlign w:val="superscript"/>
              </w:rPr>
              <w:t>(6)</w:t>
            </w: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 Common Equity </w:t>
            </w:r>
            <w:r>
              <w:rPr>
                <w:rFonts w:ascii="Times New Roman" w:cs="Times New Roman" w:eastAsia="Times New Roman" w:hAnsi="Times New Roman"/>
                <w:sz w:val="12"/>
                <w:szCs w:val="12"/>
                <w:color w:val="auto"/>
                <w:vertAlign w:val="superscript"/>
              </w:rPr>
              <w:t>(8), (11)</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3,870</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88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43,918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4,488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76,784</w:t>
            </w:r>
          </w:p>
        </w:tc>
      </w:tr>
      <w:tr>
        <w:trPr>
          <w:trHeight w:val="120"/>
        </w:trPr>
        <w:tc>
          <w:tcPr>
            <w:tcW w:w="34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 Common Equity </w:t>
            </w:r>
            <w:r>
              <w:rPr>
                <w:rFonts w:ascii="Times New Roman" w:cs="Times New Roman" w:eastAsia="Times New Roman" w:hAnsi="Times New Roman"/>
                <w:sz w:val="12"/>
                <w:szCs w:val="12"/>
                <w:color w:val="auto"/>
                <w:vertAlign w:val="superscript"/>
              </w:rPr>
              <w:t>(11)</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77,253,462</w:t>
            </w: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77,397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76,042</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82,017</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156,696</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370,967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441,205</w:t>
            </w:r>
          </w:p>
        </w:tc>
      </w:tr>
      <w:tr>
        <w:trPr>
          <w:trHeight w:val="120"/>
        </w:trPr>
        <w:tc>
          <w:tcPr>
            <w:tcW w:w="34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Total Investments - 262.6% of Net Assets </w:t>
            </w:r>
            <w:r>
              <w:rPr>
                <w:rFonts w:ascii="Times New Roman" w:cs="Times New Roman" w:eastAsia="Times New Roman" w:hAnsi="Times New Roman"/>
                <w:sz w:val="12"/>
                <w:szCs w:val="12"/>
                <w:color w:val="auto"/>
                <w:vertAlign w:val="superscript"/>
              </w:rPr>
              <w:t>(12)</w:t>
            </w: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1,284,482</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1,298,066</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- 11.3% of Net Assets</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4.43 %</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41,379</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41,379</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14,489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14,472</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55,868</w:t>
            </w:r>
          </w:p>
        </w:tc>
        <w:tc>
          <w:tcPr>
            <w:tcW w:w="16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55,851</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- 273.9%</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1,340,350</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1,353,917</w:t>
            </w:r>
          </w:p>
        </w:tc>
      </w:tr>
      <w:tr>
        <w:trPr>
          <w:trHeight w:val="120"/>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(173.9)%</w:t>
            </w: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(859,596 )</w:t>
            </w:r>
          </w:p>
        </w:tc>
      </w:tr>
      <w:tr>
        <w:trPr>
          <w:trHeight w:val="120"/>
        </w:trPr>
        <w:tc>
          <w:tcPr>
            <w:tcW w:w="3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 - 100%</w:t>
            </w:r>
          </w:p>
        </w:tc>
        <w:tc>
          <w:tcPr>
            <w:tcW w:w="88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494,321</w:t>
            </w:r>
          </w:p>
        </w:tc>
      </w:tr>
    </w:tbl>
    <w:p>
      <w:pPr>
        <w:spacing w:after="0" w:line="132"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1"/>
          <w:szCs w:val="11"/>
          <w:color w:val="auto"/>
        </w:rPr>
        <w:t>(4)Represents floating rate instruments that accrue interest at a predetermined spread relative to an index, typically the applicable Secured Overnight Financing Rate, or “SOFR”, or Prime rate, or “P, or Sterling Overnight Index Average, or“SONIA.” The spread may change based on the type of rate used. The terms in the Schedule of Investments disclose the actual interest rate in effect as of the reporting period. SOFR loans are typically indexed to a 30-day, 90-day or 180-daySOFR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(8)Non-U.S. company or principal place of business located in The Isle of Man.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(10)Non-accrual security</w:t>
      </w:r>
    </w:p>
    <w:p>
      <w:pPr>
        <w:spacing w:after="0" w:line="3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December 31, 2024, qualifying assets represent 77% of the Company’s total assets and non-qualifying assets represent 23% of the Company’s total assets.</w:t>
      </w:r>
    </w:p>
    <w:p>
      <w:pPr>
        <w:spacing w:after="0"/>
        <w:rPr>
          <w:sz w:val="20"/>
          <w:szCs w:val="20"/>
          <w:color w:val="auto"/>
        </w:rPr>
      </w:pPr>
      <w:r>
        <w:rPr>
          <w:rFonts w:ascii="Times New Roman" w:cs="Times New Roman" w:eastAsia="Times New Roman" w:hAnsi="Times New Roman"/>
          <w:sz w:val="11"/>
          <w:szCs w:val="11"/>
          <w:color w:val="auto"/>
        </w:rPr>
        <w:t>(12)All investments are in US Companies unless noted otherwise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80" w:type="dxa"/>
            <w:vAlign w:val="bottom"/>
            <w:vMerge w:val="restart"/>
          </w:tcPr>
          <w:p>
            <w:pPr>
              <w:jc w:val="center"/>
              <w:ind w:right="23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520" w:type="dxa"/>
            <w:vAlign w:val="bottom"/>
            <w:vMerge w:val="restart"/>
          </w:tcPr>
          <w:p>
            <w:pPr>
              <w:ind w:left="10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1"/>
                <w:szCs w:val="11"/>
                <w:color w:val="auto"/>
              </w:rPr>
            </w:pPr>
          </w:p>
        </w:tc>
        <w:tc>
          <w:tcPr>
            <w:tcW w:w="48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08"/>
        </w:trPr>
        <w:tc>
          <w:tcPr>
            <w:tcW w:w="3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Coupon</w:t>
            </w:r>
          </w:p>
        </w:tc>
        <w:tc>
          <w:tcPr>
            <w:tcW w:w="2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6"/>
                <w:szCs w:val="6"/>
                <w:b w:val="1"/>
                <w:bCs w:val="1"/>
                <w:color w:val="auto"/>
              </w:rPr>
              <w:t>(3)</w:t>
            </w:r>
          </w:p>
        </w:tc>
        <w:tc>
          <w:tcPr>
            <w:tcW w:w="0" w:type="dxa"/>
            <w:vAlign w:val="bottom"/>
          </w:tcPr>
          <w:p>
            <w:pPr>
              <w:spacing w:after="0"/>
              <w:rPr>
                <w:sz w:val="1"/>
                <w:szCs w:val="1"/>
                <w:color w:val="auto"/>
              </w:rPr>
            </w:pPr>
          </w:p>
        </w:tc>
      </w:tr>
      <w:tr>
        <w:trPr>
          <w:trHeight w:val="96"/>
        </w:trPr>
        <w:tc>
          <w:tcPr>
            <w:tcW w:w="316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color w:val="auto"/>
                <w:w w:val="99"/>
              </w:rPr>
              <w:t>Investments in Non-Controlled, Non-Affiliated Portfolio Companies - 184.3%</w:t>
            </w:r>
          </w:p>
        </w:tc>
        <w:tc>
          <w:tcPr>
            <w:tcW w:w="980" w:type="dxa"/>
            <w:vAlign w:val="bottom"/>
            <w:shd w:val="clear" w:color="auto" w:fill="CCECFF"/>
          </w:tcPr>
          <w:p>
            <w:pPr>
              <w:spacing w:after="0"/>
              <w:rPr>
                <w:sz w:val="8"/>
                <w:szCs w:val="8"/>
                <w:color w:val="auto"/>
              </w:rPr>
            </w:pPr>
          </w:p>
        </w:tc>
        <w:tc>
          <w:tcPr>
            <w:tcW w:w="252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4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color w:val="auto"/>
              </w:rPr>
              <w:t>(1), (2)</w:t>
            </w:r>
          </w:p>
        </w:tc>
        <w:tc>
          <w:tcPr>
            <w:tcW w:w="980" w:type="dxa"/>
            <w:vAlign w:val="bottom"/>
            <w:tcBorders>
              <w:bottom w:val="single" w:sz="8" w:color="CCECFF"/>
            </w:tcBorders>
            <w:shd w:val="clear" w:color="auto" w:fill="CCECFF"/>
          </w:tcPr>
          <w:p>
            <w:pPr>
              <w:spacing w:after="0"/>
              <w:rPr>
                <w:sz w:val="7"/>
                <w:szCs w:val="7"/>
                <w:color w:val="auto"/>
              </w:rPr>
            </w:pPr>
          </w:p>
        </w:tc>
        <w:tc>
          <w:tcPr>
            <w:tcW w:w="2520" w:type="dxa"/>
            <w:vAlign w:val="bottom"/>
            <w:tcBorders>
              <w:bottom w:val="single" w:sz="8" w:color="CCECFF"/>
            </w:tcBorders>
            <w:shd w:val="clear" w:color="auto" w:fill="CCECFF"/>
          </w:tcPr>
          <w:p>
            <w:pPr>
              <w:spacing w:after="0"/>
              <w:rPr>
                <w:sz w:val="7"/>
                <w:szCs w:val="7"/>
                <w:color w:val="auto"/>
              </w:rPr>
            </w:pPr>
          </w:p>
        </w:tc>
        <w:tc>
          <w:tcPr>
            <w:tcW w:w="780" w:type="dxa"/>
            <w:vAlign w:val="bottom"/>
            <w:tcBorders>
              <w:bottom w:val="single" w:sz="8" w:color="CCECFF"/>
            </w:tcBorders>
            <w:shd w:val="clear" w:color="auto" w:fill="CCECFF"/>
          </w:tcPr>
          <w:p>
            <w:pPr>
              <w:spacing w:after="0"/>
              <w:rPr>
                <w:sz w:val="7"/>
                <w:szCs w:val="7"/>
                <w:color w:val="auto"/>
              </w:rPr>
            </w:pPr>
          </w:p>
        </w:tc>
        <w:tc>
          <w:tcPr>
            <w:tcW w:w="220" w:type="dxa"/>
            <w:vAlign w:val="bottom"/>
            <w:tcBorders>
              <w:bottom w:val="single" w:sz="8" w:color="CCECFF"/>
            </w:tcBorders>
            <w:shd w:val="clear" w:color="auto" w:fill="CCECFF"/>
          </w:tcPr>
          <w:p>
            <w:pPr>
              <w:spacing w:after="0"/>
              <w:rPr>
                <w:sz w:val="7"/>
                <w:szCs w:val="7"/>
                <w:color w:val="auto"/>
              </w:rPr>
            </w:pPr>
          </w:p>
        </w:tc>
        <w:tc>
          <w:tcPr>
            <w:tcW w:w="800" w:type="dxa"/>
            <w:vAlign w:val="bottom"/>
            <w:tcBorders>
              <w:bottom w:val="single" w:sz="8" w:color="CCECFF"/>
            </w:tcBorders>
            <w:shd w:val="clear" w:color="auto" w:fill="CCECFF"/>
          </w:tcPr>
          <w:p>
            <w:pPr>
              <w:spacing w:after="0"/>
              <w:rPr>
                <w:sz w:val="7"/>
                <w:szCs w:val="7"/>
                <w:color w:val="auto"/>
              </w:rPr>
            </w:pPr>
          </w:p>
        </w:tc>
        <w:tc>
          <w:tcPr>
            <w:tcW w:w="700" w:type="dxa"/>
            <w:vAlign w:val="bottom"/>
            <w:tcBorders>
              <w:bottom w:val="single" w:sz="8" w:color="CCECFF"/>
            </w:tcBorders>
            <w:shd w:val="clear" w:color="auto" w:fill="CCECFF"/>
          </w:tcPr>
          <w:p>
            <w:pPr>
              <w:spacing w:after="0"/>
              <w:rPr>
                <w:sz w:val="7"/>
                <w:szCs w:val="7"/>
                <w:color w:val="auto"/>
              </w:rPr>
            </w:pPr>
          </w:p>
        </w:tc>
        <w:tc>
          <w:tcPr>
            <w:tcW w:w="200" w:type="dxa"/>
            <w:vAlign w:val="bottom"/>
            <w:tcBorders>
              <w:bottom w:val="single" w:sz="8" w:color="CCECFF"/>
            </w:tcBorders>
            <w:shd w:val="clear" w:color="auto" w:fill="CCECFF"/>
          </w:tcPr>
          <w:p>
            <w:pPr>
              <w:spacing w:after="0"/>
              <w:rPr>
                <w:sz w:val="7"/>
                <w:szCs w:val="7"/>
                <w:color w:val="auto"/>
              </w:rPr>
            </w:pPr>
          </w:p>
        </w:tc>
        <w:tc>
          <w:tcPr>
            <w:tcW w:w="480" w:type="dxa"/>
            <w:vAlign w:val="bottom"/>
            <w:tcBorders>
              <w:bottom w:val="single" w:sz="8" w:color="CCECFF"/>
            </w:tcBorders>
            <w:shd w:val="clear" w:color="auto" w:fill="CCECFF"/>
          </w:tcPr>
          <w:p>
            <w:pPr>
              <w:spacing w:after="0"/>
              <w:rPr>
                <w:sz w:val="7"/>
                <w:szCs w:val="7"/>
                <w:color w:val="auto"/>
              </w:rPr>
            </w:pPr>
          </w:p>
        </w:tc>
        <w:tc>
          <w:tcPr>
            <w:tcW w:w="240" w:type="dxa"/>
            <w:vAlign w:val="bottom"/>
            <w:tcBorders>
              <w:bottom w:val="single" w:sz="8" w:color="CCECFF"/>
            </w:tcBorders>
            <w:shd w:val="clear" w:color="auto" w:fill="CCECFF"/>
          </w:tcPr>
          <w:p>
            <w:pPr>
              <w:spacing w:after="0"/>
              <w:rPr>
                <w:sz w:val="7"/>
                <w:szCs w:val="7"/>
                <w:color w:val="auto"/>
              </w:rPr>
            </w:pPr>
          </w:p>
        </w:tc>
        <w:tc>
          <w:tcPr>
            <w:tcW w:w="480" w:type="dxa"/>
            <w:vAlign w:val="bottom"/>
            <w:tcBorders>
              <w:bottom w:val="single" w:sz="8" w:color="CCECFF"/>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- 112.9% of Net Assets</w:t>
            </w:r>
          </w:p>
        </w:tc>
        <w:tc>
          <w:tcPr>
            <w:tcW w:w="9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12/22/2028</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10.95%</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SOFR+610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5,345</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5,279</w:t>
            </w: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12/21/2024</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12/22/2028</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10/02/2029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0"/>
              </w:rPr>
              <w:t>10.52%</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04/02/2025</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1,799</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 - Funded Revolver</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10/02/2029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0"/>
              </w:rPr>
              <w:t>10.45%</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271</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10/02/2029</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(31 )</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Inc. -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08/01/2029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05/07/2026</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10.93%</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SOFR+626</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05/07/2026</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Adweek Purchaser, LLC</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05/30/2027</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11.60%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Adweek Purchaser, LLC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11/30/2025</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Aechelon Technology, Inc.</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08/16/2029</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12.60%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4,951</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08/16/2029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1,109</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12/12/2028</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2,489</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04/09/2027</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0"/>
              </w:rPr>
              <w:t>10.48%</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9,781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9,762</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04/09/2027</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(44 )</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Purchaser, Inc. - Third Out</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05/06/2028</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0"/>
              </w:rPr>
              <w:t>11.97%</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SOFR+700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7,499</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6,144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 - Fourth Out</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05/06/2028</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11.97%</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4,760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06/30/2026</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1,612</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12/29/2026</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10.50%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SOFR+590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07/17/2025</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Revolver</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12/29/2026</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13.25%</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SOFR+475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12/29/2026</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669</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08/04/2028</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3,521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08/28/2029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0"/>
              </w:rPr>
              <w:t>10.83%</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8,614</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8,526</w:t>
            </w:r>
          </w:p>
        </w:tc>
        <w:tc>
          <w:tcPr>
            <w:tcW w:w="0" w:type="dxa"/>
            <w:vAlign w:val="bottom"/>
          </w:tcPr>
          <w:p>
            <w:pPr>
              <w:spacing w:after="0"/>
              <w:rPr>
                <w:sz w:val="1"/>
                <w:szCs w:val="1"/>
                <w:color w:val="auto"/>
              </w:rPr>
            </w:pPr>
          </w:p>
        </w:tc>
      </w:tr>
      <w:tr>
        <w:trPr>
          <w:trHeight w:val="132"/>
        </w:trPr>
        <w:tc>
          <w:tcPr>
            <w:tcW w:w="316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Archer Lewis, LLC - Unfunded Term Loan A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08/28/2025</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5,324</w:t>
            </w:r>
          </w:p>
        </w:tc>
        <w:tc>
          <w:tcPr>
            <w:tcW w:w="200" w:type="dxa"/>
            <w:vAlign w:val="bottom"/>
            <w:shd w:val="clear" w:color="auto" w:fill="CCECFF"/>
          </w:tcPr>
          <w:p>
            <w:pPr>
              <w:spacing w:after="0"/>
              <w:rPr>
                <w:sz w:val="11"/>
                <w:szCs w:val="11"/>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(53 )</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08/28/2026</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(85 )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08/28/2029</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09/13/2029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0"/>
              </w:rPr>
              <w:t>10.85%</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14,851</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03/13/2025</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09/13/2029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06/21/2029</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2"/>
              </w:rPr>
              <w:t>9.85%</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2,396</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2,372</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12/21/2025</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06/21/2029</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05/02/2025</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0"/>
              </w:rPr>
              <w:t>13.00%</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4,042</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3,988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07/01/2029</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10.35%</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4,832</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02/07/2030</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 Revolver</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01/31/2028</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11.84%</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BioDerm, Inc. -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01/31/2028</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09/17/2026</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11.00%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6,279</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6,239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6,171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09/17/2026</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2,368</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 - Revolver</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09/17/2026</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11.04%</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09/17/2026</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(64 )</w:t>
            </w:r>
          </w:p>
        </w:tc>
        <w:tc>
          <w:tcPr>
            <w:tcW w:w="0" w:type="dxa"/>
            <w:vAlign w:val="bottom"/>
          </w:tcPr>
          <w:p>
            <w:pPr>
              <w:spacing w:after="0"/>
              <w:rPr>
                <w:sz w:val="1"/>
                <w:szCs w:val="1"/>
                <w:color w:val="auto"/>
              </w:rPr>
            </w:pPr>
          </w:p>
        </w:tc>
      </w:tr>
      <w:tr>
        <w:trPr>
          <w:trHeight w:val="124"/>
        </w:trPr>
        <w:tc>
          <w:tcPr>
            <w:tcW w:w="316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980" w:type="dxa"/>
            <w:vAlign w:val="bottom"/>
            <w:vMerge w:val="restart"/>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10/31/2025</w:t>
            </w:r>
          </w:p>
        </w:tc>
        <w:tc>
          <w:tcPr>
            <w:tcW w:w="25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vMerge w:val="restart"/>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10.44%</w:t>
            </w:r>
          </w:p>
        </w:tc>
        <w:tc>
          <w:tcPr>
            <w:tcW w:w="220" w:type="dxa"/>
            <w:vAlign w:val="bottom"/>
            <w:shd w:val="clear" w:color="auto" w:fill="CCECFF"/>
          </w:tcPr>
          <w:p>
            <w:pPr>
              <w:spacing w:after="0"/>
              <w:rPr>
                <w:sz w:val="10"/>
                <w:szCs w:val="10"/>
                <w:color w:val="auto"/>
              </w:rPr>
            </w:pPr>
          </w:p>
        </w:tc>
        <w:tc>
          <w:tcPr>
            <w:tcW w:w="8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SOFR+600</w:t>
            </w: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04"/>
        </w:trPr>
        <w:tc>
          <w:tcPr>
            <w:tcW w:w="3160" w:type="dxa"/>
            <w:vAlign w:val="bottom"/>
            <w:vMerge w:val="continue"/>
            <w:shd w:val="clear" w:color="auto" w:fill="CCECFF"/>
          </w:tcPr>
          <w:p>
            <w:pPr>
              <w:spacing w:after="0"/>
              <w:rPr>
                <w:sz w:val="9"/>
                <w:szCs w:val="9"/>
                <w:color w:val="auto"/>
              </w:rPr>
            </w:pPr>
          </w:p>
        </w:tc>
        <w:tc>
          <w:tcPr>
            <w:tcW w:w="980" w:type="dxa"/>
            <w:vAlign w:val="bottom"/>
            <w:vMerge w:val="continue"/>
            <w:shd w:val="clear" w:color="auto" w:fill="CCECFF"/>
          </w:tcPr>
          <w:p>
            <w:pPr>
              <w:spacing w:after="0"/>
              <w:rPr>
                <w:sz w:val="9"/>
                <w:szCs w:val="9"/>
                <w:color w:val="auto"/>
              </w:rPr>
            </w:pPr>
          </w:p>
        </w:tc>
        <w:tc>
          <w:tcPr>
            <w:tcW w:w="2520" w:type="dxa"/>
            <w:vAlign w:val="bottom"/>
            <w:vMerge w:val="continue"/>
            <w:shd w:val="clear" w:color="auto" w:fill="CCECFF"/>
          </w:tcPr>
          <w:p>
            <w:pPr>
              <w:spacing w:after="0"/>
              <w:rPr>
                <w:sz w:val="9"/>
                <w:szCs w:val="9"/>
                <w:color w:val="auto"/>
              </w:rPr>
            </w:pPr>
          </w:p>
        </w:tc>
        <w:tc>
          <w:tcPr>
            <w:tcW w:w="780" w:type="dxa"/>
            <w:vAlign w:val="bottom"/>
            <w:vMerge w:val="continue"/>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0" w:type="dxa"/>
            <w:vAlign w:val="bottom"/>
            <w:vMerge w:val="continue"/>
            <w:shd w:val="clear" w:color="auto" w:fill="CCECFF"/>
          </w:tcPr>
          <w:p>
            <w:pPr>
              <w:spacing w:after="0"/>
              <w:rPr>
                <w:sz w:val="9"/>
                <w:szCs w:val="9"/>
                <w:color w:val="auto"/>
              </w:rPr>
            </w:pPr>
          </w:p>
        </w:tc>
        <w:tc>
          <w:tcPr>
            <w:tcW w:w="700" w:type="dxa"/>
            <w:vAlign w:val="bottom"/>
            <w:vMerge w:val="continue"/>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12/04/2025</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0"/>
              </w:rPr>
              <w:t>10.97%</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SOFR+611</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9,524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9,524</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9,524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12/01/2029</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Revolver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12/01/2029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02/07/2030</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shd w:val="clear" w:color="auto" w:fill="CCECFF"/>
          </w:tcPr>
          <w:p>
            <w:pPr>
              <w:jc w:val="center"/>
              <w:ind w:left="372"/>
              <w:spacing w:after="0"/>
              <w:rPr>
                <w:sz w:val="20"/>
                <w:szCs w:val="20"/>
                <w:color w:val="auto"/>
              </w:rPr>
            </w:pPr>
            <w:r>
              <w:rPr>
                <w:rFonts w:ascii="Times New Roman" w:cs="Times New Roman" w:eastAsia="Times New Roman" w:hAnsi="Times New Roman"/>
                <w:sz w:val="10"/>
                <w:szCs w:val="10"/>
                <w:color w:val="auto"/>
                <w:w w:val="90"/>
              </w:rPr>
              <w:t>10.35%</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12,935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12,745</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12,741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02/07/2026</w:t>
            </w:r>
          </w:p>
        </w:tc>
        <w:tc>
          <w:tcPr>
            <w:tcW w:w="2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10,017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(50 )</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02/07/2030</w:t>
            </w: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3,339</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80" w:type="dxa"/>
            <w:vAlign w:val="bottom"/>
            <w:vMerge w:val="restart"/>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08"/>
        </w:trPr>
        <w:tc>
          <w:tcPr>
            <w:tcW w:w="28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960" w:type="dxa"/>
            <w:vAlign w:val="bottom"/>
            <w:vMerge w:val="continue"/>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Coupon</w:t>
            </w:r>
          </w:p>
        </w:tc>
        <w:tc>
          <w:tcPr>
            <w:tcW w:w="2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6"/>
                <w:szCs w:val="6"/>
                <w:b w:val="1"/>
                <w:bCs w:val="1"/>
                <w:color w:val="auto"/>
              </w:rPr>
              <w:t>(3)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06/14/2028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10.35%</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28,737</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   28,334</w:t>
            </w: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28,736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06/14/2028</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10.35%</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 Unfunded Revolver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06/14/2028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2,297</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08/20/2026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11.05%</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SOFR+619</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6,525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6,475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CF512, Inc. - Revolver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08/20/2026</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909</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02/09/2026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10.31%</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SOFR+555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933</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 - Revolver</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02/07/2025</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10.80%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SOFR+555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328</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 Unfunded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02/07/2025</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11/30/2028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12.35%</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1,970</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 - Funded Revolver</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07/13/2027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10.58%</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 Revolver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07/13/2027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1,451</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08/16/2027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9.40%</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SOFR+586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1,777</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1,751</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 Revolver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08/16/2027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C5MI Acquisition, LLC</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07/31/2030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10.60%</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14,778</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C5MI Acquisition, LLC - Funded Revolver</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07/31/2030</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10.60%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276</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Acquisition, LLC - Unfunded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07/31/2030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3,858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(77 )</w:t>
            </w:r>
          </w:p>
        </w:tc>
        <w:tc>
          <w:tcPr>
            <w:tcW w:w="0" w:type="dxa"/>
            <w:vAlign w:val="bottom"/>
          </w:tcPr>
          <w:p>
            <w:pPr>
              <w:spacing w:after="0"/>
              <w:rPr>
                <w:sz w:val="1"/>
                <w:szCs w:val="1"/>
                <w:color w:val="auto"/>
              </w:rPr>
            </w:pPr>
          </w:p>
        </w:tc>
      </w:tr>
      <w:tr>
        <w:trPr>
          <w:trHeight w:val="160"/>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080" w:type="dxa"/>
            <w:vAlign w:val="bottom"/>
            <w:tcBorders>
              <w:bottom w:val="single" w:sz="8" w:color="CCECFF"/>
            </w:tcBorders>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08/31/2027</w:t>
            </w:r>
          </w:p>
        </w:tc>
        <w:tc>
          <w:tcPr>
            <w:tcW w:w="29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and Non-Durable Consumer Products</w:t>
            </w:r>
          </w:p>
        </w:tc>
        <w:tc>
          <w:tcPr>
            <w:tcW w:w="560" w:type="dxa"/>
            <w:vAlign w:val="bottom"/>
            <w:tcBorders>
              <w:bottom w:val="single" w:sz="8" w:color="CCECFF"/>
            </w:tcBorders>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9.95%</w:t>
            </w:r>
          </w:p>
        </w:tc>
        <w:tc>
          <w:tcPr>
            <w:tcW w:w="22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SOFR+535</w:t>
            </w:r>
          </w:p>
        </w:tc>
        <w:tc>
          <w:tcPr>
            <w:tcW w:w="7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68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8,058</w:t>
            </w:r>
          </w:p>
        </w:tc>
        <w:tc>
          <w:tcPr>
            <w:tcW w:w="240" w:type="dxa"/>
            <w:vAlign w:val="bottom"/>
            <w:tcBorders>
              <w:bottom w:val="single" w:sz="8" w:color="CCECFF"/>
            </w:tcBorders>
            <w:shd w:val="clear" w:color="auto" w:fill="CCECFF"/>
          </w:tcPr>
          <w:p>
            <w:pPr>
              <w:spacing w:after="0"/>
              <w:rPr>
                <w:sz w:val="13"/>
                <w:szCs w:val="13"/>
                <w:color w:val="auto"/>
              </w:rPr>
            </w:pPr>
          </w:p>
        </w:tc>
        <w:tc>
          <w:tcPr>
            <w:tcW w:w="4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 Unfunded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08/31/2027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2,326</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11/03/2025</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11.20%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11/03/2025</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1,783</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Acquisition, LLC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09/30/2030</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9.60%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7,000</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6,930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6,930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09/30/2026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2,042</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09/30/2030</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2,561</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07/15/2028</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10.88%</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12/22/2028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10.35%</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12,261</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12,106</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12,077</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12/22/2028</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ENC Parent Corporation</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08/20/2029</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9.12%</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SOFR+451</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3,391</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2,995</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05/25/2029</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11.10%</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0" w:type="dxa"/>
            <w:vAlign w:val="bottom"/>
          </w:tcPr>
          <w:p>
            <w:pPr>
              <w:spacing w:after="0"/>
              <w:rPr>
                <w:sz w:val="1"/>
                <w:szCs w:val="1"/>
                <w:color w:val="auto"/>
              </w:rPr>
            </w:pPr>
          </w:p>
        </w:tc>
      </w:tr>
      <w:tr>
        <w:trPr>
          <w:trHeight w:val="124"/>
        </w:trPr>
        <w:tc>
          <w:tcPr>
            <w:tcW w:w="28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 Revolver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05/25/2029</w:t>
            </w:r>
          </w:p>
        </w:tc>
        <w:tc>
          <w:tcPr>
            <w:tcW w:w="29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60" w:type="dxa"/>
            <w:vAlign w:val="bottom"/>
            <w:shd w:val="clear" w:color="auto" w:fill="CCECFF"/>
          </w:tcPr>
          <w:p>
            <w:pPr>
              <w:spacing w:after="0"/>
              <w:rPr>
                <w:sz w:val="10"/>
                <w:szCs w:val="10"/>
                <w:color w:val="auto"/>
              </w:rPr>
            </w:pPr>
          </w:p>
        </w:tc>
        <w:tc>
          <w:tcPr>
            <w:tcW w:w="2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6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8"/>
        </w:trPr>
        <w:tc>
          <w:tcPr>
            <w:tcW w:w="2840" w:type="dxa"/>
            <w:vAlign w:val="bottom"/>
            <w:vMerge w:val="continue"/>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2960" w:type="dxa"/>
            <w:vAlign w:val="bottom"/>
            <w:vMerge w:val="continue"/>
            <w:shd w:val="clear" w:color="auto" w:fill="CCECFF"/>
          </w:tcPr>
          <w:p>
            <w:pPr>
              <w:spacing w:after="0"/>
              <w:rPr>
                <w:sz w:val="5"/>
                <w:szCs w:val="5"/>
                <w:color w:val="auto"/>
              </w:rPr>
            </w:pPr>
          </w:p>
        </w:tc>
        <w:tc>
          <w:tcPr>
            <w:tcW w:w="560" w:type="dxa"/>
            <w:vAlign w:val="bottom"/>
            <w:shd w:val="clear" w:color="auto" w:fill="CCECFF"/>
          </w:tcPr>
          <w:p>
            <w:pPr>
              <w:spacing w:after="0"/>
              <w:rPr>
                <w:sz w:val="5"/>
                <w:szCs w:val="5"/>
                <w:color w:val="auto"/>
              </w:rPr>
            </w:pPr>
          </w:p>
        </w:tc>
        <w:tc>
          <w:tcPr>
            <w:tcW w:w="220" w:type="dxa"/>
            <w:vAlign w:val="bottom"/>
            <w:vMerge w:val="continue"/>
            <w:shd w:val="clear" w:color="auto" w:fill="CCECFF"/>
          </w:tcPr>
          <w:p>
            <w:pPr>
              <w:spacing w:after="0"/>
              <w:rPr>
                <w:sz w:val="5"/>
                <w:szCs w:val="5"/>
                <w:color w:val="auto"/>
              </w:rPr>
            </w:pPr>
          </w:p>
        </w:tc>
        <w:tc>
          <w:tcPr>
            <w:tcW w:w="800" w:type="dxa"/>
            <w:vAlign w:val="bottom"/>
            <w:vMerge w:val="continue"/>
            <w:shd w:val="clear" w:color="auto" w:fill="CCECFF"/>
          </w:tcPr>
          <w:p>
            <w:pPr>
              <w:spacing w:after="0"/>
              <w:rPr>
                <w:sz w:val="5"/>
                <w:szCs w:val="5"/>
                <w:color w:val="auto"/>
              </w:rPr>
            </w:pPr>
          </w:p>
        </w:tc>
        <w:tc>
          <w:tcPr>
            <w:tcW w:w="700" w:type="dxa"/>
            <w:vAlign w:val="bottom"/>
            <w:shd w:val="clear" w:color="auto" w:fill="CCECFF"/>
          </w:tcPr>
          <w:p>
            <w:pPr>
              <w:spacing w:after="0"/>
              <w:rPr>
                <w:sz w:val="5"/>
                <w:szCs w:val="5"/>
                <w:color w:val="auto"/>
              </w:rPr>
            </w:pPr>
          </w:p>
        </w:tc>
        <w:tc>
          <w:tcPr>
            <w:tcW w:w="680" w:type="dxa"/>
            <w:vAlign w:val="bottom"/>
            <w:vMerge w:val="continue"/>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48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Intermediate, LLC -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05/10/2030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822</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03/15/2027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11.20%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24,128</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23,911</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24,007</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03/15/2027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1,856</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02/23/2028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12.21%</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SOFR+715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02/23/2028</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05/19/2029</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12.56%</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 Housewares and Durable Consumer</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GGG MIDCO, LLC</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09/27/2030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9.64%</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8,440</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8,440</w:t>
            </w: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 Housewares and Durable Consumer</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03/27/2026</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13,728</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 Housewares and Durable Consumer</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09/27/2030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08/10/2027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10.20%</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SOFR+560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1,132</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08/10/2027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831</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 - Funded Revolver</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08/10/2027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0"/>
              </w:rPr>
              <w:t>10.62%</w:t>
            </w: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SOFR+560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384</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Revolver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08/10/2027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06/30/2025</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6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2"/>
              </w:rPr>
              <w:t>9.45%</w:t>
            </w: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SOFR+460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4,712</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4,382</w:t>
            </w: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4,285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12/31/2026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0"/>
              </w:rPr>
              <w:t>10.45%</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1M SOFR+560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 Revolver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12/31/2026</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Harris &amp; Co. LLC</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08/09/2030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2"/>
              </w:rPr>
              <w:t>9.85%</w:t>
            </w:r>
          </w:p>
        </w:tc>
        <w:tc>
          <w:tcPr>
            <w:tcW w:w="22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5,593</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5,545</w:t>
            </w:r>
          </w:p>
        </w:tc>
        <w:tc>
          <w:tcPr>
            <w:tcW w:w="24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A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02/09/2025</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13,051</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(114 )</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(8)</w:t>
            </w: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02/09/2026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16,654</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(146 )</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(8)</w:t>
            </w:r>
          </w:p>
        </w:tc>
        <w:tc>
          <w:tcPr>
            <w:tcW w:w="10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08/09/2030</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2,451</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96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6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8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20" w:type="dxa"/>
            <w:vAlign w:val="bottom"/>
          </w:tcPr>
          <w:p>
            <w:pPr>
              <w:jc w:val="right"/>
              <w:ind w:right="3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11/07/2025</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9,144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12/17/2026</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11.73%</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1M SOFR+640</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279</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278</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256</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9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(PIK 4.00%)</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12/17/2026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11.73%</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1M SOFR+640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1,213</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1,213</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1,112</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9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(PIK 4.00%)</w:t>
            </w:r>
          </w:p>
        </w:tc>
        <w:tc>
          <w:tcPr>
            <w:tcW w:w="8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12/17/2026</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37</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05/10/2026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11.20%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SOFR+590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11,124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11,112</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11,124</w:t>
            </w:r>
          </w:p>
        </w:tc>
        <w:tc>
          <w:tcPr>
            <w:tcW w:w="0" w:type="dxa"/>
            <w:vAlign w:val="bottom"/>
          </w:tcPr>
          <w:p>
            <w:pPr>
              <w:spacing w:after="0"/>
              <w:rPr>
                <w:sz w:val="1"/>
                <w:szCs w:val="1"/>
                <w:color w:val="auto"/>
              </w:rPr>
            </w:pPr>
          </w:p>
        </w:tc>
      </w:tr>
      <w:tr>
        <w:trPr>
          <w:trHeight w:val="158"/>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 Revolver </w:t>
            </w:r>
            <w:r>
              <w:rPr>
                <w:rFonts w:ascii="Times New Roman" w:cs="Times New Roman" w:eastAsia="Times New Roman" w:hAnsi="Times New Roman"/>
                <w:sz w:val="12"/>
                <w:szCs w:val="12"/>
                <w:color w:val="auto"/>
                <w:vertAlign w:val="superscript"/>
              </w:rPr>
              <w:t>(8)</w:t>
            </w:r>
          </w:p>
        </w:tc>
        <w:tc>
          <w:tcPr>
            <w:tcW w:w="96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auto"/>
                <w:w w:val="96"/>
              </w:rPr>
              <w:t>05/10/2026</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vMerge w:val="restart"/>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3,387</w:t>
            </w: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6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 Holdings LLC</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09/22/2028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SOFR+610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105</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09/22/2027</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722</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11/15/2027</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1,685</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12/28/2028</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11.39%</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3M SOFR+685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2,458</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2,429</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2,458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12/28/2028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10.35%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SOFR+600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2,562</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1,846</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1,897</w:t>
            </w:r>
          </w:p>
        </w:tc>
        <w:tc>
          <w:tcPr>
            <w:tcW w:w="0" w:type="dxa"/>
            <w:vAlign w:val="bottom"/>
          </w:tcPr>
          <w:p>
            <w:pPr>
              <w:spacing w:after="0"/>
              <w:rPr>
                <w:sz w:val="1"/>
                <w:szCs w:val="1"/>
                <w:color w:val="auto"/>
              </w:rPr>
            </w:pPr>
          </w:p>
        </w:tc>
      </w:tr>
      <w:tr>
        <w:trPr>
          <w:trHeight w:val="96"/>
        </w:trPr>
        <w:tc>
          <w:tcPr>
            <w:tcW w:w="306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color w:val="auto"/>
                <w:w w:val="98"/>
              </w:rPr>
              <w:t>Infinity Home Services Holdco, Inc. - 1st Amendment Unfunded Term Loan</w:t>
            </w:r>
          </w:p>
        </w:tc>
        <w:tc>
          <w:tcPr>
            <w:tcW w:w="96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auto"/>
                <w:w w:val="96"/>
              </w:rPr>
              <w:t>11/17/2025</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vMerge w:val="restart"/>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6,573</w:t>
            </w: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82</w:t>
            </w:r>
          </w:p>
        </w:tc>
        <w:tc>
          <w:tcPr>
            <w:tcW w:w="0" w:type="dxa"/>
            <w:vAlign w:val="bottom"/>
          </w:tcPr>
          <w:p>
            <w:pPr>
              <w:spacing w:after="0"/>
              <w:rPr>
                <w:sz w:val="1"/>
                <w:szCs w:val="1"/>
                <w:color w:val="auto"/>
              </w:rPr>
            </w:pPr>
          </w:p>
        </w:tc>
      </w:tr>
      <w:tr>
        <w:trPr>
          <w:trHeight w:val="77"/>
        </w:trPr>
        <w:tc>
          <w:tcPr>
            <w:tcW w:w="3060" w:type="dxa"/>
            <w:vAlign w:val="bottom"/>
          </w:tcPr>
          <w:p>
            <w:pPr>
              <w:ind w:left="20"/>
              <w:spacing w:after="0"/>
              <w:rPr>
                <w:sz w:val="20"/>
                <w:szCs w:val="20"/>
                <w:color w:val="auto"/>
              </w:rPr>
            </w:pPr>
            <w:r>
              <w:rPr>
                <w:rFonts w:ascii="Times New Roman" w:cs="Times New Roman" w:eastAsia="Times New Roman" w:hAnsi="Times New Roman"/>
                <w:sz w:val="6"/>
                <w:szCs w:val="6"/>
                <w:color w:val="auto"/>
              </w:rPr>
              <w:t>(8)</w:t>
            </w:r>
          </w:p>
        </w:tc>
        <w:tc>
          <w:tcPr>
            <w:tcW w:w="960" w:type="dxa"/>
            <w:vAlign w:val="bottom"/>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30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266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Funded Revolver</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12/28/2028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13.75%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SOFR+575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194</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12/28/2028</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1,098</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11/01/2026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10.10%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SOFR+550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1,281</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1,272</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06/30/2025</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1,729</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03/03/2028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10.58%</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SOFR+565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8,748</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8,647</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8,748</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 - Revolver</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03/03/2028</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12.50%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3M SOFR+450</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1,121</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1,121</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1,121</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ITI Holdings, Inc. - Unfunded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03/03/2028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370</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11/10/2027</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10.75%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3M SOFR+615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3,099</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3,023</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3,099</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11/10/2026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4,854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02/18/2027</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12.94%</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1M SOFR+785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2,902</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2,871</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2,873</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9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(PIK 5.10%)</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 - Revolver</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08/16/2026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13.18%</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1M SOFR+785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2,685</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2,685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2,658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9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3"/>
              </w:rPr>
              <w:t>(PIK 5.10%)</w:t>
            </w:r>
          </w:p>
        </w:tc>
        <w:tc>
          <w:tcPr>
            <w:tcW w:w="8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Lash OpCo, LLC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08/16/2026</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317</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10/31/2025</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11.50%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1M SOFR+643</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2,032</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2,032</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1,996</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11/09/2026</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12.24%</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3M SOFR+765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8,999</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8,911</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8,549</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9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3"/>
              </w:rPr>
              <w:t>(PIK 1.00%)</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 - Revolver</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11/09/2026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12.25%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SOFR+765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644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644</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612</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Ledge Lounger, Inc.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11/09/2026</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966</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02/03/2026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1,166</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01/31/2030</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10.10%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1M SOFR+525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1,459</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1,459</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10/01/2024</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2,419</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58"/>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LJ Avalon Holdings, LLC - Revolver </w:t>
            </w:r>
            <w:r>
              <w:rPr>
                <w:rFonts w:ascii="Times New Roman" w:cs="Times New Roman" w:eastAsia="Times New Roman" w:hAnsi="Times New Roman"/>
                <w:sz w:val="12"/>
                <w:szCs w:val="12"/>
                <w:color w:val="auto"/>
                <w:vertAlign w:val="superscript"/>
              </w:rPr>
              <w:t>(8)</w:t>
            </w:r>
          </w:p>
        </w:tc>
        <w:tc>
          <w:tcPr>
            <w:tcW w:w="96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auto"/>
                <w:w w:val="96"/>
              </w:rPr>
              <w:t>01/31/2030</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vMerge w:val="restart"/>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587</w:t>
            </w: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70"/>
        </w:trPr>
        <w:tc>
          <w:tcPr>
            <w:tcW w:w="30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05/31/2028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11.10%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SOFR+650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9,784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9,633</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9,637</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 Revolver</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05/31/2028</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11.60%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3M SOFR+700</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332</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332</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05/31/2028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664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07/12/2025</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4,376</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 Funded Revolver</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04/16/2027</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10.95%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SOFR+585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83</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83</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04/16/2027</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611</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07/25/2028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6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10.71%</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3M SOFR+575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19,931</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19,679</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19,736</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 - Revolver</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07/25/2028</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11.19%</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3M SOFR+575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1,529</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1,529</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1,514</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MDI Buyer, Inc. - Unfunded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07/25/2028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698</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12/10/2027</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10.50%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3M SOFR+590</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1,923</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1,908</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1,874</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Unfunded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12/10/2027</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1,685</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10/20/2028</w:t>
            </w:r>
          </w:p>
        </w:tc>
        <w:tc>
          <w:tcPr>
            <w:tcW w:w="2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10.85%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3M SOFR+625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4,887</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4,813</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4,887</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10/20/2028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2,774</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425450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2"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20" w:type="dxa"/>
            <w:vAlign w:val="bottom"/>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2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03/01/2030</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10.11%</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w:t>
            </w:r>
          </w:p>
        </w:tc>
        <w:tc>
          <w:tcPr>
            <w:tcW w:w="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Unfunded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03/01/2030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Mineola 212, LLC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06/24/2025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13.00%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3,489</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3,479</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01/16/2030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10.35%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7,450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7,348</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7,338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01/16/2026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01/16/2030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3,675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09/28/2027</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2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2"/>
              </w:rPr>
              <w:t>9.77%</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SOFR+515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2,792</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2,792</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B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12/16/2024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6"/>
        </w:trPr>
        <w:tc>
          <w:tcPr>
            <w:tcW w:w="306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color w:val="auto"/>
                <w:w w:val="97"/>
              </w:rPr>
              <w:t>Municipal Emergency Services, Inc. - Unfunded Term Loan 3rd Amendment</w:t>
            </w:r>
          </w:p>
        </w:tc>
        <w:tc>
          <w:tcPr>
            <w:tcW w:w="1120" w:type="dxa"/>
            <w:vAlign w:val="bottom"/>
            <w:vMerge w:val="restart"/>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09/28/2027</w:t>
            </w:r>
          </w:p>
        </w:tc>
        <w:tc>
          <w:tcPr>
            <w:tcW w:w="23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20" w:type="dxa"/>
            <w:vAlign w:val="bottom"/>
            <w:vMerge w:val="restart"/>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200" w:type="dxa"/>
            <w:vAlign w:val="bottom"/>
            <w:shd w:val="clear" w:color="auto" w:fill="CCECFF"/>
          </w:tcPr>
          <w:p>
            <w:pPr>
              <w:spacing w:after="0"/>
              <w:rPr>
                <w:sz w:val="8"/>
                <w:szCs w:val="8"/>
                <w:color w:val="auto"/>
              </w:rPr>
            </w:pPr>
          </w:p>
        </w:tc>
        <w:tc>
          <w:tcPr>
            <w:tcW w:w="4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8"/>
                <w:szCs w:val="8"/>
                <w:color w:val="auto"/>
              </w:rPr>
            </w:pPr>
          </w:p>
        </w:tc>
        <w:tc>
          <w:tcPr>
            <w:tcW w:w="46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88"/>
        </w:trPr>
        <w:tc>
          <w:tcPr>
            <w:tcW w:w="3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color w:val="auto"/>
              </w:rPr>
              <w:t>(8)</w:t>
            </w:r>
          </w:p>
        </w:tc>
        <w:tc>
          <w:tcPr>
            <w:tcW w:w="1120" w:type="dxa"/>
            <w:vAlign w:val="bottom"/>
            <w:tcBorders>
              <w:bottom w:val="single" w:sz="8" w:color="CCECFF"/>
            </w:tcBorders>
            <w:vMerge w:val="continue"/>
            <w:shd w:val="clear" w:color="auto" w:fill="CCECFF"/>
          </w:tcPr>
          <w:p>
            <w:pPr>
              <w:spacing w:after="0"/>
              <w:rPr>
                <w:sz w:val="7"/>
                <w:szCs w:val="7"/>
                <w:color w:val="auto"/>
              </w:rPr>
            </w:pPr>
          </w:p>
        </w:tc>
        <w:tc>
          <w:tcPr>
            <w:tcW w:w="2340" w:type="dxa"/>
            <w:vAlign w:val="bottom"/>
            <w:tcBorders>
              <w:bottom w:val="single" w:sz="8" w:color="CCECFF"/>
            </w:tcBorders>
            <w:vMerge w:val="continue"/>
            <w:shd w:val="clear" w:color="auto" w:fill="CCECFF"/>
          </w:tcPr>
          <w:p>
            <w:pPr>
              <w:spacing w:after="0"/>
              <w:rPr>
                <w:sz w:val="7"/>
                <w:szCs w:val="7"/>
                <w:color w:val="auto"/>
              </w:rPr>
            </w:pPr>
          </w:p>
        </w:tc>
        <w:tc>
          <w:tcPr>
            <w:tcW w:w="1120" w:type="dxa"/>
            <w:vAlign w:val="bottom"/>
            <w:tcBorders>
              <w:bottom w:val="single" w:sz="8" w:color="CCECFF"/>
            </w:tcBorders>
            <w:vMerge w:val="continue"/>
            <w:shd w:val="clear" w:color="auto" w:fill="CCECFF"/>
          </w:tcPr>
          <w:p>
            <w:pPr>
              <w:spacing w:after="0"/>
              <w:rPr>
                <w:sz w:val="7"/>
                <w:szCs w:val="7"/>
                <w:color w:val="auto"/>
              </w:rPr>
            </w:pPr>
          </w:p>
        </w:tc>
        <w:tc>
          <w:tcPr>
            <w:tcW w:w="820" w:type="dxa"/>
            <w:vAlign w:val="bottom"/>
            <w:tcBorders>
              <w:bottom w:val="single" w:sz="8" w:color="CCECFF"/>
            </w:tcBorders>
            <w:vMerge w:val="continue"/>
            <w:shd w:val="clear" w:color="auto" w:fill="CCECFF"/>
          </w:tcPr>
          <w:p>
            <w:pPr>
              <w:spacing w:after="0"/>
              <w:rPr>
                <w:sz w:val="7"/>
                <w:szCs w:val="7"/>
                <w:color w:val="auto"/>
              </w:rPr>
            </w:pPr>
          </w:p>
        </w:tc>
        <w:tc>
          <w:tcPr>
            <w:tcW w:w="700" w:type="dxa"/>
            <w:vAlign w:val="bottom"/>
            <w:tcBorders>
              <w:bottom w:val="single" w:sz="8" w:color="CCECFF"/>
            </w:tcBorders>
            <w:vMerge w:val="continue"/>
            <w:shd w:val="clear" w:color="auto" w:fill="CCECFF"/>
          </w:tcPr>
          <w:p>
            <w:pPr>
              <w:spacing w:after="0"/>
              <w:rPr>
                <w:sz w:val="7"/>
                <w:szCs w:val="7"/>
                <w:color w:val="auto"/>
              </w:rPr>
            </w:pPr>
          </w:p>
        </w:tc>
        <w:tc>
          <w:tcPr>
            <w:tcW w:w="200" w:type="dxa"/>
            <w:vAlign w:val="bottom"/>
            <w:tcBorders>
              <w:bottom w:val="single" w:sz="8" w:color="CCECFF"/>
            </w:tcBorders>
            <w:shd w:val="clear" w:color="auto" w:fill="CCECFF"/>
          </w:tcPr>
          <w:p>
            <w:pPr>
              <w:spacing w:after="0"/>
              <w:rPr>
                <w:sz w:val="7"/>
                <w:szCs w:val="7"/>
                <w:color w:val="auto"/>
              </w:rPr>
            </w:pPr>
          </w:p>
        </w:tc>
        <w:tc>
          <w:tcPr>
            <w:tcW w:w="480" w:type="dxa"/>
            <w:vAlign w:val="bottom"/>
            <w:tcBorders>
              <w:bottom w:val="single" w:sz="8" w:color="CCECFF"/>
            </w:tcBorders>
            <w:vMerge w:val="continue"/>
            <w:shd w:val="clear" w:color="auto" w:fill="CCECFF"/>
          </w:tcPr>
          <w:p>
            <w:pPr>
              <w:spacing w:after="0"/>
              <w:rPr>
                <w:sz w:val="7"/>
                <w:szCs w:val="7"/>
                <w:color w:val="auto"/>
              </w:rPr>
            </w:pPr>
          </w:p>
        </w:tc>
        <w:tc>
          <w:tcPr>
            <w:tcW w:w="260" w:type="dxa"/>
            <w:vAlign w:val="bottom"/>
            <w:tcBorders>
              <w:bottom w:val="single" w:sz="8" w:color="CCECFF"/>
            </w:tcBorders>
            <w:shd w:val="clear" w:color="auto" w:fill="CCECFF"/>
          </w:tcPr>
          <w:p>
            <w:pPr>
              <w:spacing w:after="0"/>
              <w:rPr>
                <w:sz w:val="7"/>
                <w:szCs w:val="7"/>
                <w:color w:val="auto"/>
              </w:rPr>
            </w:pPr>
          </w:p>
        </w:tc>
        <w:tc>
          <w:tcPr>
            <w:tcW w:w="46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09/28/2027</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NBH Group LLC -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08/19/2026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09/13/2030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2"/>
              </w:rPr>
              <w:t>9.56%</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SOFR+475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17,866</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17,865</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Term Loan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09/13/2026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09/13/2030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08/31/2029</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10.95%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5,348</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5,445</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08/31/2029</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2,707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NP Riverhead Industrial, LLC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05/24/2025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14.50%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4,984</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4,975</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12/29/2029</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10.10%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4,840</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4,814</w:t>
            </w:r>
          </w:p>
        </w:tc>
        <w:tc>
          <w:tcPr>
            <w:tcW w:w="0" w:type="dxa"/>
            <w:vAlign w:val="bottom"/>
          </w:tcPr>
          <w:p>
            <w:pPr>
              <w:spacing w:after="0"/>
              <w:rPr>
                <w:sz w:val="1"/>
                <w:szCs w:val="1"/>
                <w:color w:val="auto"/>
              </w:rPr>
            </w:pPr>
          </w:p>
        </w:tc>
      </w:tr>
      <w:tr>
        <w:trPr>
          <w:trHeight w:val="204"/>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 Unfunded Term Loan 1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12/30/2024</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3,499</w:t>
            </w:r>
          </w:p>
        </w:tc>
        <w:tc>
          <w:tcPr>
            <w:tcW w:w="200" w:type="dxa"/>
            <w:vAlign w:val="bottom"/>
            <w:shd w:val="clear" w:color="auto" w:fill="CCECFF"/>
          </w:tcPr>
          <w:p>
            <w:pPr>
              <w:spacing w:after="0"/>
              <w:rPr>
                <w:sz w:val="17"/>
                <w:szCs w:val="17"/>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7"/>
                <w:szCs w:val="17"/>
                <w:color w:val="auto"/>
              </w:rPr>
            </w:pPr>
          </w:p>
        </w:tc>
        <w:tc>
          <w:tcPr>
            <w:tcW w:w="460" w:type="dxa"/>
            <w:vAlign w:val="bottom"/>
            <w:shd w:val="clear" w:color="auto" w:fill="CCECFF"/>
          </w:tcPr>
          <w:p>
            <w:pPr>
              <w:jc w:val="right"/>
              <w:spacing w:after="0" w:line="204" w:lineRule="exact"/>
              <w:rPr>
                <w:sz w:val="20"/>
                <w:szCs w:val="20"/>
                <w:color w:val="auto"/>
              </w:rPr>
            </w:pPr>
            <w:r>
              <w:rPr>
                <w:rFonts w:ascii="Times New Roman" w:cs="Times New Roman" w:eastAsia="Times New Roman" w:hAnsi="Times New Roman"/>
                <w:sz w:val="10"/>
                <w:szCs w:val="10"/>
                <w:color w:val="auto"/>
              </w:rPr>
              <w:t xml:space="preserve">(22 </w:t>
            </w:r>
            <w:r>
              <w:rPr>
                <w:rFonts w:ascii="Times New Roman" w:cs="Times New Roman" w:eastAsia="Times New Roman" w:hAnsi="Times New Roman"/>
                <w:sz w:val="19"/>
                <w:szCs w:val="19"/>
                <w:color w:val="auto"/>
                <w:vertAlign w:val="superscript"/>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2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09/30/2026</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5,598</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12/29/2029</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(31 )</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09/03/2027</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14.00%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SOFR+940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4,198</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3,608</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3"/>
              </w:rPr>
              <w:t>(PIK 7.50%)</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09/03/2027</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12/15/2029</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10.70%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SOFR+610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6,451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6,345</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6,264</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12/15/2029</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05/18/2026</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11.12%</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SOFR+651</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8,460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8,403</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8,460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Ox Two, LLC -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05/18/2026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2,419</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09/30/2028</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2,747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09/30/2028</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09/03/2030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2"/>
              </w:rPr>
              <w:t>9.77%</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SOFR+475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9,901</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9,900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09/03/2030</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2,681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03/01/2030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10.81%</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467</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03/01/2026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3,955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 - Funded Revolver</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03/01/2030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10.81%</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308</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03/01/2030</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08/28/2030</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2"/>
              </w:rPr>
              <w:t>9.85%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11,912</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11,820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08/28/2030</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11/09/2027</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3,236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(647 )</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(7)</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07/06/2028</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12.09%</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SOFR+750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37,241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36,054</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22,810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9"/>
              </w:rPr>
              <w:t>(PIK 12.09%)</w:t>
            </w: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Pragmatic Institute, LLC - Revolver </w:t>
            </w:r>
            <w:r>
              <w:rPr>
                <w:rFonts w:ascii="Times New Roman" w:cs="Times New Roman" w:eastAsia="Times New Roman" w:hAnsi="Times New Roman"/>
                <w:sz w:val="12"/>
                <w:szCs w:val="12"/>
                <w:color w:val="auto"/>
                <w:vertAlign w:val="superscript"/>
              </w:rPr>
              <w:t>(7)</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07/06/2028</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12.09%</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SOFR+750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5,154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5,041</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3,157</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9"/>
              </w:rPr>
              <w:t>(PIK 12.09%)</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11/19/2026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10.95%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1,461</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1,461</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08/17/2026</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10.95%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263</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 Unfunded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08/17/2026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 - Revolver</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03/31/2025</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11.10%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817</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Radius Aerospace, Inc. - Unfunded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03/31/2025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12/18/2025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10.90%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SOFR+560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360</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360</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12/18/2025</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2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06/30/2025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 - Revolver</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12/18/2025</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10.93%</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SOFR+560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12/18/2025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02/28/2028</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10,763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9,638</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8,072</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Recteq, LLC -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01/29/2026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 - Revolver</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06/20/2025</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10.10%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SOFR+535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w:t>
            </w:r>
          </w:p>
        </w:tc>
        <w:tc>
          <w:tcPr>
            <w:tcW w:w="0" w:type="dxa"/>
            <w:vAlign w:val="bottom"/>
          </w:tcPr>
          <w:p>
            <w:pPr>
              <w:spacing w:after="0"/>
              <w:rPr>
                <w:sz w:val="1"/>
                <w:szCs w:val="1"/>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 Unfunded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06/20/2025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0"/>
        </w:trPr>
        <w:tc>
          <w:tcPr>
            <w:tcW w:w="3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4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2"/>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40" w:type="dxa"/>
            <w:vAlign w:val="bottom"/>
          </w:tcPr>
          <w:p>
            <w:pPr>
              <w:jc w:val="center"/>
              <w:ind w:right="27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4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2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08/15/2029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center"/>
              <w:ind w:left="292"/>
              <w:spacing w:after="0"/>
              <w:rPr>
                <w:sz w:val="20"/>
                <w:szCs w:val="20"/>
                <w:color w:val="auto"/>
              </w:rPr>
            </w:pPr>
            <w:r>
              <w:rPr>
                <w:rFonts w:ascii="Times New Roman" w:cs="Times New Roman" w:eastAsia="Times New Roman" w:hAnsi="Times New Roman"/>
                <w:sz w:val="10"/>
                <w:szCs w:val="10"/>
                <w:color w:val="auto"/>
                <w:w w:val="92"/>
              </w:rPr>
              <w:t>9.60%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4,000</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3,960</w:t>
            </w:r>
          </w:p>
        </w:tc>
        <w:tc>
          <w:tcPr>
            <w:tcW w:w="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3,960</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1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02/15/2025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5,394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08/15/2026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10,181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08/15/2029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center"/>
              <w:ind w:left="292"/>
              <w:spacing w:after="0"/>
              <w:rPr>
                <w:sz w:val="20"/>
                <w:szCs w:val="20"/>
                <w:color w:val="auto"/>
              </w:rPr>
            </w:pPr>
            <w:r>
              <w:rPr>
                <w:rFonts w:ascii="Times New Roman" w:cs="Times New Roman" w:eastAsia="Times New Roman" w:hAnsi="Times New Roman"/>
                <w:sz w:val="10"/>
                <w:szCs w:val="10"/>
                <w:color w:val="auto"/>
                <w:w w:val="92"/>
              </w:rPr>
              <w:t>9.60%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661</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655</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08/15/2029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05/03/2029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10.35%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9,827</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9,776</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05/03/2029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(108 )</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06/15/2029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10.35%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1,124</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1,126</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Unfunded Term Loan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06/27/2026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1,146</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(9 )</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Revolver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06/15/2029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12/29/2026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4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11.48%</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351</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351</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12/15/2024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Safe Haven Defense US LLC - Term Loan</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05/23/2029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40" w:type="dxa"/>
            <w:vAlign w:val="bottom"/>
            <w:shd w:val="clear" w:color="auto" w:fill="CCECFF"/>
          </w:tcPr>
          <w:p>
            <w:pPr>
              <w:jc w:val="center"/>
              <w:ind w:left="292"/>
              <w:spacing w:after="0"/>
              <w:rPr>
                <w:sz w:val="20"/>
                <w:szCs w:val="20"/>
                <w:color w:val="auto"/>
              </w:rPr>
            </w:pPr>
            <w:r>
              <w:rPr>
                <w:rFonts w:ascii="Times New Roman" w:cs="Times New Roman" w:eastAsia="Times New Roman" w:hAnsi="Times New Roman"/>
                <w:sz w:val="10"/>
                <w:szCs w:val="10"/>
                <w:color w:val="auto"/>
                <w:w w:val="92"/>
              </w:rPr>
              <w:t>9.85%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8,976</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8,843</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8,886</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05/23/2029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01/03/2025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 - Revolver</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12/20/2024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11.87%</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SOFR+660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610</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610</w:t>
            </w:r>
          </w:p>
        </w:tc>
      </w:tr>
      <w:tr>
        <w:trPr>
          <w:trHeight w:val="120"/>
        </w:trPr>
        <w:tc>
          <w:tcPr>
            <w:tcW w:w="3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40" w:type="dxa"/>
            <w:vAlign w:val="bottom"/>
          </w:tcPr>
          <w:p>
            <w:pPr>
              <w:jc w:val="center"/>
              <w:ind w:left="292"/>
              <w:spacing w:after="0"/>
              <w:rPr>
                <w:sz w:val="20"/>
                <w:szCs w:val="20"/>
                <w:color w:val="auto"/>
              </w:rPr>
            </w:pPr>
            <w:r>
              <w:rPr>
                <w:rFonts w:ascii="Times New Roman" w:cs="Times New Roman" w:eastAsia="Times New Roman" w:hAnsi="Times New Roman"/>
                <w:sz w:val="10"/>
                <w:szCs w:val="10"/>
                <w:color w:val="auto"/>
                <w:w w:val="93"/>
              </w:rPr>
              <w:t>(PIK 1.00%)</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Sargent &amp; Greenleaf Inc.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12/20/2024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07/14/2025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center"/>
              <w:ind w:left="292"/>
              <w:spacing w:after="0"/>
              <w:rPr>
                <w:sz w:val="20"/>
                <w:szCs w:val="20"/>
                <w:color w:val="auto"/>
              </w:rPr>
            </w:pPr>
            <w:r>
              <w:rPr>
                <w:rFonts w:ascii="Times New Roman" w:cs="Times New Roman" w:eastAsia="Times New Roman" w:hAnsi="Times New Roman"/>
                <w:sz w:val="10"/>
                <w:szCs w:val="10"/>
                <w:color w:val="auto"/>
                <w:w w:val="92"/>
              </w:rPr>
              <w:t>7.60%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SOFR+275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4,870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4,851</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4,748</w:t>
            </w:r>
          </w:p>
        </w:tc>
      </w:tr>
      <w:tr>
        <w:trPr>
          <w:trHeight w:val="120"/>
        </w:trPr>
        <w:tc>
          <w:tcPr>
            <w:tcW w:w="3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40" w:type="dxa"/>
            <w:vAlign w:val="bottom"/>
          </w:tcPr>
          <w:p>
            <w:pPr>
              <w:jc w:val="center"/>
              <w:ind w:left="292"/>
              <w:spacing w:after="0"/>
              <w:rPr>
                <w:sz w:val="20"/>
                <w:szCs w:val="20"/>
                <w:color w:val="auto"/>
              </w:rPr>
            </w:pPr>
            <w:r>
              <w:rPr>
                <w:rFonts w:ascii="Times New Roman" w:cs="Times New Roman" w:eastAsia="Times New Roman" w:hAnsi="Times New Roman"/>
                <w:sz w:val="10"/>
                <w:szCs w:val="10"/>
                <w:color w:val="auto"/>
                <w:w w:val="93"/>
              </w:rPr>
              <w:t>(PIK 5.60%)</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 - Revolver</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07/14/2025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center"/>
              <w:ind w:left="292"/>
              <w:spacing w:after="0"/>
              <w:rPr>
                <w:sz w:val="20"/>
                <w:szCs w:val="20"/>
                <w:color w:val="auto"/>
              </w:rPr>
            </w:pPr>
            <w:r>
              <w:rPr>
                <w:rFonts w:ascii="Times New Roman" w:cs="Times New Roman" w:eastAsia="Times New Roman" w:hAnsi="Times New Roman"/>
                <w:sz w:val="10"/>
                <w:szCs w:val="10"/>
                <w:color w:val="auto"/>
                <w:w w:val="92"/>
              </w:rPr>
              <w:t>7.60%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SOFR+275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w:t>
            </w:r>
          </w:p>
        </w:tc>
      </w:tr>
      <w:tr>
        <w:trPr>
          <w:trHeight w:val="120"/>
        </w:trPr>
        <w:tc>
          <w:tcPr>
            <w:tcW w:w="306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40" w:type="dxa"/>
            <w:vAlign w:val="bottom"/>
            <w:shd w:val="clear" w:color="auto" w:fill="CCECFF"/>
          </w:tcPr>
          <w:p>
            <w:pPr>
              <w:jc w:val="center"/>
              <w:ind w:left="292"/>
              <w:spacing w:after="0"/>
              <w:rPr>
                <w:sz w:val="20"/>
                <w:szCs w:val="20"/>
                <w:color w:val="auto"/>
              </w:rPr>
            </w:pPr>
            <w:r>
              <w:rPr>
                <w:rFonts w:ascii="Times New Roman" w:cs="Times New Roman" w:eastAsia="Times New Roman" w:hAnsi="Times New Roman"/>
                <w:sz w:val="10"/>
                <w:szCs w:val="10"/>
                <w:color w:val="auto"/>
                <w:w w:val="93"/>
              </w:rPr>
              <w:t>(PIK 5.60%)</w:t>
            </w: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 Unfunded Revolver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07/14/2025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06/13/2029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14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10.75%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4,704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4,650</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4,539</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 - Revolver</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06/13/2029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302</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Seaway Buyer, LLC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06/13/2029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2,814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(98 )</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Shiftkey, LLC</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06/21/2027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10.62%</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SOFR+601</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17,478</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16,838</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12/18/2027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14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11.50%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SOFR+690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25,785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25,251</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25,528</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 Unfunded Revolver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12/18/2027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12/02/2026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4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10.88%</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4,054</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4,106</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w w:val="94"/>
              </w:rPr>
              <w:t xml:space="preserve">Simplicity Financial Marketing Group Holdings Inc. - Unfunded Term Loan </w:t>
            </w:r>
            <w:r>
              <w:rPr>
                <w:rFonts w:ascii="Times New Roman" w:cs="Times New Roman" w:eastAsia="Times New Roman" w:hAnsi="Times New Roman"/>
                <w:sz w:val="12"/>
                <w:szCs w:val="12"/>
                <w:color w:val="auto"/>
                <w:w w:val="94"/>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02/09/2026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4,656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w w:val="97"/>
              </w:rPr>
              <w:t xml:space="preserve">Simplicity Financial Marketing Group Holdings Inc. - Unfunded Revolver </w:t>
            </w:r>
            <w:r>
              <w:rPr>
                <w:rFonts w:ascii="Times New Roman" w:cs="Times New Roman" w:eastAsia="Times New Roman" w:hAnsi="Times New Roman"/>
                <w:sz w:val="12"/>
                <w:szCs w:val="12"/>
                <w:color w:val="auto"/>
                <w:w w:val="97"/>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12/02/2026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Smartronix, LLC - Unfunded Revolver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11/23/2027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Solutionreach, Inc.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07/17/2025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03/01/2028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10.25%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SOFR+565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430</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432</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03/01/2025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2,348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 Revolver</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03/01/2028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10.25%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SOFR+565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561</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03/01/2028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08/16/2027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10.26%</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SOFR+585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1,283</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1,274</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1,280</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Term Loan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08/16/2027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7,068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 Funded Revolver</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08/16/2027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center"/>
              <w:ind w:left="292"/>
              <w:spacing w:after="0"/>
              <w:rPr>
                <w:sz w:val="20"/>
                <w:szCs w:val="20"/>
                <w:color w:val="auto"/>
              </w:rPr>
            </w:pPr>
            <w:r>
              <w:rPr>
                <w:rFonts w:ascii="Times New Roman" w:cs="Times New Roman" w:eastAsia="Times New Roman" w:hAnsi="Times New Roman"/>
                <w:sz w:val="10"/>
                <w:szCs w:val="10"/>
                <w:color w:val="auto"/>
                <w:w w:val="92"/>
              </w:rPr>
              <w:t>9.59%</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921</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919</w:t>
            </w:r>
          </w:p>
        </w:tc>
      </w:tr>
      <w:tr>
        <w:trPr>
          <w:trHeight w:val="156"/>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System Planning and Analysis, Inc.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08/16/2027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3,795</w:t>
            </w:r>
          </w:p>
        </w:tc>
        <w:tc>
          <w:tcPr>
            <w:tcW w:w="200" w:type="dxa"/>
            <w:vAlign w:val="bottom"/>
            <w:shd w:val="clear" w:color="auto" w:fill="CCECFF"/>
          </w:tcPr>
          <w:p>
            <w:pPr>
              <w:spacing w:after="0"/>
              <w:rPr>
                <w:sz w:val="13"/>
                <w:szCs w:val="13"/>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01/26/2029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11.10%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8,955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8,814</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8,865</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01/26/2029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 Revolver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07/27/2026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08/30/2027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11.27%</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185</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 - Revolver</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08/30/2027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10.95%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SOFR+610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305</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305</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 Unfunded Revolver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08/30/2027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TPCN Midco, LLC</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06/26/2029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10.35%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3,931</w:t>
            </w:r>
          </w:p>
        </w:tc>
        <w:tc>
          <w:tcPr>
            <w:tcW w:w="260" w:type="dxa"/>
            <w:vAlign w:val="bottom"/>
          </w:tcPr>
          <w:p>
            <w:pPr>
              <w:spacing w:after="0"/>
              <w:rPr>
                <w:sz w:val="10"/>
                <w:szCs w:val="1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3,894</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Term Loan </w:t>
            </w:r>
            <w:r>
              <w:rPr>
                <w:rFonts w:ascii="Times New Roman" w:cs="Times New Roman" w:eastAsia="Times New Roman" w:hAnsi="Times New Roman"/>
                <w:sz w:val="12"/>
                <w:szCs w:val="12"/>
                <w:color w:val="auto"/>
                <w:vertAlign w:val="superscript"/>
              </w:rPr>
              <w:t>(8)</w:t>
            </w:r>
          </w:p>
        </w:tc>
        <w:tc>
          <w:tcPr>
            <w:tcW w:w="1140" w:type="dxa"/>
            <w:vAlign w:val="bottom"/>
            <w:shd w:val="clear" w:color="auto" w:fill="CCECFF"/>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06/26/2026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4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5,894</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(83 )</w:t>
            </w:r>
          </w:p>
        </w:tc>
      </w:tr>
      <w:tr>
        <w:trPr>
          <w:trHeight w:val="158"/>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TPCN Midco, LLC - Unfunded Revolver </w:t>
            </w:r>
            <w:r>
              <w:rPr>
                <w:rFonts w:ascii="Times New Roman" w:cs="Times New Roman" w:eastAsia="Times New Roman" w:hAnsi="Times New Roman"/>
                <w:sz w:val="12"/>
                <w:szCs w:val="12"/>
                <w:color w:val="auto"/>
                <w:vertAlign w:val="superscript"/>
              </w:rPr>
              <w:t>(8)</w:t>
            </w: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0"/>
                <w:szCs w:val="10"/>
                <w:color w:val="auto"/>
                <w:w w:val="96"/>
              </w:rPr>
              <w:t>06/26/2029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140" w:type="dxa"/>
            <w:vAlign w:val="bottom"/>
          </w:tcPr>
          <w:p>
            <w:pPr>
              <w:ind w:left="9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1,160</w:t>
            </w:r>
          </w:p>
        </w:tc>
        <w:tc>
          <w:tcPr>
            <w:tcW w:w="200" w:type="dxa"/>
            <w:vAlign w:val="bottom"/>
          </w:tcPr>
          <w:p>
            <w:pPr>
              <w:spacing w:after="0"/>
              <w:rPr>
                <w:sz w:val="13"/>
                <w:szCs w:val="13"/>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r>
    </w:tbl>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2"/>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20" w:type="dxa"/>
            <w:vAlign w:val="bottom"/>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2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12/29/2028</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10.60%</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4,638</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4,573</w:t>
            </w:r>
          </w:p>
        </w:tc>
        <w:tc>
          <w:tcPr>
            <w:tcW w:w="2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4,638</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TransGo, LLC -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12/29/2028</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06/16/2025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11.33%</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SOFR+640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1,301</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06/16/2025</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06/15/2027</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10.66%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576</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570</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A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09/03/2026</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12/01/2029</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10.60%</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SOFR+600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7,301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7,201</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7,228</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12/01/2025</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Revolver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12/01/2029</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(63 )</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02/27/2027</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10.60%</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4,551</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4,585</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02/27/2027</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Revolver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02/27/2027</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12/31/2024</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12.46%</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SOFR+740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2,586</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2,473</w:t>
            </w:r>
          </w:p>
        </w:tc>
      </w:tr>
      <w:tr>
        <w:trPr>
          <w:trHeight w:val="120"/>
        </w:trPr>
        <w:tc>
          <w:tcPr>
            <w:tcW w:w="306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5"/>
              </w:rPr>
              <w:t>(PIK 1.5%)</w:t>
            </w: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579,813</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557,686</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 - 13.6% of Net Assets</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06/29/2027</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13.95%</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SOFR+915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17,825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17,606</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17,647</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07/28/2030</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14.19%</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SOFR+910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7,698</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8,000</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ENC Parent Corporation - Second Lien</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08/19/2029</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12.37%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SOFR+776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7,444</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6,225</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07/06/2026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13.20%</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1M SOFR+835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32,299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31,931</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12/18/2028</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14.51%</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SOFR+926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3,429</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3,422</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3,377</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68,469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67,180</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 Debt/Corporate Notes - 8.8% of Net Assets</w:t>
            </w: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06/21/2030</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15.00%</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3,235</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3,189</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3,187</w:t>
            </w:r>
          </w:p>
        </w:tc>
      </w:tr>
      <w:tr>
        <w:trPr>
          <w:trHeight w:val="120"/>
        </w:trPr>
        <w:tc>
          <w:tcPr>
            <w:tcW w:w="306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9"/>
              </w:rPr>
              <w:t>(PIK 15.00%)</w:t>
            </w: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1"/>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3M</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01/15/2029</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16.37%</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SOFR+1226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24,284</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23,710</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24,138</w:t>
            </w:r>
          </w:p>
        </w:tc>
      </w:t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9"/>
              </w:rPr>
              <w:t>(PIK 16.37%)</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Northwinds Topco, Inc.</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10/30/2029</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15.00%</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7,123</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7,020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6,944</w:t>
            </w:r>
          </w:p>
        </w:tc>
      </w:tr>
      <w:tr>
        <w:trPr>
          <w:trHeight w:val="120"/>
        </w:trPr>
        <w:tc>
          <w:tcPr>
            <w:tcW w:w="306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9"/>
              </w:rPr>
              <w:t>(PIK 15.00%)</w:t>
            </w: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Northwinds Topco, Inc. - Unfunded Term Loan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10/30/2029</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(175 )</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03/08/2028</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18.00%</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(8)</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03/08/2028</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01/08/2026</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12.33%</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SOFR+700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06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9"/>
              </w:rPr>
              <w:t>(PIK 11.85%)</w:t>
            </w: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08/15/2027</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12.00%</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612</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612</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08/15/2027</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United Land Services Intermediate Parent Holdings, LLC</w:t>
            </w:r>
          </w:p>
        </w:tc>
        <w:tc>
          <w:tcPr>
            <w:tcW w:w="112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12/23/2026</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14.25%</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9,120</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9,021</w:t>
            </w:r>
          </w:p>
        </w:tc>
      </w:tr>
      <w:tr>
        <w:trPr>
          <w:trHeight w:val="120"/>
        </w:trPr>
        <w:tc>
          <w:tcPr>
            <w:tcW w:w="3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9"/>
              </w:rPr>
              <w:t>(PIK 14.25%)</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1"/>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9"/>
              </w:rPr>
              <w:t>United Land Services Intermediate Parent Holdings, LLC - Unfunded Term</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(8)</w:t>
            </w:r>
          </w:p>
        </w:tc>
        <w:tc>
          <w:tcPr>
            <w:tcW w:w="112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07/12/2025</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(135 )</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1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43,658</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43,597</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- 3.5% of Net Assets </w:t>
            </w:r>
            <w:r>
              <w:rPr>
                <w:rFonts w:ascii="Times New Roman" w:cs="Times New Roman" w:eastAsia="Times New Roman" w:hAnsi="Times New Roman"/>
                <w:sz w:val="12"/>
                <w:szCs w:val="12"/>
                <w:b w:val="1"/>
                <w:bCs w:val="1"/>
                <w:color w:val="auto"/>
                <w:vertAlign w:val="superscript"/>
              </w:rPr>
              <w:t>(6)</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Accounting Platform Blocker, Inc. - Preferred Equity</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356,200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356</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304</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Equity </w:t>
            </w:r>
            <w:r>
              <w:rPr>
                <w:rFonts w:ascii="Times New Roman" w:cs="Times New Roman" w:eastAsia="Times New Roman" w:hAnsi="Times New Roman"/>
                <w:sz w:val="12"/>
                <w:szCs w:val="12"/>
                <w:color w:val="auto"/>
                <w:vertAlign w:val="superscript"/>
              </w:rPr>
              <w:t>(10)</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507</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780</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831</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2"/>
              </w:rPr>
              <w:t>6.00%</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896</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(10)</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1,293</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Holdings, LP (Preferred)</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1,178</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(10)</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3,562,500</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3,563</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6,343</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Preferred Equity </w:t>
            </w:r>
            <w:r>
              <w:rPr>
                <w:rFonts w:ascii="Times New Roman" w:cs="Times New Roman" w:eastAsia="Times New Roman" w:hAnsi="Times New Roman"/>
                <w:sz w:val="12"/>
                <w:szCs w:val="12"/>
                <w:color w:val="auto"/>
                <w:vertAlign w:val="superscript"/>
              </w:rPr>
              <w:t>(10)</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104,000</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(10)</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272,771</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508</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w w:val="99"/>
              </w:rPr>
              <w:t xml:space="preserve">Hancock Claims Consultants Investors, LLC - Class A Preferred Equity </w:t>
            </w:r>
            <w:r>
              <w:rPr>
                <w:rFonts w:ascii="Times New Roman" w:cs="Times New Roman" w:eastAsia="Times New Roman" w:hAnsi="Times New Roman"/>
                <w:sz w:val="12"/>
                <w:szCs w:val="12"/>
                <w:color w:val="auto"/>
                <w:w w:val="99"/>
                <w:vertAlign w:val="superscript"/>
              </w:rPr>
              <w:t>(10)</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116,588</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 Preferred</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2"/>
              </w:rPr>
              <w:t>8.00%</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744</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862</w:t>
            </w: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(10)</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1,545</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1,592</w:t>
            </w:r>
          </w:p>
        </w:tc>
      </w:tr>
      <w:tr>
        <w:trPr>
          <w:trHeight w:val="120"/>
        </w:trPr>
        <w:tc>
          <w:tcPr>
            <w:tcW w:w="30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(10)</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1,018</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643</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Preferred A</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5,349</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535</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481</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422</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422</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572</w:t>
            </w:r>
          </w:p>
        </w:tc>
      </w:tr>
      <w:tr>
        <w:trPr>
          <w:trHeight w:val="120"/>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112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575</w:t>
            </w:r>
          </w:p>
        </w:tc>
        <w:tc>
          <w:tcPr>
            <w:tcW w:w="2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w:t>
            </w:r>
          </w:p>
        </w:tc>
        <w:tc>
          <w:tcPr>
            <w:tcW w:w="24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w:t>
            </w:r>
          </w:p>
        </w:tc>
      </w:tr>
      <w:tr>
        <w:trPr>
          <w:trHeight w:val="120"/>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112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11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2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20" w:type="dxa"/>
            <w:vAlign w:val="bottom"/>
          </w:tcPr>
          <w:p>
            <w:pPr>
              <w:spacing w:after="0"/>
              <w:rPr>
                <w:sz w:val="10"/>
                <w:szCs w:val="10"/>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20" w:type="dxa"/>
            <w:vAlign w:val="bottom"/>
          </w:tcPr>
          <w:p>
            <w:pPr>
              <w:spacing w:after="0"/>
              <w:rPr>
                <w:sz w:val="10"/>
                <w:szCs w:val="10"/>
                <w:color w:val="auto"/>
              </w:rPr>
            </w:pPr>
          </w:p>
        </w:tc>
        <w:tc>
          <w:tcPr>
            <w:tcW w:w="88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0"/>
                <w:szCs w:val="10"/>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10,624</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11,276</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Holding Company, LP</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TWD Parent Holdings, LLC Preferred</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Equity/Parnership Interests</w:t>
            </w: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13,569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17,132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w w:val="99"/>
              </w:rPr>
              <w:t xml:space="preserve">Common Equity/Partnership Interests/Warrants - 25.3% of Net Assets </w:t>
            </w:r>
            <w:r>
              <w:rPr>
                <w:rFonts w:ascii="Times New Roman" w:cs="Times New Roman" w:eastAsia="Times New Roman" w:hAnsi="Times New Roman"/>
                <w:sz w:val="12"/>
                <w:szCs w:val="12"/>
                <w:b w:val="1"/>
                <w:bCs w:val="1"/>
                <w:color w:val="auto"/>
                <w:w w:val="99"/>
                <w:vertAlign w:val="superscript"/>
              </w:rPr>
              <w:t>(6)</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2,193,03</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2,767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773,800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774</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932</w:t>
            </w:r>
          </w:p>
        </w:tc>
        <w:tc>
          <w:tcPr>
            <w:tcW w:w="0" w:type="dxa"/>
            <w:vAlign w:val="bottom"/>
          </w:tcPr>
          <w:p>
            <w:pPr>
              <w:spacing w:after="0"/>
              <w:rPr>
                <w:sz w:val="1"/>
                <w:szCs w:val="1"/>
                <w:color w:val="auto"/>
              </w:rPr>
            </w:pPr>
          </w:p>
        </w:tc>
      </w:tr>
      <w:tr>
        <w:trPr>
          <w:trHeight w:val="132"/>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620" w:type="dxa"/>
            <w:vAlign w:val="bottom"/>
          </w:tcPr>
          <w:p>
            <w:pPr>
              <w:spacing w:after="0"/>
              <w:rPr>
                <w:sz w:val="11"/>
                <w:szCs w:val="1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48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2,667</w:t>
            </w:r>
          </w:p>
        </w:tc>
        <w:tc>
          <w:tcPr>
            <w:tcW w:w="180" w:type="dxa"/>
            <w:vAlign w:val="bottom"/>
          </w:tcPr>
          <w:p>
            <w:pPr>
              <w:spacing w:after="0"/>
              <w:rPr>
                <w:sz w:val="11"/>
                <w:szCs w:val="11"/>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Aechelon InvestCo, LP -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11,312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1,131</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(8)</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11,312</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2,304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805,164</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 Unfunded </w:t>
            </w:r>
            <w:r>
              <w:rPr>
                <w:rFonts w:ascii="Times New Roman" w:cs="Times New Roman" w:eastAsia="Times New Roman" w:hAnsi="Times New Roman"/>
                <w:sz w:val="12"/>
                <w:szCs w:val="12"/>
                <w:color w:val="auto"/>
                <w:vertAlign w:val="superscript"/>
              </w:rPr>
              <w:t>(8),(10)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194,836</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125,000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151</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2,489,77</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AMCSI Crash Co-Invest, LP</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2,490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3,737</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AMCSI Crash Co-Invest, LP - Unfunded </w:t>
            </w:r>
            <w:r>
              <w:rPr>
                <w:rFonts w:ascii="Times New Roman" w:cs="Times New Roman" w:eastAsia="Times New Roman" w:hAnsi="Times New Roman"/>
                <w:sz w:val="12"/>
                <w:szCs w:val="12"/>
                <w:color w:val="auto"/>
                <w:vertAlign w:val="superscript"/>
              </w:rPr>
              <w:t>(8)</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510,223</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9,357</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7,674</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1,700,00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764</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812</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1,680,30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Parent, L.P. -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204,455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Parent,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57,416</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782,891</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703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Cowboy Parent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27,778</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3,015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5,809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190</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Common Equity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754,200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913,649</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1,703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(8),(10)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227,395</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Acquisition, LLC (Common)</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313,600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314</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(12)</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2,554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937,500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938</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1,047</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1,458,33</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1,577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14,578</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489</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 Unfunded </w:t>
            </w:r>
            <w:r>
              <w:rPr>
                <w:rFonts w:ascii="Times New Roman" w:cs="Times New Roman" w:eastAsia="Times New Roman" w:hAnsi="Times New Roman"/>
                <w:sz w:val="12"/>
                <w:szCs w:val="12"/>
                <w:color w:val="auto"/>
                <w:vertAlign w:val="superscript"/>
              </w:rPr>
              <w:t>(8),(10)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5,150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20,882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2,175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1,814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655,714</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374,444</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1,101,29</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3,201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543,562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544</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2,434</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578</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1,222,70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(Common)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 Durable Consumer Products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1,223</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3,747,47</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GMP Hills, LP -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3,673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450,000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750,399</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842</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1,600,00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1,122,54</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 Unfunded </w:t>
            </w:r>
            <w:r>
              <w:rPr>
                <w:rFonts w:ascii="Times New Roman" w:cs="Times New Roman" w:eastAsia="Times New Roman" w:hAnsi="Times New Roman"/>
                <w:sz w:val="12"/>
                <w:szCs w:val="12"/>
                <w:color w:val="auto"/>
                <w:vertAlign w:val="superscript"/>
              </w:rPr>
              <w:t>(8)</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377,451</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620" w:type="dxa"/>
            <w:vAlign w:val="bottom"/>
            <w:shd w:val="clear" w:color="auto" w:fill="CCECFF"/>
          </w:tcPr>
          <w:p>
            <w:pPr>
              <w:spacing w:after="0"/>
              <w:rPr>
                <w:sz w:val="10"/>
                <w:szCs w:val="10"/>
                <w:color w:val="auto"/>
              </w:rPr>
            </w:pPr>
          </w:p>
        </w:tc>
        <w:tc>
          <w:tcPr>
            <w:tcW w:w="31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480" w:type="dxa"/>
            <w:vAlign w:val="bottom"/>
            <w:shd w:val="clear" w:color="auto" w:fill="CCECFF"/>
          </w:tcPr>
          <w:p>
            <w:pPr>
              <w:spacing w:after="0"/>
              <w:rPr>
                <w:sz w:val="10"/>
                <w:szCs w:val="10"/>
                <w:color w:val="auto"/>
              </w:rPr>
            </w:pPr>
          </w:p>
        </w:tc>
        <w:tc>
          <w:tcPr>
            <w:tcW w:w="2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1,218,04</w:t>
            </w:r>
          </w:p>
        </w:tc>
        <w:tc>
          <w:tcPr>
            <w:tcW w:w="18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w:t>
            </w:r>
          </w:p>
        </w:tc>
        <w:tc>
          <w:tcPr>
            <w:tcW w:w="74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1,535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3160" w:type="dxa"/>
            <w:vAlign w:val="bottom"/>
            <w:vMerge w:val="continue"/>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20" w:type="dxa"/>
            <w:vAlign w:val="bottom"/>
            <w:vMerge w:val="continue"/>
            <w:shd w:val="clear" w:color="auto" w:fill="CCECFF"/>
          </w:tcPr>
          <w:p>
            <w:pPr>
              <w:spacing w:after="0"/>
              <w:rPr>
                <w:sz w:val="10"/>
                <w:szCs w:val="10"/>
                <w:color w:val="auto"/>
              </w:rPr>
            </w:pPr>
          </w:p>
        </w:tc>
        <w:tc>
          <w:tcPr>
            <w:tcW w:w="880" w:type="dxa"/>
            <w:vAlign w:val="bottom"/>
            <w:vMerge w:val="continue"/>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180" w:type="dxa"/>
            <w:vAlign w:val="bottom"/>
            <w:shd w:val="clear" w:color="auto" w:fill="CCECFF"/>
          </w:tcPr>
          <w:p>
            <w:pPr>
              <w:spacing w:after="0"/>
              <w:rPr>
                <w:sz w:val="10"/>
                <w:szCs w:val="10"/>
                <w:color w:val="auto"/>
              </w:rPr>
            </w:pPr>
          </w:p>
        </w:tc>
        <w:tc>
          <w:tcPr>
            <w:tcW w:w="500" w:type="dxa"/>
            <w:vAlign w:val="bottom"/>
            <w:vMerge w:val="continue"/>
            <w:shd w:val="clear" w:color="auto" w:fill="CCECFF"/>
          </w:tcPr>
          <w:p>
            <w:pPr>
              <w:spacing w:after="0"/>
              <w:rPr>
                <w:sz w:val="10"/>
                <w:szCs w:val="10"/>
                <w:color w:val="auto"/>
              </w:rPr>
            </w:pPr>
          </w:p>
        </w:tc>
        <w:tc>
          <w:tcPr>
            <w:tcW w:w="74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Other Media</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181,495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2,711</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Ironclad Holdco, LLC (Applied Technical Services,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4,993</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162,445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2,443</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1,308,81</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382,353</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884</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273,143</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988</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851,087</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335,590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4,530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4,453</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1,545,46</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1,017,84</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30,993</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3,103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3,599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815,385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Common Equity A</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3,920,14</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3,984</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6,272</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1,299</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1,157</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1,429,48</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2,231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NFS - CFP Holdings LLC - Common Equity</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662,983</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663</w:t>
            </w: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(10)</w:t>
            </w:r>
          </w:p>
        </w:tc>
        <w:tc>
          <w:tcPr>
            <w:tcW w:w="620" w:type="dxa"/>
            <w:vAlign w:val="bottom"/>
          </w:tcPr>
          <w:p>
            <w:pPr>
              <w:spacing w:after="0"/>
              <w:rPr>
                <w:sz w:val="10"/>
                <w:szCs w:val="1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48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18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(10)</w:t>
            </w:r>
          </w:p>
        </w:tc>
        <w:tc>
          <w:tcPr>
            <w:tcW w:w="620" w:type="dxa"/>
            <w:vAlign w:val="bottom"/>
            <w:shd w:val="clear" w:color="auto" w:fill="CCECFF"/>
          </w:tcPr>
          <w:p>
            <w:pPr>
              <w:spacing w:after="0"/>
              <w:rPr>
                <w:sz w:val="10"/>
                <w:szCs w:val="10"/>
                <w:color w:val="auto"/>
              </w:rPr>
            </w:pPr>
          </w:p>
        </w:tc>
        <w:tc>
          <w:tcPr>
            <w:tcW w:w="3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48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351,553</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8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2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2"/>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80" w:type="dxa"/>
            <w:vAlign w:val="bottom"/>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26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8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Northwinds Services Group, LLC - Common Equity</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840,000</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1,680</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8,188</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98,286</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997</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OES Co-Invest, LP Class A Common Equity</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840</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937</w:t>
            </w:r>
          </w:p>
        </w:tc>
      </w:tr>
      <w:tr>
        <w:trPr>
          <w:trHeight w:val="148"/>
        </w:trPr>
        <w:tc>
          <w:tcPr>
            <w:tcW w:w="34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900" w:type="dxa"/>
            <w:vAlign w:val="bottom"/>
            <w:tcBorders>
              <w:bottom w:val="single" w:sz="8" w:color="CCECFF"/>
            </w:tcBorders>
            <w:shd w:val="clear" w:color="auto" w:fill="CCECFF"/>
          </w:tcPr>
          <w:p>
            <w:pPr>
              <w:spacing w:after="0"/>
              <w:rPr>
                <w:sz w:val="12"/>
                <w:szCs w:val="12"/>
                <w:color w:val="auto"/>
              </w:rPr>
            </w:pPr>
          </w:p>
        </w:tc>
        <w:tc>
          <w:tcPr>
            <w:tcW w:w="21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68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bottom w:val="single" w:sz="8" w:color="CCECFF"/>
            </w:tcBorders>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694,943</w:t>
            </w:r>
          </w:p>
        </w:tc>
        <w:tc>
          <w:tcPr>
            <w:tcW w:w="20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695</w:t>
            </w:r>
          </w:p>
        </w:tc>
        <w:tc>
          <w:tcPr>
            <w:tcW w:w="26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443</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 Unfunded </w:t>
            </w:r>
            <w:r>
              <w:rPr>
                <w:rFonts w:ascii="Times New Roman" w:cs="Times New Roman" w:eastAsia="Times New Roman" w:hAnsi="Times New Roman"/>
                <w:sz w:val="12"/>
                <w:szCs w:val="12"/>
                <w:color w:val="auto"/>
                <w:vertAlign w:val="superscript"/>
              </w:rPr>
              <w:t>(8)</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55,057</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870,536</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553</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 - Common Equity</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1,087,000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1,087</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Parent, LP</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421,304</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442</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(12)</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8,115,794</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8,126</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(10)</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1,918,047</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2,958,706</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3,780</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172</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 Unfunded </w:t>
            </w:r>
            <w:r>
              <w:rPr>
                <w:rFonts w:ascii="Times New Roman" w:cs="Times New Roman" w:eastAsia="Times New Roman" w:hAnsi="Times New Roman"/>
                <w:sz w:val="12"/>
                <w:szCs w:val="12"/>
                <w:color w:val="auto"/>
                <w:vertAlign w:val="superscript"/>
              </w:rPr>
              <w:t>(8), (10)</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RFMG Parent, LP</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1,309</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247</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36,585</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406</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2,006</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881,966</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4,154</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StellPen Holdings, LLC</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153,846</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134</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472</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(10)</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254,206</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388</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Co-Invest, LP - Common Equity</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6,475</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1,252</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965</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(10)</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542,000</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251</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819</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 Unfunded </w:t>
            </w:r>
            <w:r>
              <w:rPr>
                <w:rFonts w:ascii="Times New Roman" w:cs="Times New Roman" w:eastAsia="Times New Roman" w:hAnsi="Times New Roman"/>
                <w:sz w:val="12"/>
                <w:szCs w:val="12"/>
                <w:color w:val="auto"/>
                <w:vertAlign w:val="superscript"/>
              </w:rPr>
              <w:t>(8), (10)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353,444</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Holding Company, LP</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11,527</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Holdings, LLC - Common Equity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473,400</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473</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388</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608</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United Land Services Holdings LLC - Common Equity</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184,049</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600</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(10)</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844</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1,111,111</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1,184</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(10)</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12,419</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1,242</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1,292</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221</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(10)</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3,754</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3,793</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3,987</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(8), (10)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246</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Parent, LP</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2,314</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843</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(10)</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161,252</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1,711</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111,008</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125,097</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US Government Securities - 20.2% of Net Assets</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10/29/2024</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68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2"/>
              </w:rPr>
              <w:t>4.72%</w:t>
            </w:r>
          </w:p>
        </w:tc>
        <w:tc>
          <w:tcPr>
            <w:tcW w:w="260" w:type="dxa"/>
            <w:vAlign w:val="bottom"/>
          </w:tcPr>
          <w:p>
            <w:pPr>
              <w:spacing w:after="0"/>
              <w:rPr>
                <w:sz w:val="10"/>
                <w:szCs w:val="10"/>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100,000</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99,652</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99,632</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99,652</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99,632</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9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916,168</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910,323</w:t>
            </w:r>
          </w:p>
        </w:tc>
      </w:tr>
      <w:tr>
        <w:trPr>
          <w:trHeight w:val="96"/>
        </w:trPr>
        <w:tc>
          <w:tcPr>
            <w:tcW w:w="344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color w:val="auto"/>
              </w:rPr>
              <w:t>Investments in Non-Controlled, Affiliated Portfolio Companies - 6.8% of Net Assets</w:t>
            </w:r>
          </w:p>
        </w:tc>
        <w:tc>
          <w:tcPr>
            <w:tcW w:w="900" w:type="dxa"/>
            <w:vAlign w:val="bottom"/>
            <w:shd w:val="clear" w:color="auto" w:fill="CCECFF"/>
          </w:tcPr>
          <w:p>
            <w:pPr>
              <w:spacing w:after="0"/>
              <w:rPr>
                <w:sz w:val="8"/>
                <w:szCs w:val="8"/>
                <w:color w:val="auto"/>
              </w:rPr>
            </w:pPr>
          </w:p>
        </w:tc>
        <w:tc>
          <w:tcPr>
            <w:tcW w:w="21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r>
      <w:tr>
        <w:trPr>
          <w:trHeight w:val="88"/>
        </w:trPr>
        <w:tc>
          <w:tcPr>
            <w:tcW w:w="34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color w:val="auto"/>
              </w:rPr>
              <w:t>(1), (2)</w:t>
            </w:r>
          </w:p>
        </w:tc>
        <w:tc>
          <w:tcPr>
            <w:tcW w:w="900" w:type="dxa"/>
            <w:vAlign w:val="bottom"/>
            <w:tcBorders>
              <w:bottom w:val="single" w:sz="8" w:color="CCECFF"/>
            </w:tcBorders>
            <w:shd w:val="clear" w:color="auto" w:fill="CCECFF"/>
          </w:tcPr>
          <w:p>
            <w:pPr>
              <w:spacing w:after="0"/>
              <w:rPr>
                <w:sz w:val="7"/>
                <w:szCs w:val="7"/>
                <w:color w:val="auto"/>
              </w:rPr>
            </w:pPr>
          </w:p>
        </w:tc>
        <w:tc>
          <w:tcPr>
            <w:tcW w:w="2140" w:type="dxa"/>
            <w:vAlign w:val="bottom"/>
            <w:tcBorders>
              <w:bottom w:val="single" w:sz="8" w:color="CCECFF"/>
            </w:tcBorders>
            <w:shd w:val="clear" w:color="auto" w:fill="CCECFF"/>
          </w:tcPr>
          <w:p>
            <w:pPr>
              <w:spacing w:after="0"/>
              <w:rPr>
                <w:sz w:val="7"/>
                <w:szCs w:val="7"/>
                <w:color w:val="auto"/>
              </w:rPr>
            </w:pPr>
          </w:p>
        </w:tc>
        <w:tc>
          <w:tcPr>
            <w:tcW w:w="680" w:type="dxa"/>
            <w:vAlign w:val="bottom"/>
            <w:tcBorders>
              <w:bottom w:val="single" w:sz="8" w:color="CCECFF"/>
            </w:tcBorders>
            <w:shd w:val="clear" w:color="auto" w:fill="CCECFF"/>
          </w:tcPr>
          <w:p>
            <w:pPr>
              <w:spacing w:after="0"/>
              <w:rPr>
                <w:sz w:val="7"/>
                <w:szCs w:val="7"/>
                <w:color w:val="auto"/>
              </w:rPr>
            </w:pPr>
          </w:p>
        </w:tc>
        <w:tc>
          <w:tcPr>
            <w:tcW w:w="260" w:type="dxa"/>
            <w:vAlign w:val="bottom"/>
            <w:tcBorders>
              <w:bottom w:val="single" w:sz="8" w:color="CCECFF"/>
            </w:tcBorders>
            <w:shd w:val="clear" w:color="auto" w:fill="CCECFF"/>
          </w:tcPr>
          <w:p>
            <w:pPr>
              <w:spacing w:after="0"/>
              <w:rPr>
                <w:sz w:val="7"/>
                <w:szCs w:val="7"/>
                <w:color w:val="auto"/>
              </w:rPr>
            </w:pPr>
          </w:p>
        </w:tc>
        <w:tc>
          <w:tcPr>
            <w:tcW w:w="880" w:type="dxa"/>
            <w:vAlign w:val="bottom"/>
            <w:tcBorders>
              <w:bottom w:val="single" w:sz="8" w:color="CCECFF"/>
            </w:tcBorders>
            <w:shd w:val="clear" w:color="auto" w:fill="CCECFF"/>
          </w:tcPr>
          <w:p>
            <w:pPr>
              <w:spacing w:after="0"/>
              <w:rPr>
                <w:sz w:val="7"/>
                <w:szCs w:val="7"/>
                <w:color w:val="auto"/>
              </w:rPr>
            </w:pPr>
          </w:p>
        </w:tc>
        <w:tc>
          <w:tcPr>
            <w:tcW w:w="760" w:type="dxa"/>
            <w:vAlign w:val="bottom"/>
            <w:tcBorders>
              <w:bottom w:val="single" w:sz="8" w:color="CCECFF"/>
            </w:tcBorders>
            <w:shd w:val="clear" w:color="auto" w:fill="CCECFF"/>
          </w:tcPr>
          <w:p>
            <w:pPr>
              <w:spacing w:after="0"/>
              <w:rPr>
                <w:sz w:val="7"/>
                <w:szCs w:val="7"/>
                <w:color w:val="auto"/>
              </w:rPr>
            </w:pPr>
          </w:p>
        </w:tc>
        <w:tc>
          <w:tcPr>
            <w:tcW w:w="200" w:type="dxa"/>
            <w:vAlign w:val="bottom"/>
            <w:tcBorders>
              <w:bottom w:val="single" w:sz="8" w:color="CCECFF"/>
            </w:tcBorders>
            <w:shd w:val="clear" w:color="auto" w:fill="CCECFF"/>
          </w:tcPr>
          <w:p>
            <w:pPr>
              <w:spacing w:after="0"/>
              <w:rPr>
                <w:sz w:val="7"/>
                <w:szCs w:val="7"/>
                <w:color w:val="auto"/>
              </w:rPr>
            </w:pPr>
          </w:p>
        </w:tc>
        <w:tc>
          <w:tcPr>
            <w:tcW w:w="520" w:type="dxa"/>
            <w:vAlign w:val="bottom"/>
            <w:tcBorders>
              <w:bottom w:val="single" w:sz="8" w:color="CCECFF"/>
            </w:tcBorders>
            <w:shd w:val="clear" w:color="auto" w:fill="CCECFF"/>
          </w:tcPr>
          <w:p>
            <w:pPr>
              <w:spacing w:after="0"/>
              <w:rPr>
                <w:sz w:val="7"/>
                <w:szCs w:val="7"/>
                <w:color w:val="auto"/>
              </w:rPr>
            </w:pPr>
          </w:p>
        </w:tc>
        <w:tc>
          <w:tcPr>
            <w:tcW w:w="260" w:type="dxa"/>
            <w:vAlign w:val="bottom"/>
            <w:tcBorders>
              <w:bottom w:val="single" w:sz="8" w:color="CCECFF"/>
            </w:tcBorders>
            <w:shd w:val="clear" w:color="auto" w:fill="CCECFF"/>
          </w:tcPr>
          <w:p>
            <w:pPr>
              <w:spacing w:after="0"/>
              <w:rPr>
                <w:sz w:val="7"/>
                <w:szCs w:val="7"/>
                <w:color w:val="auto"/>
              </w:rPr>
            </w:pPr>
          </w:p>
        </w:tc>
        <w:tc>
          <w:tcPr>
            <w:tcW w:w="520" w:type="dxa"/>
            <w:vAlign w:val="bottom"/>
            <w:tcBorders>
              <w:bottom w:val="single" w:sz="8" w:color="CCECFF"/>
            </w:tcBorders>
            <w:shd w:val="clear" w:color="auto" w:fill="CCECFF"/>
          </w:tcPr>
          <w:p>
            <w:pPr>
              <w:spacing w:after="0"/>
              <w:rPr>
                <w:sz w:val="7"/>
                <w:szCs w:val="7"/>
                <w:color w:val="auto"/>
              </w:rPr>
            </w:pP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- 0.8%</w:t>
            </w:r>
          </w:p>
        </w:tc>
        <w:tc>
          <w:tcPr>
            <w:tcW w:w="9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(11)</w:t>
            </w:r>
          </w:p>
        </w:tc>
        <w:tc>
          <w:tcPr>
            <w:tcW w:w="9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03/01/2029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10,877</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10,054</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979</w:t>
            </w:r>
          </w:p>
        </w:tc>
      </w:tr>
      <w:tr>
        <w:trPr>
          <w:trHeight w:val="120"/>
        </w:trPr>
        <w:tc>
          <w:tcPr>
            <w:tcW w:w="344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(11), (8)</w:t>
            </w: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03/01/2029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(152 )</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Junior Revolver </w:t>
            </w:r>
            <w:r>
              <w:rPr>
                <w:rFonts w:ascii="Times New Roman" w:cs="Times New Roman" w:eastAsia="Times New Roman" w:hAnsi="Times New Roman"/>
                <w:sz w:val="12"/>
                <w:szCs w:val="12"/>
                <w:color w:val="auto"/>
                <w:vertAlign w:val="superscript"/>
              </w:rPr>
              <w:t>(11)</w:t>
            </w:r>
          </w:p>
        </w:tc>
        <w:tc>
          <w:tcPr>
            <w:tcW w:w="90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03/01/2029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3,333</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3,333</w:t>
            </w: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13,387</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4,160</w:t>
            </w:r>
          </w:p>
        </w:tc>
      </w:tr>
      <w:tr>
        <w:trPr>
          <w:trHeight w:val="120"/>
        </w:trPr>
        <w:tc>
          <w:tcPr>
            <w:tcW w:w="34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- 5.9% of Net Assets </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20"/>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(Preferred)</w:t>
            </w:r>
          </w:p>
        </w:tc>
        <w:tc>
          <w:tcPr>
            <w:tcW w:w="90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8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5,887,236</w:t>
            </w: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32,791</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27,931</w:t>
            </w:r>
          </w:p>
        </w:tc>
      </w:tr>
      <w:tr>
        <w:trPr>
          <w:trHeight w:val="120"/>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90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918</w:t>
            </w: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26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1,331</w:t>
            </w:r>
          </w:p>
        </w:tc>
      </w:tr>
      <w:tr>
        <w:trPr>
          <w:trHeight w:val="126"/>
        </w:trPr>
        <w:tc>
          <w:tcPr>
            <w:tcW w:w="34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33,709</w:t>
            </w:r>
          </w:p>
        </w:tc>
        <w:tc>
          <w:tcPr>
            <w:tcW w:w="26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29,262</w:t>
            </w:r>
          </w:p>
        </w:tc>
      </w:tr>
    </w:tbl>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18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8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3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Equity/Partnership Interests/Warrants - 0.0% of Net Assets </w:t>
            </w:r>
            <w:r>
              <w:rPr>
                <w:rFonts w:ascii="Times New Roman" w:cs="Times New Roman" w:eastAsia="Times New Roman" w:hAnsi="Times New Roman"/>
                <w:sz w:val="12"/>
                <w:szCs w:val="12"/>
                <w:b w:val="1"/>
                <w:bCs w:val="1"/>
                <w:color w:val="auto"/>
                <w:vertAlign w:val="superscript"/>
              </w:rPr>
              <w:t>(6)</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102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7,444,347</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2,852</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72,917</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6,786</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9,638</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56,734</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33,423</w:t>
            </w:r>
          </w:p>
        </w:tc>
      </w:tr>
      <w:tr>
        <w:trPr>
          <w:trHeight w:val="120"/>
        </w:trPr>
        <w:tc>
          <w:tcPr>
            <w:tcW w:w="33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- 77.8% </w:t>
            </w:r>
            <w:r>
              <w:rPr>
                <w:rFonts w:ascii="Times New Roman" w:cs="Times New Roman" w:eastAsia="Times New Roman" w:hAnsi="Times New Roman"/>
                <w:sz w:val="12"/>
                <w:szCs w:val="12"/>
                <w:color w:val="auto"/>
                <w:vertAlign w:val="superscript"/>
              </w:rPr>
              <w:t>(1), (2)</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- 21.5% of Net Assets</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1"/>
        </w:trPr>
        <w:tc>
          <w:tcPr>
            <w:tcW w:w="336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AKW Holdings Limited (GBP) </w:t>
            </w:r>
            <w:r>
              <w:rPr>
                <w:rFonts w:ascii="Times New Roman" w:cs="Times New Roman" w:eastAsia="Times New Roman" w:hAnsi="Times New Roman"/>
                <w:sz w:val="12"/>
                <w:szCs w:val="12"/>
                <w:color w:val="auto"/>
                <w:vertAlign w:val="superscript"/>
              </w:rPr>
              <w:t>(9), (12)</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7"/>
              </w:rPr>
              <w:t>12.16%</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SOFR+700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42,457</w:t>
            </w: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58,075</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56,950</w:t>
            </w:r>
          </w:p>
        </w:tc>
      </w:tr>
      <w:tr>
        <w:trPr>
          <w:trHeight w:val="120"/>
        </w:trPr>
        <w:tc>
          <w:tcPr>
            <w:tcW w:w="3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7"/>
              </w:rPr>
              <w:t>(PIK 5.47%)</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JF Holdings Corp.</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07/31/2026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7"/>
              </w:rPr>
              <w:t>11.30%</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SOFR+605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49,625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49,114</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49,129</w:t>
            </w:r>
          </w:p>
        </w:tc>
      </w:tr>
      <w:tr>
        <w:trPr>
          <w:trHeight w:val="120"/>
        </w:trPr>
        <w:tc>
          <w:tcPr>
            <w:tcW w:w="3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107,189</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106,079</w:t>
            </w:r>
          </w:p>
        </w:tc>
      </w:tr>
      <w:tr>
        <w:trPr>
          <w:trHeight w:val="120"/>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 - 28.0% of Net Assets</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3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(12)</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10/19/2027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7"/>
              </w:rPr>
              <w:t>14.50%</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22,208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22,208</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22,208</w:t>
            </w:r>
          </w:p>
        </w:tc>
      </w:tr>
      <w:tr>
        <w:trPr>
          <w:trHeight w:val="120"/>
        </w:trPr>
        <w:tc>
          <w:tcPr>
            <w:tcW w:w="336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(PIK 14.50%)</w:t>
            </w: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3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(12)</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07/31/2027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7"/>
              </w:rPr>
              <w:t>13.25%</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SOFR+800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115,886</w:t>
            </w: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115,886</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115,886</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138,094</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138,094</w:t>
            </w:r>
          </w:p>
        </w:tc>
      </w:tr>
      <w:tr>
        <w:trPr>
          <w:trHeight w:val="120"/>
        </w:trPr>
        <w:tc>
          <w:tcPr>
            <w:tcW w:w="33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- 5.4% of Net Assets </w:t>
            </w:r>
            <w:r>
              <w:rPr>
                <w:rFonts w:ascii="Times New Roman" w:cs="Times New Roman" w:eastAsia="Times New Roman" w:hAnsi="Times New Roman"/>
                <w:sz w:val="12"/>
                <w:szCs w:val="12"/>
                <w:color w:val="auto"/>
                <w:vertAlign w:val="superscript"/>
              </w:rPr>
              <w:t>(6)</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3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A Preferred Equity </w:t>
            </w:r>
            <w:r>
              <w:rPr>
                <w:rFonts w:ascii="Times New Roman" w:cs="Times New Roman" w:eastAsia="Times New Roman" w:hAnsi="Times New Roman"/>
                <w:sz w:val="12"/>
                <w:szCs w:val="12"/>
                <w:color w:val="auto"/>
                <w:vertAlign w:val="superscript"/>
              </w:rPr>
              <w:t>(12)</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2,047,727</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7,313</w:t>
            </w:r>
          </w:p>
        </w:tc>
      </w:tr>
      <w:tr>
        <w:trPr>
          <w:trHeight w:val="120"/>
        </w:trPr>
        <w:tc>
          <w:tcPr>
            <w:tcW w:w="33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B Preferred Equity </w:t>
            </w:r>
            <w:r>
              <w:rPr>
                <w:rFonts w:ascii="Times New Roman" w:cs="Times New Roman" w:eastAsia="Times New Roman" w:hAnsi="Times New Roman"/>
                <w:sz w:val="12"/>
                <w:szCs w:val="12"/>
                <w:color w:val="auto"/>
                <w:vertAlign w:val="superscript"/>
              </w:rPr>
              <w:t>(12)</w:t>
            </w:r>
          </w:p>
        </w:tc>
        <w:tc>
          <w:tcPr>
            <w:tcW w:w="102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5,409,091</w:t>
            </w: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19,318</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19,318</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26,631</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26,631</w:t>
            </w:r>
          </w:p>
        </w:tc>
      </w:tr>
      <w:tr>
        <w:trPr>
          <w:trHeight w:val="120"/>
        </w:trPr>
        <w:tc>
          <w:tcPr>
            <w:tcW w:w="33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 - 23.0% of Net Assets </w:t>
            </w:r>
            <w:r>
              <w:rPr>
                <w:rFonts w:ascii="Times New Roman" w:cs="Times New Roman" w:eastAsia="Times New Roman" w:hAnsi="Times New Roman"/>
                <w:sz w:val="12"/>
                <w:szCs w:val="12"/>
                <w:b w:val="1"/>
                <w:bCs w:val="1"/>
                <w:color w:val="auto"/>
                <w:vertAlign w:val="superscript"/>
              </w:rPr>
              <w:t>(6)</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3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 Common Equity </w:t>
            </w:r>
            <w:r>
              <w:rPr>
                <w:rFonts w:ascii="Times New Roman" w:cs="Times New Roman" w:eastAsia="Times New Roman" w:hAnsi="Times New Roman"/>
                <w:sz w:val="12"/>
                <w:szCs w:val="12"/>
                <w:color w:val="auto"/>
                <w:vertAlign w:val="superscript"/>
              </w:rPr>
              <w:t>(9), (12)</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3,848</w:t>
            </w:r>
          </w:p>
        </w:tc>
      </w:tr>
      <w:tr>
        <w:trPr>
          <w:trHeight w:val="120"/>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102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43,918</w:t>
            </w: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4,488</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41,729</w:t>
            </w:r>
          </w:p>
        </w:tc>
      </w:tr>
      <w:tr>
        <w:trPr>
          <w:trHeight w:val="120"/>
        </w:trPr>
        <w:tc>
          <w:tcPr>
            <w:tcW w:w="336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(12)</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67,373,319</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67,436</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67,923</w:t>
            </w:r>
          </w:p>
        </w:tc>
      </w:tr>
      <w:tr>
        <w:trPr>
          <w:trHeight w:val="120"/>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72,056</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113,500</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343,970</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384,304</w:t>
            </w:r>
          </w:p>
        </w:tc>
      </w:tr>
      <w:tr>
        <w:trPr>
          <w:trHeight w:val="120"/>
        </w:trPr>
        <w:tc>
          <w:tcPr>
            <w:tcW w:w="336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Total Investments - 268.9% of Net Assets</w:t>
            </w:r>
            <w:r>
              <w:rPr>
                <w:rFonts w:ascii="Times New Roman" w:cs="Times New Roman" w:eastAsia="Times New Roman" w:hAnsi="Times New Roman"/>
                <w:sz w:val="12"/>
                <w:szCs w:val="12"/>
                <w:color w:val="auto"/>
                <w:vertAlign w:val="superscript"/>
              </w:rPr>
              <w:t>(13)</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1,316,872</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1,328,050</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- 10.1% of Net Assets</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81</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2"/>
              </w:rPr>
              <w:t>5.03%</w:t>
            </w: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38,769</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38,769</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11,064</w:t>
            </w: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11,092</w:t>
            </w:r>
          </w:p>
        </w:tc>
      </w:tr>
      <w:tr>
        <w:trPr>
          <w:trHeight w:val="120"/>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49,833</w:t>
            </w:r>
          </w:p>
        </w:tc>
        <w:tc>
          <w:tcPr>
            <w:tcW w:w="24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49,861</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- 279.0%</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1,366,705</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1,377,911</w:t>
            </w:r>
          </w:p>
        </w:tc>
      </w:tr>
      <w:tr>
        <w:trPr>
          <w:trHeight w:val="120"/>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(179.0)%</w:t>
            </w: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(884,003 )</w:t>
            </w:r>
          </w:p>
        </w:tc>
      </w:tr>
      <w:tr>
        <w:trPr>
          <w:trHeight w:val="120"/>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 - 100%</w:t>
            </w:r>
          </w:p>
        </w:tc>
        <w:tc>
          <w:tcPr>
            <w:tcW w:w="10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493,908</w:t>
            </w:r>
          </w:p>
        </w:tc>
      </w:tr>
    </w:tbl>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1"/>
          <w:szCs w:val="11"/>
          <w:color w:val="auto"/>
        </w:rPr>
        <w:t>(4)Represents floating rate instruments that accrue interest at a predetermined spread relative to an index, typically the applicable Secured Overnight Financing Rate, or “SOFR”, or Prime rate, or “P, or Sterling Overnight Index Average, or“SONIA.”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(7)Partial non-accrual PIK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(9)Non-U.S. company or principal place of business is located in The Isle of Man.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(11)Non-accrual security</w:t>
      </w:r>
    </w:p>
    <w:p>
      <w:pPr>
        <w:spacing w:after="0" w:line="3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(12)The investment is treated as a non-qualifying asset under Section 55(a) of the 1940 Act. Under the 1940 Act, we may not acquire any non-qualifying asset unless, at the time the acquisition is made, qualifying assets represent at least 70% of our total assets. As of September 30, 2024, qualifying assets represent 78% of the Company’s total assets and non-qualifying assets represent 22% of the Company’s total assets.</w:t>
      </w:r>
    </w:p>
    <w:p>
      <w:pPr>
        <w:spacing w:after="0"/>
        <w:rPr>
          <w:sz w:val="20"/>
          <w:szCs w:val="20"/>
          <w:color w:val="auto"/>
        </w:rPr>
      </w:pPr>
      <w:r>
        <w:rPr>
          <w:rFonts w:ascii="Times New Roman" w:cs="Times New Roman" w:eastAsia="Times New Roman" w:hAnsi="Times New Roman"/>
          <w:sz w:val="11"/>
          <w:szCs w:val="11"/>
          <w:color w:val="auto"/>
        </w:rPr>
        <w:t>(13)All investments are in US Companies unless noted otherwise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130"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32"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have entered into an investment management agreement, (the "Investment Management Agreement"), with PennantPark Investment Advisors, LLC (the "Investment Adviser"), an external adviser that manages our day-to-day operations. We have also entered into an administration agreement, (the "Administration Agreement"), with PennantPark Investment Administrator LLC (the "Administrator"), which provides the administrative services necessary for us to operate.</w:t>
      </w:r>
    </w:p>
    <w:p>
      <w:pPr>
        <w:spacing w:after="0" w:line="123"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On July 31, 2020, we and certain entities and managed accounts of the private credit investment manager of Pantheon Ventures (UK) LLP, or Pantheon, entered into a limited liability company agreement to co-manage PSLF, a newly formed unconsolidated joint venture formed as a Delaware limited liability company. In connection with this transaction, we contributed in-kind our formerly wholly- owned subsidiary, Funding I. As a result of this transaction, Funding I became a wholly-owned subsidiary of PSLF and was deconsolidated from our financial statements. PSLF invests primarily in middle-market and other corporate debt securities consistent with our strategy. PSLF was formed as a Delaware limited liability company. See Note 4.</w:t>
      </w:r>
    </w:p>
    <w:p>
      <w:pPr>
        <w:spacing w:after="0" w:line="127" w:lineRule="exact"/>
        <w:rPr>
          <w:sz w:val="20"/>
          <w:szCs w:val="20"/>
          <w:color w:val="auto"/>
        </w:rPr>
      </w:pPr>
    </w:p>
    <w:p>
      <w:pPr>
        <w:jc w:val="both"/>
        <w:ind w:right="1520" w:firstLine="420"/>
        <w:spacing w:after="0" w:line="258" w:lineRule="auto"/>
        <w:rPr>
          <w:sz w:val="20"/>
          <w:szCs w:val="20"/>
          <w:color w:val="auto"/>
        </w:rPr>
      </w:pPr>
      <w:r>
        <w:rPr>
          <w:rFonts w:ascii="Times New Roman" w:cs="Times New Roman" w:eastAsia="Times New Roman" w:hAnsi="Times New Roman"/>
          <w:sz w:val="13"/>
          <w:szCs w:val="13"/>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w:t>
      </w:r>
    </w:p>
    <w:p>
      <w:pPr>
        <w:ind w:right="140"/>
        <w:spacing w:after="0" w:line="257" w:lineRule="auto"/>
        <w:rPr>
          <w:sz w:val="20"/>
          <w:szCs w:val="20"/>
          <w:color w:val="auto"/>
        </w:rPr>
      </w:pPr>
      <w:r>
        <w:rPr>
          <w:rFonts w:ascii="Times New Roman" w:cs="Times New Roman" w:eastAsia="Times New Roman" w:hAnsi="Times New Roman"/>
          <w:sz w:val="13"/>
          <w:szCs w:val="13"/>
          <w:color w:val="auto"/>
        </w:rPr>
        <w:t>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Notes-2 at a public offering price per note of 99.4%. Interest on the 2026</w:t>
      </w:r>
    </w:p>
    <w:p>
      <w:pPr>
        <w:spacing w:after="0" w:line="2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3"/>
          <w:szCs w:val="13"/>
          <w:color w:val="auto"/>
        </w:rPr>
        <w:t>Notes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general, unsecured obligations and rank equal in right of payment with all of our existing and future senior unsecured indebtedness. The 2026 Notes-2 are effectively</w:t>
      </w:r>
    </w:p>
    <w:p>
      <w:pPr>
        <w:spacing w:after="0" w:line="7" w:lineRule="exact"/>
        <w:rPr>
          <w:sz w:val="20"/>
          <w:szCs w:val="20"/>
          <w:color w:val="auto"/>
        </w:rPr>
      </w:pPr>
    </w:p>
    <w:p>
      <w:pPr>
        <w:ind w:right="480"/>
        <w:spacing w:after="0" w:line="257" w:lineRule="auto"/>
        <w:rPr>
          <w:sz w:val="20"/>
          <w:szCs w:val="20"/>
          <w:color w:val="auto"/>
        </w:rPr>
      </w:pPr>
      <w:r>
        <w:rPr>
          <w:rFonts w:ascii="Times New Roman" w:cs="Times New Roman" w:eastAsia="Times New Roman" w:hAnsi="Times New Roman"/>
          <w:sz w:val="13"/>
          <w:szCs w:val="13"/>
          <w:color w:val="auto"/>
        </w:rPr>
        <w:t>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elected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In January 2022, we formed PennantPark-TSO Senior Loan Fund II LP, ("PTSF II"), an unconsolidated limited partnership, organized as a Delaware limited partnership. We sold $82.3 million in investments to a wholly -owned subsidiary of PTSF II in exchange for cash in the amount of $75.7 million and an $6.6 million equity interest in PTSF II representing 23.1% of the total outstanding Class A Units of PTSF II. We recognized $0.2 million of realized gain upon the formation of PTSF II. As of December 31, 2024, our capital commitment of $15.0 million was 100% funded and we held 23.1% of the total outstanding Class A Units of PTSF II and a 4.99% voting interest in the general partner which manages PTSF II.</w:t>
      </w:r>
    </w:p>
    <w:p>
      <w:pPr>
        <w:spacing w:after="0" w:line="127"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65"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("FASB’s") or Accounting Standards Codification, as amended ("ASC"), serve as a single source of accounting literature. Subsequent events are evaluated and disclosed as appropriate for events occurring through the date the consolidated financial statements are issued.</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305" w:lineRule="exact"/>
        <w:rPr>
          <w:sz w:val="20"/>
          <w:szCs w:val="20"/>
          <w:color w:val="auto"/>
        </w:rPr>
      </w:pPr>
    </w:p>
    <w:p>
      <w:pPr>
        <w:jc w:val="both"/>
        <w:ind w:right="12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(a)Investment Valuations</w:t>
      </w:r>
    </w:p>
    <w:p>
      <w:pPr>
        <w:spacing w:after="0" w:line="16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420" w:right="36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the Investment Adviser responsible for the portfolio investment;</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420" w:right="16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(b)Security Transactions, Revenue Recognition, and Realized/Unrealized Gains or Losses</w:t>
      </w:r>
    </w:p>
    <w:p>
      <w:pPr>
        <w:spacing w:after="0" w:line="16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spacing w:after="0" w:line="127"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recurring in nature. Such fees include loan prepayment penalties, structuring fees, amendment fees, and agency fees and are recorded as other investment income when earned.</w:t>
      </w:r>
    </w:p>
    <w:p>
      <w:pPr>
        <w:spacing w:after="0" w:line="132"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2024, we had two portfolio companies on non-accrual, representing 4.3% of overall portfolio on a cost and 1.5% fair value basis. As of September 30, 2024, we had two portfolio company on non-accrual, representing 4.1% and 2.3% of our overall portfolio on a cost and fair value basis, respectively.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9" w:name="page30"/>
    <w:bookmarkEnd w:id="29"/>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(c)Income Taxes</w:t>
      </w:r>
    </w:p>
    <w:p>
      <w:pPr>
        <w:spacing w:after="0" w:line="16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months ended December 31, 2024 and 2023 and we recorded a provision for taxes on net investment income of $0.7 million and $0.4 million respectively, which pertains to U.S. federal excise tax.</w:t>
      </w:r>
    </w:p>
    <w:p>
      <w:pPr>
        <w:spacing w:after="0" w:line="132"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Holdings II, is subject to U.S. federal, state and local corporate income taxes. The income tax expense and related tax liabilities of the Taxable Subsidiary are reflected in the Company’s consolidated financial statements.</w:t>
      </w:r>
    </w:p>
    <w:p>
      <w:pPr>
        <w:spacing w:after="0" w:line="11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December 31, 2024 and 2023, the Company recognized a provision for taxes of zero on net realized gain (loss) on investments by the Taxable Subsidiary. For the three months ended December 31, 2024 and 2023, the Company recognized a provision for less than $ 0.1 million and $(0.2) million,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and (ii) the expected tax benefit resulting from the use of loss carryforwards to offset such gains.</w:t>
      </w:r>
    </w:p>
    <w:p>
      <w:pPr>
        <w:spacing w:after="0" w:line="127"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During the three months ended December 31, 2024 and 2023, the Company paid zero, in federal taxes on realized gains on the sale of investments held by the Taxable Subsidiary. The state and local tax liability is zero as of December 31, 2024 is included under accrued other expenses in the consolidated statement of assets and liabilities.</w:t>
      </w:r>
    </w:p>
    <w:p>
      <w:pPr>
        <w:spacing w:after="0" w:line="112"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87" w:lineRule="exact"/>
        <w:rPr>
          <w:sz w:val="20"/>
          <w:szCs w:val="20"/>
          <w:color w:val="auto"/>
        </w:rPr>
      </w:pPr>
    </w:p>
    <w:p>
      <w:pPr>
        <w:ind w:right="32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(d)Distributions and Capital Transactions</w:t>
      </w:r>
    </w:p>
    <w:p>
      <w:pPr>
        <w:spacing w:after="0" w:line="16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23"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2"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On June 4, 2024, we entered into equity distribution agreements with Truist Securities, Inc. and Keefe, Bruyette &amp; Woods, Inc. (together, the "Equity Distribution Agreements"), as sales agents (each a "Sales Agent" and together, the "Sales Agents") in connection with the sale of shares of our common stock, with an aggregate offering price of up to $100 million under an at-the-market offering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During the three months ended December 31, 2024 and 2023, we did not issue any shares under the ATM program.</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(e)Foreign Currency Translation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149"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(f)Consolidation</w:t>
      </w:r>
    </w:p>
    <w:p>
      <w:pPr>
        <w:spacing w:after="0" w:line="131"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(g)Asset Transfers and Servicing</w:t>
      </w:r>
    </w:p>
    <w:p>
      <w:pPr>
        <w:spacing w:after="0" w:line="167"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108" w:lineRule="exact"/>
        <w:rPr>
          <w:sz w:val="20"/>
          <w:szCs w:val="20"/>
          <w:color w:val="auto"/>
        </w:rPr>
      </w:pPr>
    </w:p>
    <w:p>
      <w:pPr>
        <w:ind w:left="560" w:hanging="350"/>
        <w:spacing w:after="0"/>
        <w:tabs>
          <w:tab w:leader="none" w:pos="560" w:val="left"/>
        </w:tabs>
        <w:numPr>
          <w:ilvl w:val="0"/>
          <w:numId w:val="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three months ended December 31, 2024, the effect of which was not material to the consolidated financial statements.</w:t>
      </w:r>
    </w:p>
    <w:p>
      <w:pPr>
        <w:spacing w:after="0" w:line="130"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w:t>
      </w:r>
    </w:p>
    <w:p>
      <w:pPr>
        <w:spacing w:after="0" w:line="130" w:lineRule="exact"/>
        <w:rPr>
          <w:sz w:val="20"/>
          <w:szCs w:val="20"/>
          <w:color w:val="auto"/>
        </w:rPr>
      </w:pPr>
    </w:p>
    <w:p>
      <w:pPr>
        <w:jc w:val="both"/>
        <w:ind w:right="40" w:firstLine="420"/>
        <w:spacing w:after="0" w:line="259" w:lineRule="auto"/>
        <w:rPr>
          <w:sz w:val="20"/>
          <w:szCs w:val="20"/>
          <w:color w:val="auto"/>
        </w:rPr>
      </w:pPr>
      <w:r>
        <w:rPr>
          <w:rFonts w:ascii="Times New Roman" w:cs="Times New Roman" w:eastAsia="Times New Roman" w:hAnsi="Times New Roman"/>
          <w:sz w:val="13"/>
          <w:szCs w:val="13"/>
          <w:color w:val="auto"/>
        </w:rPr>
        <w:t>In June 2022, the FASB issued ASU 2022-03, Fair Value Measurement (Topic 820): Fair Value Measurement of Equity Securities Subject to Contractual Sale Restrictions ("ASU 2022-03"), which changed the fair value measurement disclosure requirements of ASC Topic 820, Fair Value Measurements and Disclosures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was not material to the the consolidated financial statements.</w:t>
      </w:r>
    </w:p>
    <w:p>
      <w:pPr>
        <w:spacing w:after="0" w:line="130" w:lineRule="exact"/>
        <w:rPr>
          <w:sz w:val="20"/>
          <w:szCs w:val="20"/>
          <w:color w:val="auto"/>
        </w:rPr>
      </w:pPr>
    </w:p>
    <w:p>
      <w:pPr>
        <w:ind w:right="120" w:firstLine="696"/>
        <w:spacing w:after="0" w:line="257"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2023- 07 is effective for fiscal years beginning 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w:t>
      </w:r>
    </w:p>
    <w:p>
      <w:pPr>
        <w:spacing w:after="0" w:line="132" w:lineRule="exact"/>
        <w:rPr>
          <w:sz w:val="20"/>
          <w:szCs w:val="20"/>
          <w:color w:val="auto"/>
        </w:rPr>
      </w:pPr>
    </w:p>
    <w:p>
      <w:pPr>
        <w:jc w:val="both"/>
        <w:ind w:right="38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consolidated financial statements.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2" w:right="720"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303" w:lineRule="exact"/>
        <w:rPr>
          <w:sz w:val="20"/>
          <w:szCs w:val="20"/>
          <w:color w:val="auto"/>
        </w:rPr>
      </w:pPr>
    </w:p>
    <w:p>
      <w:pPr>
        <w:ind w:left="140" w:hanging="134"/>
        <w:spacing w:after="0"/>
        <w:tabs>
          <w:tab w:leader="none" w:pos="14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AGREEMENTS AND RELATED PARTY TRANSACTIONS</w:t>
      </w:r>
    </w:p>
    <w:p>
      <w:pPr>
        <w:spacing w:after="0" w:line="160" w:lineRule="exact"/>
        <w:rPr>
          <w:rFonts w:ascii="Times New Roman" w:cs="Times New Roman" w:eastAsia="Times New Roman" w:hAnsi="Times New Roman"/>
          <w:sz w:val="13"/>
          <w:szCs w:val="13"/>
          <w:b w:val="1"/>
          <w:bCs w:val="1"/>
          <w:color w:val="auto"/>
        </w:rPr>
      </w:pPr>
    </w:p>
    <w:p>
      <w:pPr>
        <w:ind w:left="460" w:hanging="250"/>
        <w:spacing w:after="0"/>
        <w:tabs>
          <w:tab w:leader="none" w:pos="460" w:val="left"/>
        </w:tabs>
        <w:numPr>
          <w:ilvl w:val="1"/>
          <w:numId w:val="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6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May 2024. Under the Investment Management Agreement, the Investment Adviser, subject to the overall supervision of our board of directors, manages the day -to-day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For providing these services, the Investment Adviser receives a fee from us, consisting of two components— a base management fee and an incentive fee or, collectively, Management Fees.</w:t>
      </w:r>
    </w:p>
    <w:p>
      <w:pPr>
        <w:spacing w:after="0" w:line="1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2024 and 2023, the Investment Adviser earned base management fees of $4.3 million and $4.0 million from us.</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27" w:lineRule="exact"/>
        <w:rPr>
          <w:sz w:val="20"/>
          <w:szCs w:val="20"/>
          <w:color w:val="auto"/>
        </w:rPr>
      </w:pPr>
    </w:p>
    <w:p>
      <w:pPr>
        <w:ind w:right="80" w:firstLine="420"/>
        <w:spacing w:after="0" w:line="253"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three months ended December 31, 2024 and 2023, the Investment Adviser earned an incentive fee of $2.8 million and $3.3 million, in incentive fees on net investment income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w:t>
      </w:r>
    </w:p>
    <w:p>
      <w:pPr>
        <w:spacing w:after="0" w:line="113"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Times New Roman" w:cs="Times New Roman" w:eastAsia="Times New Roman" w:hAnsi="Times New Roman"/>
          <w:sz w:val="13"/>
          <w:szCs w:val="13"/>
          <w:color w:val="auto"/>
          <w:strike w:val="1"/>
        </w:rPr>
        <w:t>,</w:t>
      </w:r>
      <w:r>
        <w:rPr>
          <w:rFonts w:ascii="Times New Roman" w:cs="Times New Roman" w:eastAsia="Times New Roman" w:hAnsi="Times New Roman"/>
          <w:sz w:val="13"/>
          <w:szCs w:val="13"/>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2024 and 2023, the Investment Adviser did not accrue an incentive fee on capital gains.</w:t>
      </w:r>
    </w:p>
    <w:p>
      <w:pPr>
        <w:spacing w:after="0" w:line="91"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each of the three months ended December 31, 2024 and 2023, the Investment Adviser did not accrue an incentive fee on capital gains as calculated under GAAP.</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2" w:name="page33"/>
    <w:bookmarkEnd w:id="32"/>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67"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our directors who are not interested persons of us, in May 2024. Under the Administration Agreement, the Administrator provides administrative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and their respective staffs. The amount billed by the Administrator may include credits related to its administrative agreement with PSLF.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2024 and 2023, we recorded $0.5 million and $0.1 million, respectively, for the services described above.</w:t>
      </w:r>
    </w:p>
    <w:p>
      <w:pPr>
        <w:spacing w:after="0" w:line="132"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Under the Administration Agreement the Administrator may be reimbursed by the Company for the costs and expenses to be borne by the Company set forth above include the costs and expenses allocable with respect to the provision of in-house legal, tax, or other professional advice and/or services to the Company, including performing due diligence on its prospective portfolio companies as deemed appropriate by the Administrator, where such in-house personnel perform services that would be paid by the Company if outside service providers provided the same services, subject to the Board's oversight.</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6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The Company, the Investment Adviser and certain other affiliates have been granted an order for exemptive relief by the SEC for the Company to co- invest with other funds managed by the Investment Adviser. If we co-invest with other affiliated funds, our Investment Adviser would not receive compensation except to the extent permitted by the exemptive order and applicable law, including the limitations set forth in Section 57(k) of the 1940 Act.</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three months ended December 31, 2024 and 2023.</w:t>
      </w:r>
    </w:p>
    <w:p>
      <w:pPr>
        <w:spacing w:after="0" w:line="163"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we sold $286.6 million in investments to PSLF at fair value, and recognized $0.8 million of net realized gains. For the three months ended December 31, 2023, we sold $50.8 million in investments to PSLF at fair value, and recognized zero of net realized gains.</w:t>
      </w:r>
    </w:p>
    <w:p>
      <w:pPr>
        <w:spacing w:after="0" w:line="11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we sold zero in investments to PTSF II at fair value, and recognized zero of net realized gains. For the three months ended December 31, 2023, we sold zero in investments to PTSF II at fair value, and recognized zero of net realized gains.</w:t>
      </w:r>
    </w:p>
    <w:p>
      <w:pPr>
        <w:spacing w:after="0" w:line="112" w:lineRule="exact"/>
        <w:rPr>
          <w:sz w:val="20"/>
          <w:szCs w:val="20"/>
          <w:color w:val="auto"/>
        </w:rPr>
      </w:pPr>
    </w:p>
    <w:p>
      <w:pPr>
        <w:ind w:right="640" w:firstLine="420"/>
        <w:spacing w:after="0" w:line="286" w:lineRule="auto"/>
        <w:rPr>
          <w:sz w:val="20"/>
          <w:szCs w:val="20"/>
          <w:color w:val="auto"/>
        </w:rPr>
      </w:pPr>
      <w:r>
        <w:rPr>
          <w:rFonts w:ascii="Times New Roman" w:cs="Times New Roman" w:eastAsia="Times New Roman" w:hAnsi="Times New Roman"/>
          <w:sz w:val="13"/>
          <w:szCs w:val="13"/>
          <w:color w:val="auto"/>
        </w:rPr>
        <w:t>As of December 31, 2024 and September 30, 2024, PNNT had a payable to PSLF and PTSF II of zero and less than $0.1 million, respectively, presented as a due to affiliates on the consolidated statement of assets and liabilities. These amounts are related to cash owed to PSLF and PTSF II from PNNT in connection with trades between the funds.</w:t>
      </w:r>
    </w:p>
    <w:p>
      <w:pPr>
        <w:spacing w:after="0" w:line="112"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December 31, 2024 and September 30, 2024, PNNT had a receivable from affiliates of $0.1 million and $0.2 million, respectively, presented as a due from affiliates on the consolidated statement of assets and liabilities. These amounts are related to agency fees collected on behalf of the Company and trades between the funds.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Purchases of investments, including PIK interest, for the three months ended December 31, 2024 and 2023 totaled $297.9 million and $232.1 million, respectively (excluding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Government Securities). Sales and repayments of investments for the three months ended December 31, 2024 and 2023 totaled $353.7 million and $71.0 million, respectively (excluding U.S.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Government Securities).</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4"/>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20" w:type="dxa"/>
            <w:vAlign w:val="bottom"/>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70"/>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Investment Classification </w:t>
            </w:r>
            <w:r>
              <w:rPr>
                <w:rFonts w:ascii="Times New Roman" w:cs="Times New Roman" w:eastAsia="Times New Roman" w:hAnsi="Times New Roman"/>
                <w:sz w:val="13"/>
                <w:szCs w:val="13"/>
                <w:color w:val="auto"/>
              </w:rPr>
              <w:t>($ in thousands)</w:t>
            </w:r>
          </w:p>
        </w:tc>
        <w:tc>
          <w:tcPr>
            <w:tcW w:w="320" w:type="dxa"/>
            <w:vAlign w:val="bottom"/>
          </w:tcPr>
          <w:p>
            <w:pPr>
              <w:spacing w:after="0"/>
              <w:rPr>
                <w:sz w:val="14"/>
                <w:szCs w:val="14"/>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2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620,393</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575,000</w:t>
            </w: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700,390</w:t>
            </w:r>
          </w:p>
        </w:tc>
        <w:tc>
          <w:tcPr>
            <w:tcW w:w="4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667,926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124,813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124,794</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99,652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50,888</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50,008</w:t>
            </w:r>
          </w:p>
        </w:tc>
        <w:tc>
          <w:tcPr>
            <w:tcW w:w="24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68,470</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67,180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73,979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73,933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65,865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65,804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notes in PSLF</w:t>
            </w: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132,174</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132,175</w:t>
            </w:r>
          </w:p>
        </w:tc>
        <w:tc>
          <w:tcPr>
            <w:tcW w:w="24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115,886</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204,838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266,114</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199,173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 in PSLF</w:t>
            </w: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77,397</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76,042</w:t>
            </w:r>
          </w:p>
        </w:tc>
        <w:tc>
          <w:tcPr>
            <w:tcW w:w="24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67,436</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67,923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1,284,482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1,298,066</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1,316,872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55,868</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55,851</w:t>
            </w:r>
          </w:p>
        </w:tc>
        <w:tc>
          <w:tcPr>
            <w:tcW w:w="24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49,833</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1,340,350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1,353,917</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1,366,705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1,377,911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40" w:firstLine="420"/>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 as of:</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20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 xml:space="preserve">December 31, 2024 </w:t>
            </w:r>
            <w:r>
              <w:rPr>
                <w:rFonts w:ascii="Times New Roman" w:cs="Times New Roman" w:eastAsia="Times New Roman" w:hAnsi="Times New Roman"/>
                <w:sz w:val="16"/>
                <w:szCs w:val="16"/>
                <w:b w:val="1"/>
                <w:bCs w:val="1"/>
                <w:color w:val="auto"/>
                <w:vertAlign w:val="superscript"/>
              </w:rPr>
              <w:t>(1)</w:t>
            </w:r>
          </w:p>
        </w:tc>
        <w:tc>
          <w:tcPr>
            <w:tcW w:w="420" w:type="dxa"/>
            <w:vAlign w:val="bottom"/>
          </w:tcPr>
          <w:p>
            <w:pPr>
              <w:spacing w:after="0"/>
              <w:rPr>
                <w:sz w:val="16"/>
                <w:szCs w:val="16"/>
                <w:color w:val="auto"/>
              </w:rPr>
            </w:pPr>
          </w:p>
        </w:tc>
        <w:tc>
          <w:tcPr>
            <w:tcW w:w="20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 xml:space="preserve">September 30, 2024 </w:t>
            </w:r>
            <w:r>
              <w:rPr>
                <w:rFonts w:ascii="Times New Roman" w:cs="Times New Roman" w:eastAsia="Times New Roman" w:hAnsi="Times New Roman"/>
                <w:sz w:val="16"/>
                <w:szCs w:val="16"/>
                <w:b w:val="1"/>
                <w:bCs w:val="1"/>
                <w:color w:val="auto"/>
                <w:vertAlign w:val="superscript"/>
              </w:rPr>
              <w:t>(1)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Short-Term U.S. Government Securities</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Products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Auto Sector</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Environmental Services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Personal, Food and Miscellaneous Services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Manufacturing/Basic Industry</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Government Services</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Buildings and Real Estate</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Conglomerate Manufacturing</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Diversified Conglomerate Service</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Building Materials</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tcPr>
          <w:p>
            <w:pPr>
              <w:spacing w:after="0"/>
              <w:rPr>
                <w:sz w:val="14"/>
                <w:szCs w:val="14"/>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8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Consumer Services</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Electronics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Event Services</w:t>
            </w: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shd w:val="clear" w:color="auto" w:fill="CCECFF"/>
          </w:tcPr>
          <w:p>
            <w:pPr>
              <w:spacing w:after="0"/>
              <w:rPr>
                <w:sz w:val="13"/>
                <w:szCs w:val="13"/>
                <w:color w:val="auto"/>
              </w:rPr>
            </w:pPr>
          </w:p>
        </w:tc>
        <w:tc>
          <w:tcPr>
            <w:tcW w:w="2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CFF"/>
            </w:tcBorders>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202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420" w:type="dxa"/>
            <w:vAlign w:val="bottom"/>
            <w:tcBorders>
              <w:bottom w:val="single" w:sz="8" w:color="CCECFF"/>
            </w:tcBorders>
            <w:shd w:val="clear" w:color="auto" w:fill="CCECFF"/>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2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260" w:type="dxa"/>
            <w:vAlign w:val="bottom"/>
            <w:tcBorders>
              <w:bottom w:val="single" w:sz="8" w:color="CCECFF"/>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Excludes investments in PSLF.</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4" w:name="page35"/>
    <w:bookmarkEnd w:id="34"/>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as a Delaware limited liability company. PSLF invests primarily in middle-market and other corporate debt securities consistent with its strategy. As of December 31, 2024 and September 30, 2024, PSLF had total assets of $1,397.0 million and $1,073.4 million, respectively and its investment portfolio consisted of debt investments in 112 and 102 portfolio companies, respectively. As of the December 31, 2024, we and Pantheon had remaining commitments to fund subordinated notes of $16.3 million and $ 23.3 million, respectively, and equity interest of $10.0 million and $14.2 million, respectively, in PSLF. As of September 30, 2024, we and Pantheon had remaining commitments to fund subordinated notes of $32.6 million and $46.5 million, respectively, and equity interests of $19.9 million and $28.5 million, respectively, in PSLF. As of December 31, 2024, at fair value, the largest investment in a single portfolio company in PSLF was $31.0 million and the five largest investments totaled $129.9 million. As of September 30, 2024, at fair value, the largest investment in a single portfolio company in PSLF was $25.1 million and the five largest investments totaled $109.9 million. PSLF invests in portfolio companies in the same industries in which we may directly invest.</w:t>
      </w:r>
    </w:p>
    <w:p>
      <w:pPr>
        <w:spacing w:after="0" w:line="132"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December 31, 2024, we and Pantheon owned 57.1% and 42.9%, respectively, of each of the outstanding subordinated notes and equity interests of PSLF. As of September 30, 2024, we and Pantheon owned 60.5% and 39.5%, respectively, of each of the outstnading subordinated notes and equity interest of PSLF. As of December 31, 2024, our investment in PSLF consisted of subordinated notes of $132.2 million and equity interests of $77.4 million, respectively. As of September 30, 2024, our investment in PSLF consisted of subordinated notes of $115.9 million and equity interests of $67.4 million respectively.</w:t>
      </w:r>
    </w:p>
    <w:p>
      <w:pPr>
        <w:spacing w:after="0" w:line="127"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being entitled to cast two votes on each matter; and (iii) the presence of four members of the Member Designees’ Committee constitute a quorum, provided that the two individuals are present that were elected, designated or appointed by each of us and Pantheon.</w:t>
      </w:r>
    </w:p>
    <w:p>
      <w:pPr>
        <w:spacing w:after="0" w:line="132"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Additionally, PSLF, through its wholly-owned subsidiary, has entered into a $400.0 million (increased from $325.0 million in August 2024) senior secured revolving credit facility, with BNP Paribas, which bears interest at SOFR (or an alternative risk-free interest rate index) plus 225 basis points during the investment period and is subject to leverage and borrowing base restrictions.</w:t>
      </w:r>
    </w:p>
    <w:p>
      <w:pPr>
        <w:spacing w:after="0" w:line="112"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December 31, 2024 and September 30, 2024 there were $246.0 million and $246.0 million, respectively, of external 2034 Asset-Back Debt.</w:t>
      </w:r>
    </w:p>
    <w:p>
      <w:pPr>
        <w:spacing w:after="0" w:line="132"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On July 26, 2023, CLO VII , LLC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$ 151.0 million Class A-1a Notes maturing 2035, which bear interest at the three-month SOFR plus 2.7%, (ii) $20.0 million Class A-1b Loans 2035, which bear interest at 6.5%, (iii) $12.0 million Class A-2 Senior Secured Floating Rate Notes due 2035, which bear interest at the three-month SOFR plus 3.2%, (iv) $ 21.0 million Class B Senior Secured Floating Rate Notes due 2035, which bear interest at the three-month SOFR plus 4.1%, (v) $24.0 million Class C Secured Deferrable Floating Rate Notes due 2035, which bear interest at the three-month SOFR plus 4.7%, and (vi)</w:t>
      </w:r>
    </w:p>
    <w:p>
      <w:pPr>
        <w:ind w:right="400"/>
        <w:spacing w:after="0" w:line="263" w:lineRule="auto"/>
        <w:rPr>
          <w:sz w:val="20"/>
          <w:szCs w:val="20"/>
          <w:color w:val="auto"/>
        </w:rPr>
      </w:pPr>
      <w:r>
        <w:rPr>
          <w:rFonts w:ascii="Times New Roman" w:cs="Times New Roman" w:eastAsia="Times New Roman" w:hAnsi="Times New Roman"/>
          <w:sz w:val="13"/>
          <w:szCs w:val="13"/>
          <w:color w:val="auto"/>
        </w:rPr>
        <w:t>$18.0 million Class D Secured Deferrable Floating Rate Notes due 2035, which bear interest at the three-month SOFR plus 7.0%. As of December 31, 2024 and September 30, 2024, there were $246.0 million and $246.0 million, repectively, of external 2035 Asset-Backed Debt.</w:t>
      </w:r>
    </w:p>
    <w:p>
      <w:pPr>
        <w:spacing w:after="0" w:line="12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On December 23, 2024, PennantPark CLO X, LLC ("CLO X”) completed a $ 400.5 million debt securitization in the form of a collateralized loan obligation (the "2037 Debt Securitization" or "2037 Asset-Backed Debt"). The 2037 Asset-Backed Debt is secured by a diversified portfolio consisting primarily of middle market loans. The 2037 Debt Securitization was executed through a private placement of: (i) $158.0 million Class A-1 Notes maturing 2037, which bear interest at the three-month SOFR plus 1.59%, (ii) $30.0 million Class A- 1A Loans maturing 2037, which bear interest at the three-month SOFR plus 1.59%, (iii) $40.0 million Class A- 1W Loans maturing 2037, which bear interest at the three-month SOFR plus 1.59%, (iv) $16.0 million Class A-2W Loans due 2037, which bear interest at the three-month SOFR plus 1.75%, (v) $ 28.0 million Class B Notes due 2037, which bear interest at the three-month SOFR plus 1.85%, (vi) $32.0 million Class C Notes due 2037, which bear interest at the three-month SOFR plus 2.40%., (vii) $24.0 million Class D Notes due 2037, which bear interest at the three-month SOFR plus 3.85%. As of December 31, 2024, there was $328 million of external 2037 Asset-Backed Debt.</w:t>
      </w:r>
    </w:p>
    <w:p>
      <w:pPr>
        <w:spacing w:after="0" w:line="132"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On August 28, 2024, PSLF entered into an amendment (the “Amendment”) to PSLF’s limited liability company agreement (the “LLC Agreement”). The Amendment amended the term of PSLF, which would have otherwise expired on January 31, 2025, to be indefinite, subject to the other terms of dissolution, wind down and termination in the LLC Agreement. The Amendment also modified the LLC Agreement to permit any member of PSLF (each, a “PSLF Member”) to request to redeem its interests in PSLF (in minimum tranches of 25% of the interests then-owned by such PSFL Member) at any time. Under the Amendment, if a PSLF Member makes a redemption request, PSLF will be required to use commercially reasonable efforts to redeem any such PSFL Member’s interests within 18 months and, in any event, within three years from the date of such redemption request, subject to customary limitations with respect to the liquidity of PSLF and the requirement that the Company’s proportionate share or ownership of PSLF not exceed 87.5%.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060" w:type="dxa"/>
            <w:vAlign w:val="bottom"/>
          </w:tcPr>
          <w:p>
            <w:pPr>
              <w:spacing w:after="0"/>
              <w:rPr>
                <w:sz w:val="14"/>
                <w:szCs w:val="14"/>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0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1,275,076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1,031,225</w:t>
            </w:r>
          </w:p>
        </w:tc>
        <w:tc>
          <w:tcPr>
            <w:tcW w:w="20" w:type="dxa"/>
            <w:vAlign w:val="bottom"/>
          </w:tcPr>
          <w:p>
            <w:pPr>
              <w:spacing w:after="0"/>
              <w:rPr>
                <w:sz w:val="13"/>
                <w:szCs w:val="13"/>
                <w:color w:val="auto"/>
              </w:rPr>
            </w:pPr>
          </w:p>
        </w:tc>
      </w:tr>
      <w:tr>
        <w:trPr>
          <w:trHeight w:val="156"/>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06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10.7%</w:t>
            </w:r>
          </w:p>
        </w:tc>
        <w:tc>
          <w:tcPr>
            <w:tcW w:w="2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 w:type="dxa"/>
            <w:vAlign w:val="bottom"/>
          </w:tcPr>
          <w:p>
            <w:pPr>
              <w:spacing w:after="0"/>
              <w:rPr>
                <w:sz w:val="13"/>
                <w:szCs w:val="13"/>
                <w:color w:val="auto"/>
              </w:rPr>
            </w:pPr>
          </w:p>
        </w:tc>
      </w:tr>
      <w:tr>
        <w:trPr>
          <w:trHeight w:val="156"/>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2060" w:type="dxa"/>
            <w:vAlign w:val="bottom"/>
            <w:shd w:val="clear" w:color="auto" w:fill="CCECFF"/>
          </w:tcPr>
          <w:p>
            <w:pPr>
              <w:spacing w:after="0"/>
              <w:rPr>
                <w:sz w:val="13"/>
                <w:szCs w:val="13"/>
                <w:color w:val="auto"/>
              </w:rPr>
            </w:pP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shd w:val="clear" w:color="auto" w:fill="CCECFF"/>
          </w:tcPr>
          <w:p>
            <w:pPr>
              <w:spacing w:after="0"/>
              <w:rPr>
                <w:sz w:val="13"/>
                <w:szCs w:val="13"/>
                <w:color w:val="auto"/>
              </w:rPr>
            </w:pPr>
          </w:p>
        </w:tc>
        <w:tc>
          <w:tcPr>
            <w:tcW w:w="14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102</w:t>
            </w:r>
          </w:p>
        </w:tc>
        <w:tc>
          <w:tcPr>
            <w:tcW w:w="20" w:type="dxa"/>
            <w:vAlign w:val="bottom"/>
          </w:tcPr>
          <w:p>
            <w:pPr>
              <w:spacing w:after="0"/>
              <w:rPr>
                <w:sz w:val="13"/>
                <w:szCs w:val="13"/>
                <w:color w:val="auto"/>
              </w:rPr>
            </w:pPr>
          </w:p>
        </w:tc>
      </w:tr>
      <w:tr>
        <w:trPr>
          <w:trHeight w:val="156"/>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31,035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25,073</w:t>
            </w:r>
          </w:p>
        </w:tc>
        <w:tc>
          <w:tcPr>
            <w:tcW w:w="20" w:type="dxa"/>
            <w:vAlign w:val="bottom"/>
          </w:tcPr>
          <w:p>
            <w:pPr>
              <w:spacing w:after="0"/>
              <w:rPr>
                <w:sz w:val="13"/>
                <w:szCs w:val="13"/>
                <w:color w:val="auto"/>
              </w:rPr>
            </w:pPr>
          </w:p>
        </w:tc>
      </w:tr>
      <w:tr>
        <w:trPr>
          <w:trHeight w:val="156"/>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2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129,894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109,927</w:t>
            </w:r>
          </w:p>
        </w:tc>
        <w:tc>
          <w:tcPr>
            <w:tcW w:w="20" w:type="dxa"/>
            <w:vAlign w:val="bottom"/>
          </w:tcPr>
          <w:p>
            <w:pPr>
              <w:spacing w:after="0"/>
              <w:rPr>
                <w:sz w:val="13"/>
                <w:szCs w:val="13"/>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4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98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December 31, 2024 ($ in thousands)</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60" w:type="dxa"/>
            <w:vAlign w:val="bottom"/>
          </w:tcPr>
          <w:p>
            <w:pPr>
              <w:jc w:val="center"/>
              <w:ind w:left="3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40" w:type="dxa"/>
            <w:vAlign w:val="bottom"/>
          </w:tcPr>
          <w:p>
            <w:pPr>
              <w:jc w:val="center"/>
              <w:ind w:right="31"/>
              <w:spacing w:after="0" w:line="145" w:lineRule="exact"/>
              <w:rPr>
                <w:sz w:val="20"/>
                <w:szCs w:val="20"/>
                <w:color w:val="auto"/>
              </w:rPr>
            </w:pPr>
            <w:r>
              <w:rPr>
                <w:rFonts w:ascii="Times New Roman" w:cs="Times New Roman" w:eastAsia="Times New Roman" w:hAnsi="Times New Roman"/>
                <w:sz w:val="13"/>
                <w:szCs w:val="13"/>
                <w:b w:val="1"/>
                <w:bCs w:val="1"/>
                <w:color w:val="auto"/>
              </w:rPr>
              <w:t>Spread Above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w:t>
            </w:r>
          </w:p>
        </w:tc>
        <w:tc>
          <w:tcPr>
            <w:tcW w:w="980" w:type="dxa"/>
            <w:vAlign w:val="bottom"/>
          </w:tcPr>
          <w:p>
            <w:pPr>
              <w:jc w:val="center"/>
              <w:ind w:left="92"/>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4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8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40" w:type="dxa"/>
            <w:vAlign w:val="bottom"/>
          </w:tcPr>
          <w:p>
            <w:pPr>
              <w:jc w:val="center"/>
              <w:ind w:right="11"/>
              <w:spacing w:after="0" w:line="179"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Par</w:t>
            </w:r>
          </w:p>
        </w:tc>
        <w:tc>
          <w:tcPr>
            <w:tcW w:w="220" w:type="dxa"/>
            <w:vAlign w:val="bottom"/>
          </w:tcPr>
          <w:p>
            <w:pPr>
              <w:spacing w:after="0"/>
              <w:rPr>
                <w:sz w:val="15"/>
                <w:szCs w:val="15"/>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1000" w:type="dxa"/>
            <w:vAlign w:val="bottom"/>
          </w:tcPr>
          <w:p>
            <w:pPr>
              <w:jc w:val="right"/>
              <w:ind w:right="172"/>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- 955.1%</w:t>
            </w:r>
          </w:p>
        </w:tc>
        <w:tc>
          <w:tcPr>
            <w:tcW w:w="9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12/22/28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9.11%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SOFR+475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20,032</w:t>
            </w:r>
          </w:p>
        </w:tc>
        <w:tc>
          <w:tcPr>
            <w:tcW w:w="2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19,807</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20,032</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10/02/29</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9.84%</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7,437</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08/01/29</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10.09%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15,312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15,040</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15,465</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04/09/27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10.04%</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16,211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16,063</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16,211</w:t>
            </w:r>
          </w:p>
        </w:tc>
        <w:tc>
          <w:tcPr>
            <w:tcW w:w="0" w:type="dxa"/>
            <w:vAlign w:val="bottom"/>
          </w:tcPr>
          <w:p>
            <w:pPr>
              <w:spacing w:after="0"/>
              <w:rPr>
                <w:sz w:val="1"/>
                <w:szCs w:val="1"/>
                <w:color w:val="auto"/>
              </w:rPr>
            </w:pPr>
          </w:p>
        </w:tc>
      </w:tr>
      <w:tr>
        <w:trPr>
          <w:trHeight w:val="18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05/07/26</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SOFR+626</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4,825</w:t>
            </w:r>
          </w:p>
        </w:tc>
        <w:tc>
          <w:tcPr>
            <w:tcW w:w="220" w:type="dxa"/>
            <w:vAlign w:val="bottom"/>
            <w:shd w:val="clear" w:color="auto" w:fill="CCECFF"/>
          </w:tcPr>
          <w:p>
            <w:pPr>
              <w:spacing w:after="0"/>
              <w:rPr>
                <w:sz w:val="15"/>
                <w:szCs w:val="15"/>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4,825</w:t>
            </w:r>
          </w:p>
        </w:tc>
        <w:tc>
          <w:tcPr>
            <w:tcW w:w="200" w:type="dxa"/>
            <w:vAlign w:val="bottom"/>
            <w:shd w:val="clear" w:color="auto" w:fill="CCECFF"/>
          </w:tcPr>
          <w:p>
            <w:pPr>
              <w:spacing w:after="0"/>
              <w:rPr>
                <w:sz w:val="15"/>
                <w:szCs w:val="15"/>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4,825</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Aechelon Technology</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08/16/29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11.86%</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4,852</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4,950</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8"/>
              </w:rPr>
              <w:t>10.65% (PIK</w:t>
            </w: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9"/>
              </w:rPr>
              <w:t>8.4%)</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SOFR+610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14,455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13,631</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06/10/25</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10.75%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13,752</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13,639</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06/30/26</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SOFR+590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14,495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14,426</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14,495</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12/29/26</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10.24%</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SOFR+590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15,660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15,531</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15,467</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08/28/29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10.09%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12,130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11,984</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12,009</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09/13/29</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10.15%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14,821</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14,813</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06/21/29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9.83%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18,945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18,683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18,661</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07/01/29</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14,663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14,456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14,259</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02/28/30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10.11%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6,572</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6,678</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01/31/28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11.03%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8,776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8,754</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09/17/26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9.73%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25,441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25,103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25,005</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10/31/25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10.39%</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20,776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20,709</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20,672</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07/25/29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9.68%</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SOFR+535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6,234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5,935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5,521</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C5MI Acquisition,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07/31/29</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7,481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7,378</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08/20/26</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10.72%</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SOFR+600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9,192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9,085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9,054</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9.58%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11,456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11,346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11,284</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02/07/30</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8"/>
              </w:rPr>
              <w:t>Education</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9.86%</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22,828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22,500</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22,485</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06/14/28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22,050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21,840</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22,050</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Case Works,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10/01/29</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9.59%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10,515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10,431</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10,430</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02/09/26</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9.95%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SOFR+545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936</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11.86%</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1,965</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07/13/27</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10.39%</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SOFR+561</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8,693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8,677</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8,693</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08/16/27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10.22%</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SOFR+586</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5,314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5,276</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5,274</w:t>
            </w:r>
          </w:p>
        </w:tc>
        <w:tc>
          <w:tcPr>
            <w:tcW w:w="0" w:type="dxa"/>
            <w:vAlign w:val="bottom"/>
          </w:tcPr>
          <w:p>
            <w:pPr>
              <w:spacing w:after="0"/>
              <w:rPr>
                <w:sz w:val="1"/>
                <w:szCs w:val="1"/>
                <w:color w:val="auto"/>
              </w:rPr>
            </w:pPr>
          </w:p>
        </w:tc>
      </w:tr>
      <w:tr>
        <w:trPr>
          <w:trHeight w:val="124"/>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80" w:type="dxa"/>
            <w:vAlign w:val="bottom"/>
            <w:vMerge w:val="restart"/>
          </w:tcPr>
          <w:p>
            <w:pPr>
              <w:jc w:val="center"/>
              <w:ind w:left="112"/>
              <w:spacing w:after="0"/>
              <w:rPr>
                <w:sz w:val="20"/>
                <w:szCs w:val="20"/>
                <w:color w:val="auto"/>
              </w:rPr>
            </w:pPr>
            <w:r>
              <w:rPr>
                <w:rFonts w:ascii="Times New Roman" w:cs="Times New Roman" w:eastAsia="Times New Roman" w:hAnsi="Times New Roman"/>
                <w:sz w:val="10"/>
                <w:szCs w:val="10"/>
                <w:color w:val="auto"/>
                <w:w w:val="95"/>
              </w:rPr>
              <w:t>08/31/27</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860" w:type="dxa"/>
            <w:vAlign w:val="bottom"/>
            <w:vMerge w:val="restart"/>
          </w:tcPr>
          <w:p>
            <w:pPr>
              <w:jc w:val="center"/>
              <w:ind w:left="11"/>
              <w:spacing w:after="0"/>
              <w:rPr>
                <w:sz w:val="20"/>
                <w:szCs w:val="20"/>
                <w:color w:val="auto"/>
              </w:rPr>
            </w:pPr>
            <w:r>
              <w:rPr>
                <w:rFonts w:ascii="Times New Roman" w:cs="Times New Roman" w:eastAsia="Times New Roman" w:hAnsi="Times New Roman"/>
                <w:sz w:val="10"/>
                <w:szCs w:val="10"/>
                <w:color w:val="auto"/>
                <w:w w:val="92"/>
              </w:rPr>
              <w:t>9.77%</w:t>
            </w:r>
          </w:p>
        </w:tc>
        <w:tc>
          <w:tcPr>
            <w:tcW w:w="104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SOFR+535</w:t>
            </w: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31,035</w:t>
            </w:r>
          </w:p>
        </w:tc>
        <w:tc>
          <w:tcPr>
            <w:tcW w:w="220" w:type="dxa"/>
            <w:vAlign w:val="bottom"/>
          </w:tcPr>
          <w:p>
            <w:pPr>
              <w:spacing w:after="0"/>
              <w:rPr>
                <w:sz w:val="10"/>
                <w:szCs w:val="10"/>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30,897</w:t>
            </w:r>
          </w:p>
        </w:tc>
        <w:tc>
          <w:tcPr>
            <w:tcW w:w="200" w:type="dxa"/>
            <w:vAlign w:val="bottom"/>
          </w:tcPr>
          <w:p>
            <w:pPr>
              <w:spacing w:after="0"/>
              <w:rPr>
                <w:sz w:val="10"/>
                <w:szCs w:val="10"/>
                <w:color w:val="auto"/>
              </w:rPr>
            </w:pPr>
          </w:p>
        </w:tc>
        <w:tc>
          <w:tcPr>
            <w:tcW w:w="10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31,035</w:t>
            </w:r>
          </w:p>
        </w:tc>
        <w:tc>
          <w:tcPr>
            <w:tcW w:w="0" w:type="dxa"/>
            <w:vAlign w:val="bottom"/>
          </w:tcPr>
          <w:p>
            <w:pPr>
              <w:spacing w:after="0"/>
              <w:rPr>
                <w:sz w:val="1"/>
                <w:szCs w:val="1"/>
                <w:color w:val="auto"/>
              </w:rPr>
            </w:pPr>
          </w:p>
        </w:tc>
      </w:tr>
      <w:tr>
        <w:trPr>
          <w:trHeight w:val="104"/>
        </w:trPr>
        <w:tc>
          <w:tcPr>
            <w:tcW w:w="28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1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12/21/28</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9.71%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SOFR+535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5,815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5,428</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5,640</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11/03/25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10.71%</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SOFR+635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13,666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13,644</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13,611</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Acquisition,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09/30/30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9.08%</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SOFR+475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4,954</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4,950</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07/15/28</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9.79%</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1,478</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1,584</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10/15/28</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9,037</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01/10/29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23,346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23,039</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23,171</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05/29/29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11.01%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12,029</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10/18/27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10.13%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6,000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5,960</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5,955</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05/10/30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10.11%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7,377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7,277</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7,304</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03/15/27</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10.92%</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SOFR+635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9,626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9,538</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9,626</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06/17/28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9.57%</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SOFR+450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02/23/28</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11.55%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SOFR+710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4,207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4,147</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4,176</w:t>
            </w:r>
          </w:p>
        </w:tc>
        <w:tc>
          <w:tcPr>
            <w:tcW w:w="0" w:type="dxa"/>
            <w:vAlign w:val="bottom"/>
          </w:tcPr>
          <w:p>
            <w:pPr>
              <w:spacing w:after="0"/>
              <w:rPr>
                <w:sz w:val="1"/>
                <w:szCs w:val="1"/>
                <w:color w:val="auto"/>
              </w:rPr>
            </w:pPr>
          </w:p>
        </w:tc>
      </w:tr>
      <w:tr>
        <w:trPr>
          <w:trHeight w:val="121"/>
        </w:trPr>
        <w:tc>
          <w:tcPr>
            <w:tcW w:w="2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8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6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8,978</w:t>
            </w:r>
          </w:p>
        </w:tc>
        <w:tc>
          <w:tcPr>
            <w:tcW w:w="220" w:type="dxa"/>
            <w:vAlign w:val="bottom"/>
            <w:shd w:val="clear" w:color="auto" w:fill="CCECFF"/>
          </w:tcPr>
          <w:p>
            <w:pPr>
              <w:spacing w:after="0"/>
              <w:rPr>
                <w:sz w:val="10"/>
                <w:szCs w:val="10"/>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8,891</w:t>
            </w:r>
          </w:p>
        </w:tc>
        <w:tc>
          <w:tcPr>
            <w:tcW w:w="200" w:type="dxa"/>
            <w:vAlign w:val="bottom"/>
            <w:shd w:val="clear" w:color="auto" w:fill="CCECFF"/>
          </w:tcPr>
          <w:p>
            <w:pPr>
              <w:spacing w:after="0"/>
              <w:rPr>
                <w:sz w:val="10"/>
                <w:szCs w:val="10"/>
                <w:color w:val="auto"/>
              </w:rPr>
            </w:pPr>
          </w:p>
        </w:tc>
        <w:tc>
          <w:tcPr>
            <w:tcW w:w="10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8,888</w:t>
            </w:r>
          </w:p>
        </w:tc>
        <w:tc>
          <w:tcPr>
            <w:tcW w:w="0" w:type="dxa"/>
            <w:vAlign w:val="bottom"/>
          </w:tcPr>
          <w:p>
            <w:pPr>
              <w:spacing w:after="0"/>
              <w:rPr>
                <w:sz w:val="1"/>
                <w:szCs w:val="1"/>
                <w:color w:val="auto"/>
              </w:rPr>
            </w:pPr>
          </w:p>
        </w:tc>
      </w:tr>
      <w:tr>
        <w:trPr>
          <w:trHeight w:val="100"/>
        </w:trPr>
        <w:tc>
          <w:tcPr>
            <w:tcW w:w="2860" w:type="dxa"/>
            <w:vAlign w:val="bottom"/>
            <w:tcBorders>
              <w:bottom w:val="single" w:sz="8" w:color="CCECFF"/>
            </w:tcBorders>
            <w:shd w:val="clear" w:color="auto" w:fill="CCECFF"/>
          </w:tcPr>
          <w:p>
            <w:pPr>
              <w:ind w:left="20"/>
              <w:spacing w:after="0" w:line="100" w:lineRule="exact"/>
              <w:rPr>
                <w:sz w:val="20"/>
                <w:szCs w:val="20"/>
                <w:color w:val="auto"/>
              </w:rPr>
            </w:pPr>
            <w:r>
              <w:rPr>
                <w:rFonts w:ascii="Times New Roman" w:cs="Times New Roman" w:eastAsia="Times New Roman" w:hAnsi="Times New Roman"/>
                <w:sz w:val="10"/>
                <w:szCs w:val="10"/>
                <w:color w:val="auto"/>
              </w:rPr>
              <w:t>GGG Midco, LLC</w:t>
            </w:r>
          </w:p>
        </w:tc>
        <w:tc>
          <w:tcPr>
            <w:tcW w:w="980" w:type="dxa"/>
            <w:vAlign w:val="bottom"/>
            <w:tcBorders>
              <w:bottom w:val="single" w:sz="8" w:color="CCECFF"/>
            </w:tcBorders>
            <w:shd w:val="clear" w:color="auto" w:fill="CCECFF"/>
          </w:tcPr>
          <w:p>
            <w:pPr>
              <w:jc w:val="center"/>
              <w:ind w:left="112"/>
              <w:spacing w:after="0" w:line="100" w:lineRule="exact"/>
              <w:rPr>
                <w:sz w:val="20"/>
                <w:szCs w:val="20"/>
                <w:color w:val="auto"/>
              </w:rPr>
            </w:pPr>
            <w:r>
              <w:rPr>
                <w:rFonts w:ascii="Times New Roman" w:cs="Times New Roman" w:eastAsia="Times New Roman" w:hAnsi="Times New Roman"/>
                <w:sz w:val="10"/>
                <w:szCs w:val="10"/>
                <w:color w:val="auto"/>
                <w:w w:val="95"/>
              </w:rPr>
              <w:t>09/27/30</w:t>
            </w:r>
          </w:p>
        </w:tc>
        <w:tc>
          <w:tcPr>
            <w:tcW w:w="2140" w:type="dxa"/>
            <w:vAlign w:val="bottom"/>
            <w:tcBorders>
              <w:bottom w:val="single" w:sz="8" w:color="CCECFF"/>
            </w:tcBorders>
            <w:shd w:val="clear" w:color="auto" w:fill="CCECFF"/>
          </w:tcPr>
          <w:p>
            <w:pPr>
              <w:jc w:val="center"/>
              <w:spacing w:after="0" w:line="100" w:lineRule="exact"/>
              <w:rPr>
                <w:sz w:val="20"/>
                <w:szCs w:val="20"/>
                <w:color w:val="auto"/>
              </w:rPr>
            </w:pPr>
            <w:r>
              <w:rPr>
                <w:rFonts w:ascii="Times New Roman" w:cs="Times New Roman" w:eastAsia="Times New Roman" w:hAnsi="Times New Roman"/>
                <w:sz w:val="10"/>
                <w:szCs w:val="10"/>
                <w:color w:val="auto"/>
                <w:w w:val="97"/>
              </w:rPr>
              <w:t>Durable Consumer Products</w:t>
            </w:r>
          </w:p>
        </w:tc>
        <w:tc>
          <w:tcPr>
            <w:tcW w:w="860" w:type="dxa"/>
            <w:vAlign w:val="bottom"/>
            <w:tcBorders>
              <w:bottom w:val="single" w:sz="8" w:color="CCECFF"/>
            </w:tcBorders>
            <w:shd w:val="clear" w:color="auto" w:fill="CCECFF"/>
          </w:tcPr>
          <w:p>
            <w:pPr>
              <w:jc w:val="center"/>
              <w:ind w:left="11"/>
              <w:spacing w:after="0" w:line="100" w:lineRule="exact"/>
              <w:rPr>
                <w:sz w:val="20"/>
                <w:szCs w:val="20"/>
                <w:color w:val="auto"/>
              </w:rPr>
            </w:pPr>
            <w:r>
              <w:rPr>
                <w:rFonts w:ascii="Times New Roman" w:cs="Times New Roman" w:eastAsia="Times New Roman" w:hAnsi="Times New Roman"/>
                <w:sz w:val="10"/>
                <w:szCs w:val="10"/>
                <w:color w:val="auto"/>
                <w:w w:val="92"/>
              </w:rPr>
              <w:t>9.44%</w:t>
            </w:r>
          </w:p>
        </w:tc>
        <w:tc>
          <w:tcPr>
            <w:tcW w:w="1040" w:type="dxa"/>
            <w:vAlign w:val="bottom"/>
            <w:tcBorders>
              <w:bottom w:val="single" w:sz="8" w:color="CCECFF"/>
            </w:tcBorders>
            <w:shd w:val="clear" w:color="auto" w:fill="CCECFF"/>
          </w:tcPr>
          <w:p>
            <w:pPr>
              <w:jc w:val="center"/>
              <w:ind w:right="31"/>
              <w:spacing w:after="0" w:line="100" w:lineRule="exact"/>
              <w:rPr>
                <w:sz w:val="20"/>
                <w:szCs w:val="20"/>
                <w:color w:val="auto"/>
              </w:rPr>
            </w:pPr>
            <w:r>
              <w:rPr>
                <w:rFonts w:ascii="Times New Roman" w:cs="Times New Roman" w:eastAsia="Times New Roman" w:hAnsi="Times New Roman"/>
                <w:sz w:val="10"/>
                <w:szCs w:val="10"/>
                <w:color w:val="auto"/>
                <w:w w:val="96"/>
              </w:rPr>
              <w:t>SOFR+500</w:t>
            </w:r>
          </w:p>
        </w:tc>
        <w:tc>
          <w:tcPr>
            <w:tcW w:w="680" w:type="dxa"/>
            <w:vAlign w:val="bottom"/>
            <w:tcBorders>
              <w:bottom w:val="single" w:sz="8" w:color="CCECFF"/>
            </w:tcBorders>
            <w:vMerge w:val="continue"/>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vMerge w:val="continue"/>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1000" w:type="dxa"/>
            <w:vAlign w:val="bottom"/>
            <w:tcBorders>
              <w:bottom w:val="single" w:sz="8" w:color="CCECFF"/>
            </w:tcBorders>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03/16/26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9.98%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6,797</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6,536</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08/10/27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10.04%</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3,989</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3,947</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3,930</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06/17/29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9.75%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7,960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7,873</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7,928</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12/17/26</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 (PIK 4.0%)</w:t>
            </w: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15,299</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15,191</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13,998</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05/10/26</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10.43%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SOFR+590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23,355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23,229</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23,355</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12/31/26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9.93%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Harris &amp; Co.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08/09/30</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9.36%</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10,911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10,774</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10,911</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11/08/29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10.40%</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SOFR+600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14,073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14,113</w:t>
            </w:r>
          </w:p>
        </w:tc>
        <w:tc>
          <w:tcPr>
            <w:tcW w:w="0" w:type="dxa"/>
            <w:vAlign w:val="bottom"/>
          </w:tcPr>
          <w:p>
            <w:pPr>
              <w:spacing w:after="0"/>
              <w:rPr>
                <w:sz w:val="1"/>
                <w:szCs w:val="1"/>
                <w:color w:val="auto"/>
              </w:rPr>
            </w:pPr>
          </w:p>
        </w:tc>
      </w:tr>
      <w:tr>
        <w:trPr>
          <w:trHeight w:val="124"/>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80" w:type="dxa"/>
            <w:vAlign w:val="bottom"/>
            <w:vMerge w:val="restart"/>
          </w:tcPr>
          <w:p>
            <w:pPr>
              <w:jc w:val="center"/>
              <w:ind w:left="112"/>
              <w:spacing w:after="0"/>
              <w:rPr>
                <w:sz w:val="20"/>
                <w:szCs w:val="20"/>
                <w:color w:val="auto"/>
              </w:rPr>
            </w:pPr>
            <w:r>
              <w:rPr>
                <w:rFonts w:ascii="Times New Roman" w:cs="Times New Roman" w:eastAsia="Times New Roman" w:hAnsi="Times New Roman"/>
                <w:sz w:val="10"/>
                <w:szCs w:val="10"/>
                <w:color w:val="auto"/>
                <w:w w:val="95"/>
              </w:rPr>
              <w:t>09/22/28</w:t>
            </w:r>
          </w:p>
        </w:tc>
        <w:tc>
          <w:tcPr>
            <w:tcW w:w="2140" w:type="dxa"/>
            <w:vAlign w:val="bottom"/>
            <w:vMerge w:val="restart"/>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vMerge w:val="restart"/>
          </w:tcPr>
          <w:p>
            <w:pPr>
              <w:jc w:val="center"/>
              <w:ind w:left="11"/>
              <w:spacing w:after="0"/>
              <w:rPr>
                <w:sz w:val="20"/>
                <w:szCs w:val="20"/>
                <w:color w:val="auto"/>
              </w:rPr>
            </w:pPr>
            <w:r>
              <w:rPr>
                <w:rFonts w:ascii="Times New Roman" w:cs="Times New Roman" w:eastAsia="Times New Roman" w:hAnsi="Times New Roman"/>
                <w:sz w:val="10"/>
                <w:szCs w:val="10"/>
                <w:color w:val="auto"/>
                <w:w w:val="92"/>
              </w:rPr>
              <w:t>9.57%</w:t>
            </w:r>
          </w:p>
        </w:tc>
        <w:tc>
          <w:tcPr>
            <w:tcW w:w="104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4,327</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4,350</w:t>
            </w:r>
          </w:p>
        </w:tc>
        <w:tc>
          <w:tcPr>
            <w:tcW w:w="0" w:type="dxa"/>
            <w:vAlign w:val="bottom"/>
          </w:tcPr>
          <w:p>
            <w:pPr>
              <w:spacing w:after="0"/>
              <w:rPr>
                <w:sz w:val="1"/>
                <w:szCs w:val="1"/>
                <w:color w:val="auto"/>
              </w:rPr>
            </w:pPr>
          </w:p>
        </w:tc>
      </w:tr>
      <w:tr>
        <w:trPr>
          <w:trHeight w:val="32"/>
        </w:trPr>
        <w:tc>
          <w:tcPr>
            <w:tcW w:w="28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21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11/15/27</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9.59%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SOFR+510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5,431</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12/28/28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9.84%</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13,855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13,706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13,855</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11/01/26</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9.83%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12,992</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13,057</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11.97%</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SOFR+761</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13,068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12,982</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13,068</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11/10/27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10.48%</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SOFR+615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13,552</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10/31/25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SOFR+640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4,599</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4,387</w:t>
            </w:r>
          </w:p>
        </w:tc>
        <w:tc>
          <w:tcPr>
            <w:tcW w:w="0" w:type="dxa"/>
            <w:vAlign w:val="bottom"/>
          </w:tcPr>
          <w:p>
            <w:pPr>
              <w:spacing w:after="0"/>
              <w:rPr>
                <w:sz w:val="1"/>
                <w:szCs w:val="1"/>
                <w:color w:val="auto"/>
              </w:rPr>
            </w:pPr>
          </w:p>
        </w:tc>
      </w:tr>
      <w:tr>
        <w:trPr>
          <w:trHeight w:val="121"/>
        </w:trPr>
        <w:tc>
          <w:tcPr>
            <w:tcW w:w="2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8"/>
              </w:rPr>
              <w:t>12.94% (PIK</w:t>
            </w: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02/18/27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9"/>
              </w:rPr>
              <w:t>5.1%)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SOFR+785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20,714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20,608</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20,403</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02/03/26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9.08%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SOFR+475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20,267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20,143</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20,065</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01/31/30</w:t>
            </w:r>
          </w:p>
        </w:tc>
        <w:tc>
          <w:tcPr>
            <w:tcW w:w="214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9.38%</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7,695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7,595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7,695</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04/01/27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9.93%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8,244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7,900</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7,708</w:t>
            </w: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07/25/28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10.11%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19,931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19,736</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19,736</w:t>
            </w:r>
          </w:p>
        </w:tc>
        <w:tc>
          <w:tcPr>
            <w:tcW w:w="0" w:type="dxa"/>
            <w:vAlign w:val="bottom"/>
          </w:tcPr>
          <w:p>
            <w:pPr>
              <w:spacing w:after="0"/>
              <w:rPr>
                <w:sz w:val="1"/>
                <w:szCs w:val="1"/>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-First out</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11.60%</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SOFR+701</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0" w:type="dxa"/>
            <w:vAlign w:val="bottom"/>
          </w:tcPr>
          <w:p>
            <w:pPr>
              <w:spacing w:after="0"/>
              <w:rPr>
                <w:sz w:val="1"/>
                <w:szCs w:val="1"/>
                <w:color w:val="auto"/>
              </w:rPr>
            </w:pPr>
          </w:p>
        </w:tc>
      </w:tr>
      <w:tr>
        <w:trPr>
          <w:trHeight w:val="121"/>
        </w:trPr>
        <w:tc>
          <w:tcPr>
            <w:tcW w:w="2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8"/>
              </w:rPr>
              <w:t>12.60% (PIK</w:t>
            </w: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-Second out</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6.25%)</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SOFR+801</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340</w:t>
            </w: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8"/>
              </w:rPr>
              <w:t>11.85% (PIK</w:t>
            </w: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-Third out</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9"/>
              </w:rPr>
              <w:t>5.5%)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SOFR+726</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2,134</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717</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2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Pr>
          <w:p>
            <w:pPr>
              <w:jc w:val="center"/>
              <w:ind w:right="3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60" w:type="dxa"/>
            <w:vAlign w:val="bottom"/>
          </w:tcPr>
          <w:p>
            <w:pPr>
              <w:jc w:val="center"/>
              <w:ind w:right="9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8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60" w:type="dxa"/>
            <w:vAlign w:val="bottom"/>
          </w:tcPr>
          <w:p>
            <w:pPr>
              <w:jc w:val="center"/>
              <w:ind w:right="111"/>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Par</w:t>
            </w:r>
          </w:p>
        </w:tc>
        <w:tc>
          <w:tcPr>
            <w:tcW w:w="120" w:type="dxa"/>
            <w:vAlign w:val="bottom"/>
          </w:tcPr>
          <w:p>
            <w:pPr>
              <w:spacing w:after="0"/>
              <w:rPr>
                <w:sz w:val="15"/>
                <w:szCs w:val="15"/>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04/16/27</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10.67%</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SOFR+585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8,309</w:t>
            </w:r>
          </w:p>
        </w:tc>
        <w:tc>
          <w:tcPr>
            <w:tcW w:w="1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8,241</w:t>
            </w:r>
          </w:p>
        </w:tc>
        <w:tc>
          <w:tcPr>
            <w:tcW w:w="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8,317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12/10/27</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9.98%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SOFR+590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2,915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10/20/28</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10.58%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19,750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19,611</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19,750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03/01/30</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9.83%</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7,940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7,836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6,939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Michael Baker International,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12/18/28</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9.11%</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499</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01/16/30</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9.58%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19,850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19,587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19,850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10/01/27</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9"/>
              </w:rPr>
              <w:t>Distribution</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9.48%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9,652</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9,570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9,652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08/19/26</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10.38%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SOFR+585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7,335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7,296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7,335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09/20/30</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9.08%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12,968</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12,915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12,870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08/31/29</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10.68%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SOFR+635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20,244</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19,976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12/29/29</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9.58%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18,127</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17,886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17,991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05/07/27</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Transportation</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10.72%</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SOFR+636</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8,358</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8,250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8,358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02/04/28</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8"/>
              </w:rPr>
              <w:t>Education</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9.71%</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SOFR+535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3,893</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3,815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3,844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03/01/30</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10.08%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5,797</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5,797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8"/>
              </w:rPr>
              <w:t>11.99% (PIK</w:t>
            </w:r>
          </w:p>
        </w:tc>
        <w:tc>
          <w:tcPr>
            <w:tcW w:w="10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11/09/27</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rPr>
              <w:t>Retail</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9"/>
              </w:rPr>
              <w:t>3.5%)</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8,309</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8,226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6,066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10/02/28</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10.53%</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12,870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12,754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09/03/30</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9.47%</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10,000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9,908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9,900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11/19/26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10.43%</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4,736</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4,697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08/15/29</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9.33%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3,990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3,954</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3,970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05/03/29</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10.08%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24,887</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24,489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03/31/25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10.48%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12,530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12,516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12,217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06/30/29</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9.82%</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20,516</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20,450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20,362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01/29/26</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11.48%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9,625</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9,577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9,529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06/21/25</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9.58%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3,921</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06/16/29</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10.05%</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5,462</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5,386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5,381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12/29/26</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7"/>
              </w:rPr>
              <w:t>Electronics</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10.22%</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9,915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9,865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07/07/26</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10.53%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SOFR+620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6,676</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6,637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06/13/29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10.48%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14,663</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14,484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12/18/27</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11.23%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SOFR+690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24,510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24,277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24,388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11/23/28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10.35%</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25,014</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24,746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07/17/25</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3"/>
              </w:rPr>
              <w:t>Communications</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11.74%</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9,223</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03/01/28</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9.49%</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9,485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9,485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STG Distribution, LLC (fka Reception Purchaser) - First Out New</w:t>
            </w:r>
          </w:p>
        </w:tc>
        <w:tc>
          <w:tcPr>
            <w:tcW w:w="10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8"/>
              </w:rPr>
              <w:t>12.91% (PIK</w:t>
            </w:r>
          </w:p>
        </w:tc>
        <w:tc>
          <w:tcPr>
            <w:tcW w:w="10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Money Term Loans</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10/04/29</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Transportation</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9"/>
              </w:rPr>
              <w:t>6.5%)</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SOFR+845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1,878</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1,775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1,859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STG Distribution, LLC (fka Reception Purchaser) - Second Out Term</w:t>
            </w:r>
          </w:p>
        </w:tc>
        <w:tc>
          <w:tcPr>
            <w:tcW w:w="1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8"/>
              </w:rPr>
              <w:t>12.13% (PIK</w:t>
            </w: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Loans</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10/04/29</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Transportation</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9"/>
              </w:rPr>
              <w:t>6.5%)</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SOFR+760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4,368</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11/24/28</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8.76%</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3,545</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2,836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SV- Aero Holdings, LLC (Aeronix)</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11/01/30</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9.58%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15,000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14,850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060" w:type="dxa"/>
            <w:vAlign w:val="bottom"/>
            <w:vMerge w:val="restart"/>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08/16/27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vMerge w:val="restart"/>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9.28%</w:t>
            </w:r>
          </w:p>
        </w:tc>
        <w:tc>
          <w:tcPr>
            <w:tcW w:w="1060" w:type="dxa"/>
            <w:vAlign w:val="bottom"/>
            <w:vMerge w:val="restart"/>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SOFR+500</w:t>
            </w:r>
          </w:p>
        </w:tc>
        <w:tc>
          <w:tcPr>
            <w:tcW w:w="840" w:type="dxa"/>
            <w:vAlign w:val="bottom"/>
            <w:vMerge w:val="restart"/>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17,046</w:t>
            </w:r>
          </w:p>
        </w:tc>
        <w:tc>
          <w:tcPr>
            <w:tcW w:w="120" w:type="dxa"/>
            <w:vAlign w:val="bottom"/>
            <w:shd w:val="clear" w:color="auto" w:fill="CCECFF"/>
          </w:tcPr>
          <w:p>
            <w:pPr>
              <w:spacing w:after="0"/>
              <w:rPr>
                <w:sz w:val="10"/>
                <w:szCs w:val="10"/>
                <w:color w:val="auto"/>
              </w:rPr>
            </w:pPr>
          </w:p>
        </w:tc>
        <w:tc>
          <w:tcPr>
            <w:tcW w:w="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16,901</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17,063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060" w:type="dxa"/>
            <w:vAlign w:val="bottom"/>
            <w:vMerge w:val="continue"/>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840" w:type="dxa"/>
            <w:vAlign w:val="bottom"/>
            <w:vMerge w:val="continue"/>
            <w:shd w:val="clear" w:color="auto" w:fill="CCECFF"/>
          </w:tcPr>
          <w:p>
            <w:pPr>
              <w:spacing w:after="0"/>
              <w:rPr>
                <w:sz w:val="10"/>
                <w:szCs w:val="10"/>
                <w:color w:val="auto"/>
              </w:rPr>
            </w:pPr>
          </w:p>
        </w:tc>
        <w:tc>
          <w:tcPr>
            <w:tcW w:w="1060" w:type="dxa"/>
            <w:vAlign w:val="bottom"/>
            <w:vMerge w:val="continue"/>
            <w:shd w:val="clear" w:color="auto" w:fill="CCECFF"/>
          </w:tcPr>
          <w:p>
            <w:pPr>
              <w:spacing w:after="0"/>
              <w:rPr>
                <w:sz w:val="10"/>
                <w:szCs w:val="10"/>
                <w:color w:val="auto"/>
              </w:rPr>
            </w:pPr>
          </w:p>
        </w:tc>
        <w:tc>
          <w:tcPr>
            <w:tcW w:w="84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vMerge w:val="continue"/>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01/23/29</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10.83%</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9,925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9,781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11/24/25</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7"/>
              </w:rPr>
              <w:t>Food</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10.49%</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SOFR+565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11,363</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11,312</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11,363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06/06/25</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8"/>
              </w:rPr>
              <w:t>Education</w:t>
            </w: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7"/>
              </w:rPr>
              <w:t>10.80%</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SOFR+640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2,162</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11/24/28</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9.57%</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SOFR+510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9,654</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9,455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9,670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03/13/31</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9.11%</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2,978</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07/27/26</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10.98%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SOFR+665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17,411</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17,326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17,411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08/31/27</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9.52%</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14,592</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14,387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12/29/28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9.78%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18,428</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18,231</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18,428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04/03/28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9.49%</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SOFR+490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11,313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06/15/26</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2"/>
              </w:rPr>
              <w:t>9.83%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10,976</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10,899</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 Fertility Enterprises,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10/07/31</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2"/>
              </w:rPr>
              <w:t>9.16%</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5,000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12/01/29</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7"/>
              </w:rPr>
              <w:t>10.33%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21,190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20,960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21,190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8"/>
              </w:rPr>
              <w:t>11.91% (PIK</w:t>
            </w: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02/01/25</w:t>
            </w:r>
          </w:p>
        </w:tc>
        <w:tc>
          <w:tcPr>
            <w:tcW w:w="20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3"/>
              </w:rPr>
              <w:t>11.91%)</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SOFR+740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20,308</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20,302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6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1,279,715</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1,272,501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- 1.9%</w:t>
            </w:r>
          </w:p>
        </w:tc>
        <w:tc>
          <w:tcPr>
            <w:tcW w:w="1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w:t>
            </w:r>
          </w:p>
        </w:tc>
        <w:tc>
          <w:tcPr>
            <w:tcW w:w="106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134,330</w:t>
            </w: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2,575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48Forty Intermediate Holdings, Inc.- Common Equity</w:t>
            </w:r>
          </w:p>
        </w:tc>
        <w:tc>
          <w:tcPr>
            <w:tcW w:w="106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84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1,988</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4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060" w:type="dxa"/>
            <w:vAlign w:val="bottom"/>
            <w:shd w:val="clear" w:color="auto" w:fill="CCECFF"/>
          </w:tcPr>
          <w:p>
            <w:pPr>
              <w:spacing w:after="0"/>
              <w:rPr>
                <w:sz w:val="20"/>
                <w:szCs w:val="20"/>
                <w:color w:val="auto"/>
              </w:rPr>
            </w:pPr>
          </w:p>
        </w:tc>
        <w:tc>
          <w:tcPr>
            <w:tcW w:w="202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1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2,575</w:t>
            </w: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- 957.%</w:t>
            </w:r>
          </w:p>
        </w:tc>
        <w:tc>
          <w:tcPr>
            <w:tcW w:w="1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1,282,066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1,275,076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- 84.6%</w:t>
            </w:r>
          </w:p>
        </w:tc>
        <w:tc>
          <w:tcPr>
            <w:tcW w:w="106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6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112,691</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112,691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- 1,041.6%</w:t>
            </w:r>
          </w:p>
        </w:tc>
        <w:tc>
          <w:tcPr>
            <w:tcW w:w="1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1,394,757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1,387,767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(941.6)%</w:t>
            </w:r>
          </w:p>
        </w:tc>
        <w:tc>
          <w:tcPr>
            <w:tcW w:w="10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(1,254,533 )</w:t>
            </w: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1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133,234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(“SOFR”) or Prime rate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All investments in U.S. companies unless noted otherwise.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960" w:type="dxa"/>
            <w:vAlign w:val="bottom"/>
            <w:gridSpan w:val="2"/>
          </w:tcPr>
          <w:p>
            <w:pPr>
              <w:jc w:val="right"/>
              <w:ind w:right="67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64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2024 ($ in thousands):</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jc w:val="right"/>
              <w:ind w:right="272"/>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60" w:type="dxa"/>
            <w:vAlign w:val="bottom"/>
          </w:tcPr>
          <w:p>
            <w:pPr>
              <w:jc w:val="center"/>
              <w:ind w:right="17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6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60" w:type="dxa"/>
            <w:vAlign w:val="bottom"/>
          </w:tcPr>
          <w:p>
            <w:pPr>
              <w:jc w:val="center"/>
              <w:ind w:right="151"/>
              <w:spacing w:after="0" w:line="179"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5"/>
                <w:szCs w:val="15"/>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940" w:type="dxa"/>
            <w:vAlign w:val="bottom"/>
          </w:tcPr>
          <w:p>
            <w:pPr>
              <w:jc w:val="right"/>
              <w:ind w:right="132"/>
              <w:spacing w:after="0" w:line="179" w:lineRule="exact"/>
              <w:rPr>
                <w:sz w:val="20"/>
                <w:szCs w:val="20"/>
                <w:color w:val="auto"/>
              </w:rPr>
            </w:pPr>
            <w:r>
              <w:rPr>
                <w:rFonts w:ascii="Times New Roman" w:cs="Times New Roman" w:eastAsia="Times New Roman" w:hAnsi="Times New Roman"/>
                <w:sz w:val="13"/>
                <w:szCs w:val="13"/>
                <w:b w:val="1"/>
                <w:bCs w:val="1"/>
                <w:color w:val="auto"/>
                <w:w w:val="98"/>
              </w:rPr>
              <w:t xml:space="preserve">Fair Value </w:t>
            </w:r>
            <w:r>
              <w:rPr>
                <w:rFonts w:ascii="Times New Roman" w:cs="Times New Roman" w:eastAsia="Times New Roman" w:hAnsi="Times New Roman"/>
                <w:sz w:val="16"/>
                <w:szCs w:val="16"/>
                <w:b w:val="1"/>
                <w:bCs w:val="1"/>
                <w:color w:val="auto"/>
                <w:w w:val="98"/>
                <w:vertAlign w:val="superscript"/>
              </w:rPr>
              <w:t>(2)</w:t>
            </w:r>
          </w:p>
        </w:tc>
        <w:tc>
          <w:tcPr>
            <w:tcW w:w="0" w:type="dxa"/>
            <w:vAlign w:val="bottom"/>
          </w:tcPr>
          <w:p>
            <w:pPr>
              <w:spacing w:after="0"/>
              <w:rPr>
                <w:sz w:val="1"/>
                <w:szCs w:val="1"/>
                <w:color w:val="auto"/>
              </w:rPr>
            </w:pPr>
          </w:p>
        </w:tc>
      </w:tr>
      <w:tr>
        <w:trPr>
          <w:trHeight w:val="122"/>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- 916.4%</w:t>
            </w:r>
          </w:p>
        </w:tc>
        <w:tc>
          <w:tcPr>
            <w:tcW w:w="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12/22/28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14,738</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14,504</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10/02/29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7,667</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7,526</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7,418</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08/01/29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15,351</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15,067</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15,412</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05/07/26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4,838</w:t>
            </w:r>
          </w:p>
        </w:tc>
        <w:tc>
          <w:tcPr>
            <w:tcW w:w="0" w:type="dxa"/>
            <w:vAlign w:val="bottom"/>
          </w:tcPr>
          <w:p>
            <w:pPr>
              <w:spacing w:after="0"/>
              <w:rPr>
                <w:sz w:val="1"/>
                <w:szCs w:val="1"/>
                <w:color w:val="auto"/>
              </w:rPr>
            </w:pPr>
          </w:p>
        </w:tc>
      </w:tr>
      <w:tr>
        <w:trPr>
          <w:trHeight w:val="108"/>
        </w:trPr>
        <w:tc>
          <w:tcPr>
            <w:tcW w:w="27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2060" w:type="dxa"/>
            <w:vAlign w:val="bottom"/>
            <w:shd w:val="clear" w:color="auto" w:fill="CCECFF"/>
          </w:tcPr>
          <w:p>
            <w:pPr>
              <w:spacing w:after="0"/>
              <w:rPr>
                <w:sz w:val="9"/>
                <w:szCs w:val="9"/>
                <w:color w:val="auto"/>
              </w:rPr>
            </w:pPr>
          </w:p>
        </w:tc>
        <w:tc>
          <w:tcPr>
            <w:tcW w:w="900" w:type="dxa"/>
            <w:vAlign w:val="bottom"/>
            <w:shd w:val="clear" w:color="auto" w:fill="CCECFF"/>
          </w:tcPr>
          <w:p>
            <w:pPr>
              <w:jc w:val="right"/>
              <w:ind w:right="152"/>
              <w:spacing w:after="0" w:line="109" w:lineRule="exact"/>
              <w:rPr>
                <w:sz w:val="20"/>
                <w:szCs w:val="20"/>
                <w:color w:val="auto"/>
              </w:rPr>
            </w:pPr>
            <w:r>
              <w:rPr>
                <w:rFonts w:ascii="Times New Roman" w:cs="Times New Roman" w:eastAsia="Times New Roman" w:hAnsi="Times New Roman"/>
                <w:sz w:val="10"/>
                <w:szCs w:val="10"/>
                <w:color w:val="auto"/>
              </w:rPr>
              <w:t>9.85</w:t>
            </w:r>
          </w:p>
        </w:tc>
        <w:tc>
          <w:tcPr>
            <w:tcW w:w="1060" w:type="dxa"/>
            <w:vAlign w:val="bottom"/>
            <w:shd w:val="clear" w:color="auto" w:fill="CCECFF"/>
          </w:tcPr>
          <w:p>
            <w:pPr>
              <w:spacing w:after="0"/>
              <w:rPr>
                <w:sz w:val="9"/>
                <w:szCs w:val="9"/>
                <w:color w:val="auto"/>
              </w:rPr>
            </w:pPr>
          </w:p>
        </w:tc>
        <w:tc>
          <w:tcPr>
            <w:tcW w:w="96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12/18/28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04/09/27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7,131</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7,059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11/30/26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14,687</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14,459</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14,100</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06/10/25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13,675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06/30/26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14,714</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14,638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14,714</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14,522</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14,304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08/03/29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11.56 %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21,574</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21,270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21,466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06/21/29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07/01/29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14,486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14,259</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02/28/30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6,852</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6,965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01/31/28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8,887</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09/17/26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20,504</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20,245</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20,152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10/31/25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13,292</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13,218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13,026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12/04/25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9,374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07/25/29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4,874</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4,625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4,585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11/30/29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5,473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5,400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5,390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02/07/30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9,801</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06/14/28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17,106</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17,106</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SOFR+619</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2,891</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2,848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07/13/27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8,716</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8,702</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8,716</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08/16/27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SOFR+586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2,549</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2,529</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2,530</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08/31/27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22,993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22,842</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22,993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5,830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5,423</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5,626</w:t>
            </w:r>
          </w:p>
        </w:tc>
        <w:tc>
          <w:tcPr>
            <w:tcW w:w="0" w:type="dxa"/>
            <w:vAlign w:val="bottom"/>
          </w:tcPr>
          <w:p>
            <w:pPr>
              <w:spacing w:after="0"/>
              <w:rPr>
                <w:sz w:val="1"/>
                <w:szCs w:val="1"/>
                <w:color w:val="auto"/>
              </w:rPr>
            </w:pPr>
          </w:p>
        </w:tc>
      </w:tr>
      <w:tr>
        <w:trPr>
          <w:trHeight w:val="156"/>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11/03/25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52"/>
              <w:spacing w:after="0" w:line="156" w:lineRule="exact"/>
              <w:rPr>
                <w:sz w:val="20"/>
                <w:szCs w:val="20"/>
                <w:color w:val="auto"/>
              </w:rPr>
            </w:pPr>
            <w:r>
              <w:rPr>
                <w:rFonts w:ascii="Times New Roman" w:cs="Times New Roman" w:eastAsia="Times New Roman" w:hAnsi="Times New Roman"/>
                <w:sz w:val="9"/>
                <w:szCs w:val="9"/>
                <w:color w:val="auto"/>
              </w:rPr>
              <w:t xml:space="preserve">11.20 </w:t>
            </w:r>
            <w:r>
              <w:rPr>
                <w:rFonts w:ascii="Times New Roman" w:cs="Times New Roman" w:eastAsia="Times New Roman" w:hAnsi="Times New Roman"/>
                <w:sz w:val="18"/>
                <w:szCs w:val="18"/>
                <w:color w:val="auto"/>
                <w:vertAlign w:val="superscript"/>
              </w:rPr>
              <w:t>%</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13,777</w:t>
            </w:r>
          </w:p>
        </w:tc>
        <w:tc>
          <w:tcPr>
            <w:tcW w:w="240" w:type="dxa"/>
            <w:vAlign w:val="bottom"/>
          </w:tcPr>
          <w:p>
            <w:pPr>
              <w:spacing w:after="0"/>
              <w:rPr>
                <w:sz w:val="13"/>
                <w:szCs w:val="13"/>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13,760</w:t>
            </w:r>
          </w:p>
        </w:tc>
        <w:tc>
          <w:tcPr>
            <w:tcW w:w="180" w:type="dxa"/>
            <w:vAlign w:val="bottom"/>
          </w:tcPr>
          <w:p>
            <w:pPr>
              <w:spacing w:after="0"/>
              <w:rPr>
                <w:sz w:val="13"/>
                <w:szCs w:val="1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13,667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07/15/28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10.38 %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1,588</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10/15/28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8,993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01/10/29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11,144</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11,013</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10,977</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05/29/29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12,249</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05/10/30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7,396</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7,293</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7,322</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03/15/27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9,651</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9,556</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06/17/28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SOFR+450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3,417</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3,495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02/23/28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4,241</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4,175</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4,241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03/16/26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6,952</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6,605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08/10/27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3,118</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3,081</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3,087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12/31/26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6,023</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06/17/29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7,980</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7,887</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7,924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11/08/29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14,292</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14,149</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12.00%</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12/17/26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4.0%)</w:t>
            </w:r>
          </w:p>
        </w:tc>
        <w:tc>
          <w:tcPr>
            <w:tcW w:w="106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15,144</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15,019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13,887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05/10/26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18,355</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18,296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18,355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09/22/28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4,322</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4,339</w:t>
            </w:r>
          </w:p>
        </w:tc>
        <w:tc>
          <w:tcPr>
            <w:tcW w:w="0" w:type="dxa"/>
            <w:vAlign w:val="bottom"/>
          </w:tcPr>
          <w:p>
            <w:pPr>
              <w:spacing w:after="0"/>
              <w:rPr>
                <w:sz w:val="1"/>
                <w:szCs w:val="1"/>
                <w:color w:val="auto"/>
              </w:rPr>
            </w:pPr>
          </w:p>
        </w:tc>
      </w:tr>
      <w:tr>
        <w:trPr>
          <w:trHeight w:val="12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20" w:type="dxa"/>
            <w:vAlign w:val="bottom"/>
            <w:vMerge w:val="restart"/>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11/15/27</w:t>
            </w:r>
          </w:p>
        </w:tc>
        <w:tc>
          <w:tcPr>
            <w:tcW w:w="20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vMerge w:val="restart"/>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SOFR+510</w:t>
            </w:r>
          </w:p>
        </w:tc>
        <w:tc>
          <w:tcPr>
            <w:tcW w:w="9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5,509</w:t>
            </w:r>
          </w:p>
        </w:tc>
        <w:tc>
          <w:tcPr>
            <w:tcW w:w="240" w:type="dxa"/>
            <w:vAlign w:val="bottom"/>
            <w:shd w:val="clear" w:color="auto" w:fill="CCECFF"/>
          </w:tcPr>
          <w:p>
            <w:pPr>
              <w:spacing w:after="0"/>
              <w:rPr>
                <w:sz w:val="10"/>
                <w:szCs w:val="10"/>
                <w:color w:val="auto"/>
              </w:rPr>
            </w:pPr>
          </w:p>
        </w:tc>
        <w:tc>
          <w:tcPr>
            <w:tcW w:w="6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5,440</w:t>
            </w:r>
          </w:p>
        </w:tc>
        <w:tc>
          <w:tcPr>
            <w:tcW w:w="180" w:type="dxa"/>
            <w:vAlign w:val="bottom"/>
            <w:shd w:val="clear" w:color="auto" w:fill="CCECFF"/>
          </w:tcPr>
          <w:p>
            <w:pPr>
              <w:spacing w:after="0"/>
              <w:rPr>
                <w:sz w:val="10"/>
                <w:szCs w:val="10"/>
                <w:color w:val="auto"/>
              </w:rPr>
            </w:pPr>
          </w:p>
        </w:tc>
        <w:tc>
          <w:tcPr>
            <w:tcW w:w="94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5,481</w:t>
            </w:r>
          </w:p>
        </w:tc>
        <w:tc>
          <w:tcPr>
            <w:tcW w:w="0" w:type="dxa"/>
            <w:vAlign w:val="bottom"/>
          </w:tcPr>
          <w:p>
            <w:pPr>
              <w:spacing w:after="0"/>
              <w:rPr>
                <w:sz w:val="1"/>
                <w:szCs w:val="1"/>
                <w:color w:val="auto"/>
              </w:rPr>
            </w:pPr>
          </w:p>
        </w:tc>
      </w:tr>
      <w:tr>
        <w:trPr>
          <w:trHeight w:val="104"/>
        </w:trPr>
        <w:tc>
          <w:tcPr>
            <w:tcW w:w="2760" w:type="dxa"/>
            <w:vAlign w:val="bottom"/>
            <w:shd w:val="clear" w:color="auto" w:fill="CCECFF"/>
          </w:tcPr>
          <w:p>
            <w:pPr>
              <w:spacing w:after="0"/>
              <w:rPr>
                <w:sz w:val="9"/>
                <w:szCs w:val="9"/>
                <w:color w:val="auto"/>
              </w:rPr>
            </w:pPr>
          </w:p>
        </w:tc>
        <w:tc>
          <w:tcPr>
            <w:tcW w:w="820" w:type="dxa"/>
            <w:vAlign w:val="bottom"/>
            <w:vMerge w:val="continue"/>
            <w:shd w:val="clear" w:color="auto" w:fill="CCECFF"/>
          </w:tcPr>
          <w:p>
            <w:pPr>
              <w:spacing w:after="0"/>
              <w:rPr>
                <w:sz w:val="9"/>
                <w:szCs w:val="9"/>
                <w:color w:val="auto"/>
              </w:rPr>
            </w:pPr>
          </w:p>
        </w:tc>
        <w:tc>
          <w:tcPr>
            <w:tcW w:w="2060" w:type="dxa"/>
            <w:vAlign w:val="bottom"/>
            <w:vMerge w:val="continue"/>
            <w:shd w:val="clear" w:color="auto" w:fill="CCECFF"/>
          </w:tcPr>
          <w:p>
            <w:pPr>
              <w:spacing w:after="0"/>
              <w:rPr>
                <w:sz w:val="9"/>
                <w:szCs w:val="9"/>
                <w:color w:val="auto"/>
              </w:rPr>
            </w:pPr>
          </w:p>
        </w:tc>
        <w:tc>
          <w:tcPr>
            <w:tcW w:w="900" w:type="dxa"/>
            <w:vAlign w:val="bottom"/>
            <w:vMerge w:val="continue"/>
            <w:shd w:val="clear" w:color="auto" w:fill="CCECFF"/>
          </w:tcPr>
          <w:p>
            <w:pPr>
              <w:spacing w:after="0"/>
              <w:rPr>
                <w:sz w:val="9"/>
                <w:szCs w:val="9"/>
                <w:color w:val="auto"/>
              </w:rPr>
            </w:pPr>
          </w:p>
        </w:tc>
        <w:tc>
          <w:tcPr>
            <w:tcW w:w="1060" w:type="dxa"/>
            <w:vAlign w:val="bottom"/>
            <w:vMerge w:val="continue"/>
            <w:shd w:val="clear" w:color="auto" w:fill="CCECFF"/>
          </w:tcPr>
          <w:p>
            <w:pPr>
              <w:spacing w:after="0"/>
              <w:rPr>
                <w:sz w:val="9"/>
                <w:szCs w:val="9"/>
                <w:color w:val="auto"/>
              </w:rPr>
            </w:pPr>
          </w:p>
        </w:tc>
        <w:tc>
          <w:tcPr>
            <w:tcW w:w="960" w:type="dxa"/>
            <w:vAlign w:val="bottom"/>
            <w:vMerge w:val="continue"/>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640" w:type="dxa"/>
            <w:vAlign w:val="bottom"/>
            <w:vMerge w:val="continue"/>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94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12/28/28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13,890</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13,730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14,029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11/01/26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12,286</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12,214</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12,194</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06/30/25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SOFR+761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13,101</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12,980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12,905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11/10/27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13,520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10/31/25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4,601</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4,530</w:t>
            </w:r>
          </w:p>
        </w:tc>
        <w:tc>
          <w:tcPr>
            <w:tcW w:w="0" w:type="dxa"/>
            <w:vAlign w:val="bottom"/>
          </w:tcPr>
          <w:p>
            <w:pPr>
              <w:spacing w:after="0"/>
              <w:rPr>
                <w:sz w:val="1"/>
                <w:szCs w:val="1"/>
                <w:color w:val="auto"/>
              </w:rPr>
            </w:pPr>
          </w:p>
        </w:tc>
      </w:tr>
      <w:tr>
        <w:trPr>
          <w:trHeight w:val="121"/>
        </w:trPr>
        <w:tc>
          <w:tcPr>
            <w:tcW w:w="27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12.94%</w:t>
            </w:r>
          </w:p>
        </w:tc>
        <w:tc>
          <w:tcPr>
            <w:tcW w:w="106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02/18/27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5.10%)</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SOFR+785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20,447</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20,338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20,243</w:t>
            </w:r>
          </w:p>
        </w:tc>
        <w:tc>
          <w:tcPr>
            <w:tcW w:w="0" w:type="dxa"/>
            <w:vAlign w:val="bottom"/>
          </w:tcPr>
          <w:p>
            <w:pPr>
              <w:spacing w:after="0"/>
              <w:rPr>
                <w:sz w:val="1"/>
                <w:szCs w:val="1"/>
                <w:color w:val="auto"/>
              </w:rPr>
            </w:pPr>
          </w:p>
        </w:tc>
      </w:tr>
      <w:tr>
        <w:trPr>
          <w:trHeight w:val="12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20" w:type="dxa"/>
            <w:vAlign w:val="bottom"/>
            <w:vMerge w:val="restart"/>
          </w:tcPr>
          <w:p>
            <w:pPr>
              <w:jc w:val="center"/>
              <w:ind w:left="32"/>
              <w:spacing w:after="0"/>
              <w:rPr>
                <w:sz w:val="20"/>
                <w:szCs w:val="20"/>
                <w:color w:val="auto"/>
              </w:rPr>
            </w:pPr>
            <w:r>
              <w:rPr>
                <w:rFonts w:ascii="Times New Roman" w:cs="Times New Roman" w:eastAsia="Times New Roman" w:hAnsi="Times New Roman"/>
                <w:sz w:val="10"/>
                <w:szCs w:val="10"/>
                <w:color w:val="auto"/>
                <w:w w:val="95"/>
              </w:rPr>
              <w:t>02/03/26</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14,267</w:t>
            </w:r>
          </w:p>
        </w:tc>
        <w:tc>
          <w:tcPr>
            <w:tcW w:w="240" w:type="dxa"/>
            <w:vAlign w:val="bottom"/>
          </w:tcPr>
          <w:p>
            <w:pPr>
              <w:spacing w:after="0"/>
              <w:rPr>
                <w:sz w:val="10"/>
                <w:szCs w:val="10"/>
                <w:color w:val="auto"/>
              </w:rPr>
            </w:pPr>
          </w:p>
        </w:tc>
        <w:tc>
          <w:tcPr>
            <w:tcW w:w="6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14,170</w:t>
            </w:r>
          </w:p>
        </w:tc>
        <w:tc>
          <w:tcPr>
            <w:tcW w:w="180" w:type="dxa"/>
            <w:vAlign w:val="bottom"/>
          </w:tcPr>
          <w:p>
            <w:pPr>
              <w:spacing w:after="0"/>
              <w:rPr>
                <w:sz w:val="10"/>
                <w:szCs w:val="10"/>
                <w:color w:val="auto"/>
              </w:rPr>
            </w:pP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14,267</w:t>
            </w:r>
          </w:p>
        </w:tc>
        <w:tc>
          <w:tcPr>
            <w:tcW w:w="0" w:type="dxa"/>
            <w:vAlign w:val="bottom"/>
          </w:tcPr>
          <w:p>
            <w:pPr>
              <w:spacing w:after="0"/>
              <w:rPr>
                <w:sz w:val="1"/>
                <w:szCs w:val="1"/>
                <w:color w:val="auto"/>
              </w:rPr>
            </w:pPr>
          </w:p>
        </w:tc>
      </w:tr>
      <w:tr>
        <w:trPr>
          <w:trHeight w:val="80"/>
        </w:trPr>
        <w:tc>
          <w:tcPr>
            <w:tcW w:w="27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0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01/31/30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10.48 %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6,255</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6,151</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6,255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04/01/27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8,266</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7,890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7,770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-First out</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SOFR+701</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-Second out</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SOFR+801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-Third out</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SOFR+726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617</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04/16/27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8,330</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8,256</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8,338</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2,923</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2,850</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14,912</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14,765</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14,912</w:t>
            </w:r>
          </w:p>
        </w:tc>
        <w:tc>
          <w:tcPr>
            <w:tcW w:w="0" w:type="dxa"/>
            <w:vAlign w:val="bottom"/>
          </w:tcPr>
          <w:p>
            <w:pPr>
              <w:spacing w:after="0"/>
              <w:rPr>
                <w:sz w:val="1"/>
                <w:szCs w:val="1"/>
                <w:color w:val="auto"/>
              </w:rPr>
            </w:pPr>
          </w:p>
        </w:tc>
      </w:tr>
      <w:tr>
        <w:trPr>
          <w:trHeight w:val="160"/>
        </w:trPr>
        <w:tc>
          <w:tcPr>
            <w:tcW w:w="27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20" w:type="dxa"/>
            <w:vAlign w:val="bottom"/>
            <w:tcBorders>
              <w:bottom w:val="single" w:sz="8" w:color="CCECFF"/>
            </w:tcBorders>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03/01/30</w:t>
            </w:r>
          </w:p>
        </w:tc>
        <w:tc>
          <w:tcPr>
            <w:tcW w:w="20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9.85 %</w:t>
            </w:r>
          </w:p>
        </w:tc>
        <w:tc>
          <w:tcPr>
            <w:tcW w:w="1060" w:type="dxa"/>
            <w:vAlign w:val="bottom"/>
            <w:tcBorders>
              <w:bottom w:val="single" w:sz="8" w:color="CCECFF"/>
            </w:tcBorders>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7,960</w:t>
            </w:r>
          </w:p>
        </w:tc>
        <w:tc>
          <w:tcPr>
            <w:tcW w:w="240" w:type="dxa"/>
            <w:vAlign w:val="bottom"/>
            <w:tcBorders>
              <w:bottom w:val="single" w:sz="8" w:color="CCECFF"/>
            </w:tcBorders>
            <w:shd w:val="clear" w:color="auto" w:fill="CCECFF"/>
          </w:tcPr>
          <w:p>
            <w:pPr>
              <w:spacing w:after="0"/>
              <w:rPr>
                <w:sz w:val="13"/>
                <w:szCs w:val="13"/>
                <w:color w:val="auto"/>
              </w:rPr>
            </w:pPr>
          </w:p>
        </w:tc>
        <w:tc>
          <w:tcPr>
            <w:tcW w:w="6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7,851</w:t>
            </w:r>
          </w:p>
        </w:tc>
        <w:tc>
          <w:tcPr>
            <w:tcW w:w="18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7,514</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01/16/30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12,450</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12,303</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12,263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10/01/27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5,912</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5,822</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5,912</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08/19/26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7,353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7,311</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7,133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08/31/29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14,597</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60" w:type="dxa"/>
            <w:vAlign w:val="bottom"/>
            <w:gridSpan w:val="2"/>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2"/>
        </w:trPr>
        <w:tc>
          <w:tcPr>
            <w:tcW w:w="2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1"/>
        </w:trPr>
        <w:tc>
          <w:tcPr>
            <w:tcW w:w="272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w:t>
            </w: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5"/>
                <w:szCs w:val="15"/>
                <w:color w:val="auto"/>
              </w:rPr>
            </w:pP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Fair Value </w:t>
            </w:r>
            <w:r>
              <w:rPr>
                <w:rFonts w:ascii="Times New Roman" w:cs="Times New Roman" w:eastAsia="Times New Roman" w:hAnsi="Times New Roman"/>
                <w:sz w:val="16"/>
                <w:szCs w:val="16"/>
                <w:b w:val="1"/>
                <w:bCs w:val="1"/>
                <w:color w:val="auto"/>
                <w:w w:val="98"/>
                <w:vertAlign w:val="superscript"/>
              </w:rPr>
              <w:t>(2)</w:t>
            </w: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5/7/2027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11.21 %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SOFR+636</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8,380</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8,256</w:t>
            </w:r>
          </w:p>
        </w:tc>
        <w:tc>
          <w:tcPr>
            <w:tcW w:w="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8,380</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2/4/2028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SOFR+535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3,893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3,811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3,825</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5/18/2026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11.12 %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SOFR+651</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9,340</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9,340</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10/2/2028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11.51 %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SOFR+600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12,903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12,877</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3/1/2030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10.81 %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5,812</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5,735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5,812</w:t>
            </w:r>
          </w:p>
        </w:tc>
        <w:tc>
          <w:tcPr>
            <w:tcW w:w="80" w:type="dxa"/>
            <w:vAlign w:val="bottom"/>
            <w:shd w:val="clear" w:color="auto" w:fill="CCECFF"/>
          </w:tcPr>
          <w:p>
            <w:pPr>
              <w:spacing w:after="0"/>
              <w:rPr>
                <w:sz w:val="10"/>
                <w:szCs w:val="10"/>
                <w:color w:val="auto"/>
              </w:rPr>
            </w:pPr>
          </w:p>
        </w:tc>
      </w:tr>
      <w:tr>
        <w:trPr>
          <w:trHeight w:val="121"/>
        </w:trPr>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11.99%</w:t>
            </w: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11/9/2027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(PIK 3.5%)</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SOFR+725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8,193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6,554</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11/19/2026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10.95 %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SOFR+635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3,280</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3,263</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5/3/2029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19,950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19,551</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3/31/2025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10.75 %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12,565</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12,543</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12,313</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10.85 %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SOFR+560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5,530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4/28/2028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25.00 %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SOFR+615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4,937</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1/29/2026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11.75 %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SOFR+715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9,650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9,554</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6/21/2025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9.85 %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SOFR+525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3,932</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3,919</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3,936</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6/16/2029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10.74 %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4,336</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SOFR+615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6,467</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6,387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6,402</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1/3/2025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10.80 %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SOFR+620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6,676</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6,668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tcPr>
          <w:p>
            <w:pPr>
              <w:spacing w:after="0"/>
              <w:rPr>
                <w:sz w:val="10"/>
                <w:szCs w:val="10"/>
                <w:color w:val="auto"/>
              </w:rPr>
            </w:pPr>
          </w:p>
        </w:tc>
      </w:tr>
      <w:tr>
        <w:trPr>
          <w:trHeight w:val="121"/>
        </w:trPr>
        <w:tc>
          <w:tcPr>
            <w:tcW w:w="2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12.45%</w:t>
            </w: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(PIK 1.00%)</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SOFR+760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4,634</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6/13/2029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10.75 %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SOFR+615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14,700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14,510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14,186</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11.50 %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SOFR+690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14,621</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14,465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14,475</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12/2/2026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11.38 %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SOFR+640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11,359</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5/17/2028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9.46 %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SOFR+461</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1,290</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1,269</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11/23/2028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SOFR+610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25,078</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24,798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25,073</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7/17/2025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12.40 %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SOFR+715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9,216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10.26 %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SOFR+565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9,510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9,510</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9.31 %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SOFR+425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3,554</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3,305</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&amp; Research,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8/16/2027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10.26 %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SOFR+500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15,803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15,600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15,772</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1/23/2029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11.10 %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SOFR+650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9,950</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9,851</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10.98 %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SOFR+565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11,392</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11,392</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6/6/2025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11.33 %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SOFR+640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1,568</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1,568</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9.95 %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SOFR+510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9,661</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9,462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9,537</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3/13/2031</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9.60 %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SOFR+475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2,985</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2,955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2,994</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7/27/2026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11.25 %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SOFR+665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14,445</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14,404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8/31/2027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10.99 %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SOFR+610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7,611</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7,536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7,611</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10.60 %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14,479</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14,282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14,479</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4/3/2028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10.23 %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SOFR+490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11,306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11,165</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6/15/2026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11.46 %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SOFR+550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10,928</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10,836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10,819</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12/1/2029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10.60 %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SOFR+600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13,942</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13,769</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13,803</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2/27/2027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10.60 %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19,256</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19,126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19,256</w:t>
            </w:r>
          </w:p>
        </w:tc>
        <w:tc>
          <w:tcPr>
            <w:tcW w:w="80" w:type="dxa"/>
            <w:vAlign w:val="bottom"/>
          </w:tcPr>
          <w:p>
            <w:pPr>
              <w:spacing w:after="0"/>
              <w:rPr>
                <w:sz w:val="10"/>
                <w:szCs w:val="10"/>
                <w:color w:val="auto"/>
              </w:rPr>
            </w:pPr>
          </w:p>
        </w:tc>
      </w:tr>
      <w:tr>
        <w:trPr>
          <w:trHeight w:val="121"/>
        </w:trPr>
        <w:tc>
          <w:tcPr>
            <w:tcW w:w="2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12.46%</w:t>
            </w: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12/31/2024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(PIK 1.5%)</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SOFR+740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19,687</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19,648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18,801</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1,033,954</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1,028,874</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Security - 2.1%</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Common Equity</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134</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27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98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- 918.5%</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1,036,305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1,031,225</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- 32.6%</w:t>
            </w: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- 951.1)%</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1,072,900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1,067,820</w:t>
            </w:r>
          </w:p>
        </w:tc>
        <w:tc>
          <w:tcPr>
            <w:tcW w:w="80" w:type="dxa"/>
            <w:vAlign w:val="bottom"/>
          </w:tcPr>
          <w:p>
            <w:pPr>
              <w:spacing w:after="0"/>
              <w:rPr>
                <w:sz w:val="10"/>
                <w:szCs w:val="10"/>
                <w:color w:val="auto"/>
              </w:rPr>
            </w:pPr>
          </w:p>
        </w:tc>
      </w:tr>
      <w:tr>
        <w:trPr>
          <w:trHeight w:val="20"/>
        </w:trPr>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72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(851.1)%</w:t>
            </w:r>
          </w:p>
        </w:tc>
        <w:tc>
          <w:tcPr>
            <w:tcW w:w="880" w:type="dxa"/>
            <w:vAlign w:val="bottom"/>
            <w:shd w:val="clear" w:color="auto" w:fill="CCECFF"/>
          </w:tcPr>
          <w:p>
            <w:pPr>
              <w:spacing w:after="0"/>
              <w:rPr>
                <w:sz w:val="8"/>
                <w:szCs w:val="8"/>
                <w:color w:val="auto"/>
              </w:rPr>
            </w:pPr>
          </w:p>
        </w:tc>
        <w:tc>
          <w:tcPr>
            <w:tcW w:w="19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940" w:type="dxa"/>
            <w:vAlign w:val="bottom"/>
            <w:gridSpan w:val="2"/>
            <w:shd w:val="clear" w:color="auto" w:fill="CCECFF"/>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(955,549 )</w:t>
            </w:r>
          </w:p>
        </w:tc>
      </w:tr>
      <w:tr>
        <w:trPr>
          <w:trHeight w:val="120"/>
        </w:trPr>
        <w:tc>
          <w:tcPr>
            <w:tcW w:w="272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112,271</w:t>
            </w:r>
          </w:p>
        </w:tc>
        <w:tc>
          <w:tcPr>
            <w:tcW w:w="80" w:type="dxa"/>
            <w:vAlign w:val="bottom"/>
          </w:tcPr>
          <w:p>
            <w:pPr>
              <w:spacing w:after="0"/>
              <w:rPr>
                <w:sz w:val="10"/>
                <w:szCs w:val="10"/>
                <w:color w:val="auto"/>
              </w:rPr>
            </w:pPr>
          </w:p>
        </w:tc>
      </w:tr>
      <w:tr>
        <w:trPr>
          <w:trHeight w:val="20"/>
        </w:trPr>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3080"/>
        <w:spacing w:after="0" w:line="226"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All investments in U.S. companies unless noted otherwise.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80" w:type="dxa"/>
            <w:vAlign w:val="bottom"/>
          </w:tcPr>
          <w:p>
            <w:pPr>
              <w:ind w:left="47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63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PSLF ($ in thousands):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1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2024 (Unaudited)</w:t>
            </w:r>
          </w:p>
        </w:tc>
        <w:tc>
          <w:tcPr>
            <w:tcW w:w="24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2"/>
        </w:trPr>
        <w:tc>
          <w:tcPr>
            <w:tcW w:w="63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cost—$1,282,066 and $1,036,305, respectively)</w:t>
            </w:r>
          </w:p>
        </w:tc>
        <w:tc>
          <w:tcPr>
            <w:tcW w:w="700" w:type="dxa"/>
            <w:vAlign w:val="bottom"/>
            <w:shd w:val="clear" w:color="auto" w:fill="CCEC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1,275,076</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(cost—$112,691 and $36,595, respectively)</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112,691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36,595</w:t>
            </w: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3,004</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1,397,026</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2037 Asset-backed debt, net (par—$328,000 and $0, respectively)</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325,842</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 and $246,000, respectively)</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244,769</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 and $246,000, respectively)</w:t>
            </w:r>
          </w:p>
        </w:tc>
        <w:tc>
          <w:tcPr>
            <w:tcW w:w="700" w:type="dxa"/>
            <w:vAlign w:val="bottom"/>
            <w:shd w:val="clear" w:color="auto" w:fill="CCECFF"/>
          </w:tcPr>
          <w:p>
            <w:pPr>
              <w:spacing w:after="0"/>
              <w:rPr>
                <w:sz w:val="14"/>
                <w:szCs w:val="14"/>
                <w:color w:val="auto"/>
              </w:rPr>
            </w:pPr>
          </w:p>
        </w:tc>
        <w:tc>
          <w:tcPr>
            <w:tcW w:w="11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244,216</w:t>
            </w:r>
          </w:p>
        </w:tc>
        <w:tc>
          <w:tcPr>
            <w:tcW w:w="3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244,118</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638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1160" w:type="dxa"/>
            <w:vAlign w:val="bottom"/>
            <w:vMerge w:val="continue"/>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1680" w:type="dxa"/>
            <w:vAlign w:val="bottom"/>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231,106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142,600</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247,600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700" w:type="dxa"/>
            <w:vAlign w:val="bottom"/>
          </w:tcPr>
          <w:p>
            <w:pPr>
              <w:spacing w:after="0"/>
              <w:rPr>
                <w:sz w:val="13"/>
                <w:szCs w:val="13"/>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47,324</w:t>
            </w: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700" w:type="dxa"/>
            <w:vAlign w:val="bottom"/>
            <w:shd w:val="clear" w:color="auto" w:fill="CCECFF"/>
          </w:tcPr>
          <w:p>
            <w:pPr>
              <w:spacing w:after="0"/>
              <w:rPr>
                <w:sz w:val="13"/>
                <w:szCs w:val="13"/>
                <w:color w:val="auto"/>
              </w:rPr>
            </w:pPr>
          </w:p>
        </w:tc>
        <w:tc>
          <w:tcPr>
            <w:tcW w:w="148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3"/>
                <w:szCs w:val="13"/>
                <w:color w:val="auto"/>
              </w:rPr>
              <w:t>13,379</w:t>
            </w:r>
          </w:p>
        </w:tc>
        <w:tc>
          <w:tcPr>
            <w:tcW w:w="240" w:type="dxa"/>
            <w:vAlign w:val="bottom"/>
            <w:shd w:val="clear" w:color="auto" w:fill="CCECFF"/>
          </w:tcPr>
          <w:p>
            <w:pPr>
              <w:spacing w:after="0"/>
              <w:rPr>
                <w:sz w:val="13"/>
                <w:szCs w:val="13"/>
                <w:color w:val="auto"/>
              </w:rPr>
            </w:pPr>
          </w:p>
        </w:tc>
        <w:tc>
          <w:tcPr>
            <w:tcW w:w="1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12,525</w:t>
            </w: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5,009</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3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1,263,792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961,081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133,234</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700" w:type="dxa"/>
            <w:vAlign w:val="bottom"/>
            <w:tcBorders>
              <w:bottom w:val="single" w:sz="8" w:color="auto"/>
            </w:tcBorders>
            <w:shd w:val="clear" w:color="auto" w:fill="CCEC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1,397,026</w:t>
            </w:r>
          </w:p>
        </w:tc>
        <w:tc>
          <w:tcPr>
            <w:tcW w:w="3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As of December 31, 2024 and September 30, 2024, PSLF had zero of unfunded commitments to fund investments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3300" w:type="dxa"/>
            <w:vAlign w:val="bottom"/>
            <w:gridSpan w:val="2"/>
          </w:tcPr>
          <w:p>
            <w:pPr>
              <w:jc w:val="right"/>
              <w:ind w:right="209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52"/>
        </w:trPr>
        <w:tc>
          <w:tcPr>
            <w:tcW w:w="4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2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4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8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4680" w:type="dxa"/>
            <w:vAlign w:val="bottom"/>
          </w:tcPr>
          <w:p>
            <w:pPr>
              <w:spacing w:after="0"/>
              <w:rPr>
                <w:sz w:val="14"/>
                <w:szCs w:val="14"/>
                <w:color w:val="auto"/>
              </w:rPr>
            </w:pPr>
          </w:p>
        </w:tc>
        <w:tc>
          <w:tcPr>
            <w:tcW w:w="33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21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3300" w:type="dxa"/>
            <w:vAlign w:val="bottom"/>
            <w:gridSpan w:val="2"/>
          </w:tcPr>
          <w:p>
            <w:pPr>
              <w:jc w:val="right"/>
              <w:ind w:right="9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32,953</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27,107</w:t>
            </w:r>
          </w:p>
        </w:tc>
      </w:tr>
      <w:tr>
        <w:trPr>
          <w:trHeight w:val="156"/>
        </w:trPr>
        <w:tc>
          <w:tcPr>
            <w:tcW w:w="46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21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CFF"/>
          </w:tcPr>
          <w:p>
            <w:pPr>
              <w:spacing w:after="0"/>
              <w:rPr>
                <w:sz w:val="13"/>
                <w:szCs w:val="13"/>
                <w:color w:val="auto"/>
              </w:rPr>
            </w:pPr>
          </w:p>
        </w:tc>
      </w:tr>
      <w:tr>
        <w:trPr>
          <w:trHeight w:val="15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2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33,476</w:t>
            </w:r>
          </w:p>
        </w:tc>
        <w:tc>
          <w:tcPr>
            <w:tcW w:w="1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27,247</w:t>
            </w: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1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2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15,643</w:t>
            </w:r>
          </w:p>
        </w:tc>
        <w:tc>
          <w:tcPr>
            <w:tcW w:w="1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12,640</w:t>
            </w:r>
          </w:p>
        </w:tc>
      </w:tr>
      <w:tr>
        <w:trPr>
          <w:trHeight w:val="156"/>
        </w:trPr>
        <w:tc>
          <w:tcPr>
            <w:tcW w:w="46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21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7,343</w:t>
            </w: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5,844</w:t>
            </w:r>
          </w:p>
        </w:tc>
        <w:tc>
          <w:tcPr>
            <w:tcW w:w="100" w:type="dxa"/>
            <w:vAlign w:val="bottom"/>
            <w:shd w:val="clear" w:color="auto" w:fill="CCECFF"/>
          </w:tcPr>
          <w:p>
            <w:pPr>
              <w:spacing w:after="0"/>
              <w:rPr>
                <w:sz w:val="13"/>
                <w:szCs w:val="13"/>
                <w:color w:val="auto"/>
              </w:rPr>
            </w:pPr>
          </w:p>
        </w:tc>
      </w:tr>
      <w:tr>
        <w:trPr>
          <w:trHeight w:val="15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2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3"/>
                <w:szCs w:val="13"/>
                <w:color w:val="auto"/>
              </w:rPr>
            </w:pPr>
          </w:p>
        </w:tc>
      </w:tr>
      <w:tr>
        <w:trPr>
          <w:trHeight w:val="156"/>
        </w:trPr>
        <w:tc>
          <w:tcPr>
            <w:tcW w:w="46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21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CFF"/>
          </w:tcPr>
          <w:p>
            <w:pPr>
              <w:spacing w:after="0"/>
              <w:rPr>
                <w:sz w:val="13"/>
                <w:szCs w:val="13"/>
                <w:color w:val="auto"/>
              </w:rPr>
            </w:pPr>
          </w:p>
        </w:tc>
      </w:tr>
      <w:tr>
        <w:trPr>
          <w:trHeight w:val="15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2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24,160</w:t>
            </w:r>
          </w:p>
        </w:tc>
        <w:tc>
          <w:tcPr>
            <w:tcW w:w="1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19,249</w:t>
            </w:r>
          </w:p>
        </w:tc>
      </w:tr>
      <w:tr>
        <w:trPr>
          <w:trHeight w:val="156"/>
        </w:trPr>
        <w:tc>
          <w:tcPr>
            <w:tcW w:w="46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1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9,316</w:t>
            </w: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7,998</w:t>
            </w:r>
          </w:p>
        </w:tc>
        <w:tc>
          <w:tcPr>
            <w:tcW w:w="100" w:type="dxa"/>
            <w:vAlign w:val="bottom"/>
            <w:shd w:val="clear" w:color="auto" w:fill="CCECFF"/>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2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1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(2,126)</w:t>
            </w:r>
          </w:p>
        </w:tc>
        <w:tc>
          <w:tcPr>
            <w:tcW w:w="1140" w:type="dxa"/>
            <w:vAlign w:val="bottom"/>
            <w:shd w:val="clear" w:color="auto" w:fill="CCECFF"/>
          </w:tcPr>
          <w:p>
            <w:pPr>
              <w:spacing w:after="0"/>
              <w:rPr>
                <w:sz w:val="13"/>
                <w:szCs w:val="13"/>
                <w:color w:val="auto"/>
              </w:rPr>
            </w:pPr>
          </w:p>
        </w:tc>
        <w:tc>
          <w:tcPr>
            <w:tcW w:w="6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(1,918)</w:t>
            </w:r>
          </w:p>
        </w:tc>
        <w:tc>
          <w:tcPr>
            <w:tcW w:w="1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00" w:type="dxa"/>
            <w:vAlign w:val="bottom"/>
          </w:tcPr>
          <w:p>
            <w:pPr>
              <w:spacing w:after="0"/>
              <w:rPr>
                <w:sz w:val="13"/>
                <w:szCs w:val="13"/>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21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(4,044)</w:t>
            </w: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00" w:type="dxa"/>
            <w:vAlign w:val="bottom"/>
            <w:shd w:val="clear" w:color="auto" w:fill="CCECFF"/>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3300" w:type="dxa"/>
            <w:vAlign w:val="bottom"/>
            <w:gridSpan w:val="2"/>
          </w:tcPr>
          <w:p>
            <w:pPr>
              <w:jc w:val="right"/>
              <w:ind w:right="99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w:t>
            </w:r>
          </w:p>
        </w:tc>
        <w:tc>
          <w:tcPr>
            <w:tcW w:w="260" w:type="dxa"/>
            <w:vAlign w:val="bottom"/>
          </w:tcPr>
          <w:p>
            <w:pPr>
              <w:spacing w:after="0"/>
              <w:rPr>
                <w:sz w:val="13"/>
                <w:szCs w:val="13"/>
                <w:color w:val="auto"/>
              </w:rPr>
            </w:pP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8,941</w:t>
            </w:r>
          </w:p>
        </w:tc>
        <w:tc>
          <w:tcPr>
            <w:tcW w:w="100" w:type="dxa"/>
            <w:vAlign w:val="bottom"/>
          </w:tcPr>
          <w:p>
            <w:pPr>
              <w:spacing w:after="0"/>
              <w:rPr>
                <w:sz w:val="13"/>
                <w:szCs w:val="13"/>
                <w:color w:val="auto"/>
              </w:rPr>
            </w:pPr>
          </w:p>
        </w:tc>
      </w:tr>
      <w:tr>
        <w:trPr>
          <w:trHeight w:val="20"/>
        </w:trPr>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0"/>
          <w:szCs w:val="10"/>
          <w:color w:val="auto"/>
        </w:rPr>
        <w:t>———————————</w:t>
      </w:r>
    </w:p>
    <w:p>
      <w:pPr>
        <w:ind w:left="160" w:hanging="154"/>
        <w:spacing w:after="0" w:line="231" w:lineRule="auto"/>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management or incentive fees are payable by PSLF.</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600" w:right="780" w:hanging="1055"/>
        <w:spacing w:after="0" w:line="268" w:lineRule="auto"/>
        <w:tabs>
          <w:tab w:leader="none" w:pos="158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3" w:lineRule="exact"/>
        <w:rPr>
          <w:sz w:val="20"/>
          <w:szCs w:val="20"/>
          <w:color w:val="auto"/>
        </w:rPr>
      </w:pPr>
    </w:p>
    <w:p>
      <w:pPr>
        <w:ind w:left="1600" w:right="780" w:hanging="1055"/>
        <w:spacing w:after="0" w:line="286" w:lineRule="auto"/>
        <w:tabs>
          <w:tab w:leader="none" w:pos="15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340"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and our Truist Credit Facility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30"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288"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76"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our 2026 Notes -2 and our Truist Credit Facility, we employ the valuation policy approved by our board of directors which is consistent with ASC 820. Consistent with our valuation policy, we evaluate the source of inputs, including any markets in which our investments are trading, in determining fair value. See Note 2.</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14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30" w:lineRule="exact"/>
        <w:rPr>
          <w:sz w:val="20"/>
          <w:szCs w:val="20"/>
          <w:color w:val="auto"/>
        </w:rPr>
      </w:pPr>
    </w:p>
    <w:p>
      <w:pPr>
        <w:ind w:right="80" w:firstLine="420"/>
        <w:spacing w:after="0" w:line="254"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("EBITDA"), multiple will result in an increase in the valuation of an investment, while a decrease in an EBITDA multiple will have the opposite effect.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69"/>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 ($ in thousands)</w:t>
            </w:r>
          </w:p>
        </w:tc>
        <w:tc>
          <w:tcPr>
            <w:tcW w:w="16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2000" w:type="dxa"/>
            <w:vAlign w:val="bottom"/>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68"/>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4,461</w:t>
            </w:r>
          </w:p>
        </w:tc>
        <w:tc>
          <w:tcPr>
            <w:tcW w:w="2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542,520</w:t>
            </w:r>
          </w:p>
        </w:tc>
        <w:tc>
          <w:tcPr>
            <w:tcW w:w="280" w:type="dxa"/>
            <w:vAlign w:val="bottom"/>
            <w:shd w:val="clear" w:color="auto" w:fill="CCECFF"/>
          </w:tcPr>
          <w:p>
            <w:pPr>
              <w:spacing w:after="0"/>
              <w:rPr>
                <w:sz w:val="13"/>
                <w:szCs w:val="13"/>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6.5% - 21.0% (10.5%)</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spacing w:after="0"/>
              <w:rPr>
                <w:sz w:val="13"/>
                <w:szCs w:val="13"/>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28,020</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8.0x - 8.0x (8.0x)</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3"/>
                <w:szCs w:val="13"/>
                <w:color w:val="auto"/>
              </w:rPr>
            </w:pPr>
          </w:p>
        </w:tc>
        <w:tc>
          <w:tcPr>
            <w:tcW w:w="16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46,632</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12.5% - 18.4% (13.5%)</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2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206,108</w:t>
            </w:r>
          </w:p>
        </w:tc>
        <w:tc>
          <w:tcPr>
            <w:tcW w:w="280" w:type="dxa"/>
            <w:vAlign w:val="bottom"/>
            <w:shd w:val="clear" w:color="auto" w:fill="CCECFF"/>
          </w:tcPr>
          <w:p>
            <w:pPr>
              <w:spacing w:after="0"/>
              <w:rPr>
                <w:sz w:val="13"/>
                <w:szCs w:val="13"/>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5.3% - 23.2% (13.8%)</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258,351</w:t>
            </w:r>
          </w:p>
        </w:tc>
        <w:tc>
          <w:tcPr>
            <w:tcW w:w="2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EBITDA multiple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1.8x - 19.0x (9.8x)</w:t>
            </w:r>
          </w:p>
        </w:tc>
      </w:tr>
      <w:tr>
        <w:trPr>
          <w:trHeight w:val="156"/>
        </w:trPr>
        <w:tc>
          <w:tcPr>
            <w:tcW w:w="25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1,089,469</w:t>
            </w:r>
          </w:p>
        </w:tc>
        <w:tc>
          <w:tcPr>
            <w:tcW w:w="28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rPr>
                <w:sz w:val="13"/>
                <w:szCs w:val="13"/>
                <w:color w:val="auto"/>
              </w:rPr>
            </w:pPr>
          </w:p>
        </w:tc>
        <w:tc>
          <w:tcPr>
            <w:tcW w:w="2000" w:type="dxa"/>
            <w:vAlign w:val="bottom"/>
            <w:shd w:val="clear" w:color="auto" w:fill="CCECFF"/>
          </w:tcPr>
          <w:p>
            <w:pPr>
              <w:spacing w:after="0"/>
              <w:rPr>
                <w:sz w:val="13"/>
                <w:szCs w:val="13"/>
                <w:color w:val="auto"/>
              </w:rPr>
            </w:pP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96"/>
        </w:trPr>
        <w:tc>
          <w:tcPr>
            <w:tcW w:w="2580" w:type="dxa"/>
            <w:vAlign w:val="bottom"/>
            <w:tcBorders>
              <w:bottom w:val="single" w:sz="8" w:color="CCECFF"/>
            </w:tcBorders>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shd w:val="clear" w:color="auto" w:fill="CCECFF"/>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460,033</w:t>
            </w:r>
          </w:p>
        </w:tc>
        <w:tc>
          <w:tcPr>
            <w:tcW w:w="280" w:type="dxa"/>
            <w:vAlign w:val="bottom"/>
            <w:tcBorders>
              <w:bottom w:val="single" w:sz="8" w:color="CCECFF"/>
            </w:tcBorders>
            <w:shd w:val="clear" w:color="auto" w:fill="CCECFF"/>
          </w:tcPr>
          <w:p>
            <w:pPr>
              <w:spacing w:after="0"/>
              <w:rPr>
                <w:sz w:val="17"/>
                <w:szCs w:val="17"/>
                <w:color w:val="auto"/>
              </w:rPr>
            </w:pPr>
          </w:p>
        </w:tc>
        <w:tc>
          <w:tcPr>
            <w:tcW w:w="192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Market yield</w:t>
            </w:r>
          </w:p>
        </w:tc>
        <w:tc>
          <w:tcPr>
            <w:tcW w:w="200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w w:val="95"/>
              </w:rPr>
              <w:t>5.9%</w:t>
            </w:r>
          </w:p>
        </w:tc>
      </w:tr>
    </w:tbl>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color w:val="auto"/>
        </w:rPr>
        <w:t>(1)The weighted averages disclosed in the table above were weighted by their relative fair value.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81"/>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Asset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5"/>
                <w:szCs w:val="15"/>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940" w:type="dxa"/>
            <w:vAlign w:val="bottom"/>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13,841</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621,998</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 – 21.4% (10.2%)</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32,087</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0.9x - 8.4x (8.4x)</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63,803</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13.1% - 18.5% (13.9%)</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181,690</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 - 16.5% (14.1%)</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0.4x - 18.8x (9.4x)</w:t>
            </w:r>
          </w:p>
        </w:tc>
      </w:tr>
      <w:tr>
        <w:trPr>
          <w:trHeight w:val="156"/>
        </w:trPr>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2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32"/>
        </w:trPr>
        <w:tc>
          <w:tcPr>
            <w:tcW w:w="258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shd w:val="clear" w:color="auto" w:fill="CCECFF"/>
          </w:tcPr>
          <w:p>
            <w:pPr>
              <w:spacing w:after="0"/>
              <w:rPr>
                <w:sz w:val="11"/>
                <w:szCs w:val="11"/>
                <w:color w:val="auto"/>
              </w:rPr>
            </w:pPr>
          </w:p>
        </w:tc>
        <w:tc>
          <w:tcPr>
            <w:tcW w:w="144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2240" w:type="dxa"/>
            <w:vAlign w:val="bottom"/>
            <w:shd w:val="clear" w:color="auto" w:fill="CCECFF"/>
          </w:tcPr>
          <w:p>
            <w:pPr>
              <w:spacing w:after="0"/>
              <w:rPr>
                <w:sz w:val="11"/>
                <w:szCs w:val="11"/>
                <w:color w:val="auto"/>
              </w:rPr>
            </w:pPr>
          </w:p>
        </w:tc>
        <w:tc>
          <w:tcPr>
            <w:tcW w:w="1940" w:type="dxa"/>
            <w:vAlign w:val="bottom"/>
            <w:shd w:val="clear" w:color="auto" w:fill="CCECFF"/>
          </w:tcPr>
          <w:p>
            <w:pPr>
              <w:spacing w:after="0"/>
              <w:rPr>
                <w:sz w:val="11"/>
                <w:szCs w:val="11"/>
                <w:color w:val="auto"/>
              </w:rPr>
            </w:pPr>
          </w:p>
        </w:tc>
      </w:tr>
      <w:tr>
        <w:trPr>
          <w:trHeight w:val="156"/>
        </w:trPr>
        <w:tc>
          <w:tcPr>
            <w:tcW w:w="25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460,361</w:t>
            </w:r>
          </w:p>
        </w:tc>
        <w:tc>
          <w:tcPr>
            <w:tcW w:w="2200" w:type="dxa"/>
            <w:vAlign w:val="bottom"/>
          </w:tcPr>
          <w:p>
            <w:pPr>
              <w:jc w:val="center"/>
              <w:ind w:left="154"/>
              <w:spacing w:after="0" w:line="136" w:lineRule="exact"/>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5.4%</w:t>
            </w: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weighted averages disclosed in the table above were weighted by their relative fair value.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4"/>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9020" w:type="dxa"/>
            <w:vAlign w:val="bottom"/>
            <w:gridSpan w:val="12"/>
          </w:tcPr>
          <w:p>
            <w:pPr>
              <w:ind w:left="420"/>
              <w:spacing w:after="0"/>
              <w:rPr>
                <w:sz w:val="20"/>
                <w:szCs w:val="20"/>
                <w:color w:val="auto"/>
              </w:rPr>
            </w:pPr>
            <w:r>
              <w:rPr>
                <w:rFonts w:ascii="Times New Roman" w:cs="Times New Roman" w:eastAsia="Times New Roman" w:hAnsi="Times New Roman"/>
                <w:sz w:val="13"/>
                <w:szCs w:val="13"/>
                <w:color w:val="auto"/>
              </w:rPr>
              <w:t>Our investments, cash and cash equivalents, Truist Credit Facility, 2026 Notes and 2026 Notes-2 were categorized as follows in the fair value hierarchy: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6"/>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Fair Value at December 31, 2024</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68"/>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831,118</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831,118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5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124,794</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124,794</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342,154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1,298,066</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124,794</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1,089,469</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83,803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55,851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55,851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Borders>
              <w:bottom w:val="single" w:sz="8" w:color="auto"/>
            </w:tcBorders>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1,353,917</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55,851</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124,794</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1,089,469</w:t>
            </w:r>
          </w:p>
        </w:tc>
        <w:tc>
          <w:tcPr>
            <w:tcW w:w="22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83,803</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5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460,033</w:t>
            </w:r>
          </w:p>
        </w:tc>
        <w:tc>
          <w:tcPr>
            <w:tcW w:w="460" w:type="dxa"/>
            <w:vAlign w:val="bottom"/>
            <w:gridSpan w:val="2"/>
          </w:tcPr>
          <w:p>
            <w:pPr>
              <w:jc w:val="right"/>
              <w:ind w:right="105"/>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25"/>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460,033</w:t>
            </w:r>
          </w:p>
        </w:tc>
        <w:tc>
          <w:tcPr>
            <w:tcW w:w="3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2"/>
        </w:trPr>
        <w:tc>
          <w:tcPr>
            <w:tcW w:w="3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180" w:type="dxa"/>
            <w:vAlign w:val="bottom"/>
            <w:tcBorders>
              <w:bottom w:val="single" w:sz="8" w:color="CCECFF"/>
            </w:tcBorders>
            <w:shd w:val="clear" w:color="auto" w:fill="CCECFF"/>
          </w:tcPr>
          <w:p>
            <w:pPr>
              <w:spacing w:after="0"/>
              <w:rPr>
                <w:sz w:val="20"/>
                <w:szCs w:val="20"/>
                <w:color w:val="auto"/>
              </w:rPr>
            </w:pPr>
          </w:p>
        </w:tc>
        <w:tc>
          <w:tcPr>
            <w:tcW w:w="10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148,796</w:t>
            </w:r>
          </w:p>
        </w:tc>
        <w:tc>
          <w:tcPr>
            <w:tcW w:w="24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9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9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148,796</w:t>
            </w:r>
          </w:p>
        </w:tc>
        <w:tc>
          <w:tcPr>
            <w:tcW w:w="24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spacing w:after="0"/>
              <w:rPr>
                <w:sz w:val="20"/>
                <w:szCs w:val="20"/>
                <w:color w:val="auto"/>
              </w:rPr>
            </w:pPr>
          </w:p>
        </w:tc>
        <w:tc>
          <w:tcPr>
            <w:tcW w:w="9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120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5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163,293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163,293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Borders>
              <w:bottom w:val="single" w:sz="8" w:color="auto"/>
            </w:tcBorders>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772,122</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312,089</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460,033</w:t>
            </w:r>
          </w:p>
        </w:tc>
        <w:tc>
          <w:tcPr>
            <w:tcW w:w="22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1"/>
          <w:szCs w:val="11"/>
          <w:color w:val="auto"/>
        </w:rPr>
        <w:t>(1)In accordance with ASC Subtopic 820-10, Fair Value Measurements and Disclosures ("ASC 820-10"), our equity investment in PSLF and PTSF II are measured using the net asset value per share (or its equivalent) as a practical expedient for fair value, and thus has not been classified in the fair value hierarchy.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(2)We elected not to apply ASC 825-10 to the 2026 Notes and the 2026 Notes-2, and thus the balance reported in the Consolidated Statement of Assets and Liabilities represents the carrying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 Our U.S. Treasury Bills are classified as Level 2, as they were valued by the pricing service who utilize broker-supplied prices.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6"/>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 at September 30, 2024</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48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311,622</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76,049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1,377,911</w:t>
            </w:r>
          </w:p>
        </w:tc>
        <w:tc>
          <w:tcPr>
            <w:tcW w:w="48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48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46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76,049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6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36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0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shd w:val="clear" w:color="auto" w:fill="CCECFF"/>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460,361</w:t>
            </w:r>
          </w:p>
        </w:tc>
        <w:tc>
          <w:tcPr>
            <w:tcW w:w="24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460,361</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772,012</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311,651</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112014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12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0"/>
          <w:szCs w:val="10"/>
          <w:color w:val="auto"/>
        </w:rPr>
        <w:t>(1)In accordance with ASC Subtopic 820-10, Fair Value Measurements and Disclosures ("ASC 820-10"), our equity investment in PSLF is measured using the net asset value per share (or its equivalent) as a practical expedient for fair value, and thus has not been classified in the fair value hierarchy.</w:t>
      </w:r>
    </w:p>
    <w:p>
      <w:pPr>
        <w:spacing w:after="0"/>
        <w:rPr>
          <w:sz w:val="20"/>
          <w:szCs w:val="20"/>
          <w:color w:val="auto"/>
        </w:rPr>
      </w:pPr>
      <w:r>
        <w:rPr>
          <w:rFonts w:ascii="Times New Roman" w:cs="Times New Roman" w:eastAsia="Times New Roman" w:hAnsi="Times New Roman"/>
          <w:sz w:val="10"/>
          <w:szCs w:val="10"/>
          <w:color w:val="auto"/>
        </w:rPr>
        <w:t>(2)We elected not to apply ASC 825-10 to the SBA debentures and the 2026 Notes and thus the balance reported in the Consolidated Statement of Assets and Liabilities represents the carrying value.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(3)Our U.S. Treasury Bills are classified as Level 2, as they were valued by the pricing service who utilize broker-supplied prices.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investments measured at fair value using significant unobservable inputs (Level 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3"/>
                <w:szCs w:val="13"/>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7"/>
                <w:szCs w:val="7"/>
                <w:color w:val="auto"/>
              </w:rPr>
            </w:pPr>
          </w:p>
        </w:tc>
        <w:tc>
          <w:tcPr>
            <w:tcW w:w="14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(3,075 )</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(2,512 )</w:t>
            </w: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(12,502 )</w:t>
            </w:r>
          </w:p>
        </w:tc>
        <w:tc>
          <w:tcPr>
            <w:tcW w:w="10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17,114</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4,612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281,958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(352,059 )</w:t>
            </w:r>
          </w:p>
        </w:tc>
        <w:tc>
          <w:tcPr>
            <w:tcW w:w="100" w:type="dxa"/>
            <w:vAlign w:val="bottom"/>
            <w:shd w:val="clear" w:color="auto" w:fill="CCECFF"/>
          </w:tcPr>
          <w:p>
            <w:pPr>
              <w:spacing w:after="0"/>
              <w:rPr>
                <w:sz w:val="13"/>
                <w:szCs w:val="13"/>
                <w:color w:val="auto"/>
              </w:rPr>
            </w:pPr>
          </w:p>
        </w:tc>
        <w:tc>
          <w:tcPr>
            <w:tcW w:w="1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(1,612 )</w:t>
            </w:r>
          </w:p>
        </w:tc>
        <w:tc>
          <w:tcPr>
            <w:tcW w:w="28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(353,671 )</w:t>
            </w:r>
          </w:p>
        </w:tc>
        <w:tc>
          <w:tcPr>
            <w:tcW w:w="0" w:type="dxa"/>
            <w:vAlign w:val="bottom"/>
          </w:tcPr>
          <w:p>
            <w:pPr>
              <w:spacing w:after="0"/>
              <w:rPr>
                <w:sz w:val="1"/>
                <w:szCs w:val="1"/>
                <w:color w:val="auto"/>
              </w:rPr>
            </w:pPr>
          </w:p>
        </w:tc>
      </w:tr>
      <w:tr>
        <w:trPr>
          <w:trHeight w:val="172"/>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831,118</w:t>
            </w:r>
          </w:p>
        </w:tc>
        <w:tc>
          <w:tcPr>
            <w:tcW w:w="26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258,351</w:t>
            </w:r>
          </w:p>
        </w:tc>
        <w:tc>
          <w:tcPr>
            <w:tcW w:w="24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1,089,469</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98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tcPr>
          <w:p>
            <w:pPr>
              <w:jc w:val="right"/>
              <w:ind w:right="200"/>
              <w:spacing w:after="0" w:line="267" w:lineRule="exact"/>
              <w:rPr>
                <w:sz w:val="20"/>
                <w:szCs w:val="20"/>
                <w:color w:val="auto"/>
              </w:rPr>
            </w:pPr>
            <w:r>
              <w:rPr>
                <w:rFonts w:ascii="Times New Roman" w:cs="Times New Roman" w:eastAsia="Times New Roman" w:hAnsi="Times New Roman"/>
                <w:sz w:val="13"/>
                <w:szCs w:val="13"/>
                <w:color w:val="auto"/>
              </w:rPr>
              <w:t xml:space="preserve">(13,385 </w:t>
            </w:r>
            <w:r>
              <w:rPr>
                <w:rFonts w:ascii="Times New Roman" w:cs="Times New Roman" w:eastAsia="Times New Roman" w:hAnsi="Times New Roman"/>
                <w:sz w:val="26"/>
                <w:szCs w:val="26"/>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17,999</w:t>
            </w:r>
          </w:p>
        </w:tc>
        <w:tc>
          <w:tcPr>
            <w:tcW w:w="240" w:type="dxa"/>
            <w:vAlign w:val="bottom"/>
          </w:tcPr>
          <w:p>
            <w:pPr>
              <w:spacing w:after="0"/>
              <w:rPr>
                <w:sz w:val="13"/>
                <w:szCs w:val="13"/>
                <w:color w:val="auto"/>
              </w:rPr>
            </w:pP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980" w:type="dxa"/>
            <w:vAlign w:val="bottom"/>
          </w:tcPr>
          <w:p>
            <w:pPr>
              <w:ind w:left="12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3"/>
                <w:szCs w:val="13"/>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7"/>
                <w:szCs w:val="7"/>
                <w:color w:val="auto"/>
              </w:rPr>
            </w:pPr>
          </w:p>
        </w:tc>
        <w:tc>
          <w:tcPr>
            <w:tcW w:w="14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(6,208 )</w:t>
            </w:r>
          </w:p>
        </w:tc>
        <w:tc>
          <w:tcPr>
            <w:tcW w:w="10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(5,890 )</w:t>
            </w: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217,360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(68,214 )</w:t>
            </w:r>
          </w:p>
        </w:tc>
        <w:tc>
          <w:tcPr>
            <w:tcW w:w="100" w:type="dxa"/>
            <w:vAlign w:val="bottom"/>
            <w:shd w:val="clear" w:color="auto" w:fill="CCECFF"/>
          </w:tcPr>
          <w:p>
            <w:pPr>
              <w:spacing w:after="0"/>
              <w:rPr>
                <w:sz w:val="13"/>
                <w:szCs w:val="13"/>
                <w:color w:val="auto"/>
              </w:rPr>
            </w:pPr>
          </w:p>
        </w:tc>
        <w:tc>
          <w:tcPr>
            <w:tcW w:w="1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(2,724 )</w:t>
            </w:r>
          </w:p>
        </w:tc>
        <w:tc>
          <w:tcPr>
            <w:tcW w:w="28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(70,938 )</w:t>
            </w: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907,208</w:t>
            </w:r>
          </w:p>
        </w:tc>
        <w:tc>
          <w:tcPr>
            <w:tcW w:w="26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178,256</w:t>
            </w:r>
          </w:p>
        </w:tc>
        <w:tc>
          <w:tcPr>
            <w:tcW w:w="24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1,085,464</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98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tcPr>
          <w:p>
            <w:pPr>
              <w:jc w:val="right"/>
              <w:ind w:right="200"/>
              <w:spacing w:after="0" w:line="267" w:lineRule="exact"/>
              <w:rPr>
                <w:sz w:val="20"/>
                <w:szCs w:val="20"/>
                <w:color w:val="auto"/>
              </w:rPr>
            </w:pPr>
            <w:r>
              <w:rPr>
                <w:rFonts w:ascii="Times New Roman" w:cs="Times New Roman" w:eastAsia="Times New Roman" w:hAnsi="Times New Roman"/>
                <w:sz w:val="13"/>
                <w:szCs w:val="13"/>
                <w:color w:val="auto"/>
              </w:rPr>
              <w:t xml:space="preserve">(6,333 </w:t>
            </w:r>
            <w:r>
              <w:rPr>
                <w:rFonts w:ascii="Times New Roman" w:cs="Times New Roman" w:eastAsia="Times New Roman" w:hAnsi="Times New Roman"/>
                <w:sz w:val="26"/>
                <w:szCs w:val="26"/>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240" w:type="dxa"/>
            <w:vAlign w:val="bottom"/>
          </w:tcPr>
          <w:p>
            <w:pPr>
              <w:spacing w:after="0"/>
              <w:rPr>
                <w:sz w:val="13"/>
                <w:szCs w:val="13"/>
                <w:color w:val="auto"/>
              </w:rPr>
            </w:pP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vMerge w:val="restart"/>
          </w:tcPr>
          <w:p>
            <w:pPr>
              <w:jc w:val="right"/>
              <w:ind w:right="40"/>
              <w:spacing w:after="0" w:line="267" w:lineRule="exact"/>
              <w:rPr>
                <w:sz w:val="20"/>
                <w:szCs w:val="20"/>
                <w:color w:val="auto"/>
              </w:rPr>
            </w:pPr>
            <w:r>
              <w:rPr>
                <w:rFonts w:ascii="Times New Roman" w:cs="Times New Roman" w:eastAsia="Times New Roman" w:hAnsi="Times New Roman"/>
                <w:sz w:val="13"/>
                <w:szCs w:val="13"/>
                <w:color w:val="auto"/>
              </w:rPr>
              <w:t xml:space="preserve">(3,625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32"/>
        </w:trPr>
        <w:tc>
          <w:tcPr>
            <w:tcW w:w="5980" w:type="dxa"/>
            <w:vAlign w:val="bottom"/>
          </w:tcPr>
          <w:p>
            <w:pPr>
              <w:ind w:left="12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2900" w:type="dxa"/>
            <w:vAlign w:val="bottom"/>
            <w:gridSpan w:val="2"/>
          </w:tcPr>
          <w:p>
            <w:pPr>
              <w:jc w:val="right"/>
              <w:ind w:right="150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6"/>
        </w:trPr>
        <w:tc>
          <w:tcPr>
            <w:tcW w:w="9260" w:type="dxa"/>
            <w:vAlign w:val="bottom"/>
            <w:gridSpan w:val="6"/>
          </w:tcPr>
          <w:p>
            <w:pPr>
              <w:ind w:left="420"/>
              <w:spacing w:after="0"/>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measured at fair value using significant unobservable inputs (Level 3):</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8"/>
        </w:trPr>
        <w:tc>
          <w:tcPr>
            <w:tcW w:w="4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5"/>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r>
      <w:tr>
        <w:trPr>
          <w:trHeight w:val="170"/>
        </w:trPr>
        <w:tc>
          <w:tcPr>
            <w:tcW w:w="4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Credit Facility</w:t>
            </w:r>
          </w:p>
        </w:tc>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56"/>
        </w:trPr>
        <w:tc>
          <w:tcPr>
            <w:tcW w:w="4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 (cost – $461,456 and $212,420, respectively)</w:t>
            </w:r>
          </w:p>
        </w:tc>
        <w:tc>
          <w:tcPr>
            <w:tcW w:w="2900" w:type="dxa"/>
            <w:vAlign w:val="bottom"/>
            <w:gridSpan w:val="2"/>
            <w:shd w:val="clear" w:color="auto" w:fill="CCECFF"/>
          </w:tcPr>
          <w:p>
            <w:pPr>
              <w:jc w:val="right"/>
              <w:ind w:right="26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80" w:type="dxa"/>
            <w:vAlign w:val="bottom"/>
            <w:shd w:val="clear" w:color="auto" w:fill="CCECFF"/>
          </w:tcPr>
          <w:p>
            <w:pPr>
              <w:spacing w:after="0"/>
              <w:rPr>
                <w:sz w:val="13"/>
                <w:szCs w:val="13"/>
                <w:color w:val="auto"/>
              </w:rPr>
            </w:pPr>
          </w:p>
        </w:tc>
      </w:tr>
      <w:tr>
        <w:trPr>
          <w:trHeight w:val="156"/>
        </w:trPr>
        <w:tc>
          <w:tcPr>
            <w:tcW w:w="44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 included in earnings</w:t>
            </w:r>
          </w:p>
        </w:tc>
        <w:tc>
          <w:tcPr>
            <w:tcW w:w="2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(3,328 )</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80" w:type="dxa"/>
            <w:vAlign w:val="bottom"/>
          </w:tcPr>
          <w:p>
            <w:pPr>
              <w:spacing w:after="0"/>
              <w:rPr>
                <w:sz w:val="13"/>
                <w:szCs w:val="13"/>
                <w:color w:val="auto"/>
              </w:rPr>
            </w:pPr>
          </w:p>
        </w:tc>
      </w:tr>
      <w:tr>
        <w:trPr>
          <w:trHeight w:val="156"/>
        </w:trPr>
        <w:tc>
          <w:tcPr>
            <w:tcW w:w="4480" w:type="dxa"/>
            <w:vAlign w:val="bottom"/>
            <w:shd w:val="clear" w:color="auto" w:fill="CCECFF"/>
          </w:tcPr>
          <w:p>
            <w:pPr>
              <w:ind w:left="340"/>
              <w:spacing w:after="0" w:line="156"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(1)</w:t>
            </w:r>
          </w:p>
        </w:tc>
        <w:tc>
          <w:tcPr>
            <w:tcW w:w="252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228,036</w:t>
            </w:r>
          </w:p>
        </w:tc>
        <w:tc>
          <w:tcPr>
            <w:tcW w:w="80" w:type="dxa"/>
            <w:vAlign w:val="bottom"/>
            <w:shd w:val="clear" w:color="auto" w:fill="CCECFF"/>
          </w:tcPr>
          <w:p>
            <w:pPr>
              <w:spacing w:after="0"/>
              <w:rPr>
                <w:sz w:val="13"/>
                <w:szCs w:val="13"/>
                <w:color w:val="auto"/>
              </w:rPr>
            </w:pPr>
          </w:p>
        </w:tc>
      </w:tr>
      <w:tr>
        <w:trPr>
          <w:trHeight w:val="156"/>
        </w:trPr>
        <w:tc>
          <w:tcPr>
            <w:tcW w:w="4480" w:type="dxa"/>
            <w:vAlign w:val="bottom"/>
          </w:tcPr>
          <w:p>
            <w:pPr>
              <w:ind w:left="340"/>
              <w:spacing w:after="0" w:line="156" w:lineRule="exact"/>
              <w:rPr>
                <w:sz w:val="20"/>
                <w:szCs w:val="20"/>
                <w:color w:val="auto"/>
              </w:rPr>
            </w:pPr>
            <w:r>
              <w:rPr>
                <w:rFonts w:ascii="Times New Roman" w:cs="Times New Roman" w:eastAsia="Times New Roman" w:hAnsi="Times New Roman"/>
                <w:sz w:val="13"/>
                <w:szCs w:val="13"/>
                <w:color w:val="auto"/>
              </w:rPr>
              <w:t xml:space="preserve">Repayments </w:t>
            </w:r>
            <w:r>
              <w:rPr>
                <w:rFonts w:ascii="Times New Roman" w:cs="Times New Roman" w:eastAsia="Times New Roman" w:hAnsi="Times New Roman"/>
                <w:sz w:val="16"/>
                <w:szCs w:val="16"/>
                <w:color w:val="auto"/>
                <w:vertAlign w:val="superscript"/>
              </w:rPr>
              <w:t>(1)</w:t>
            </w:r>
          </w:p>
        </w:tc>
        <w:tc>
          <w:tcPr>
            <w:tcW w:w="2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(52,000 )</w:t>
            </w:r>
          </w:p>
        </w:tc>
        <w:tc>
          <w:tcPr>
            <w:tcW w:w="36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(52,000 )</w:t>
            </w:r>
          </w:p>
        </w:tc>
      </w:tr>
      <w:tr>
        <w:trPr>
          <w:trHeight w:val="156"/>
        </w:trPr>
        <w:tc>
          <w:tcPr>
            <w:tcW w:w="44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52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5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4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Ending balance (cost – $464,456 and $388,456, respectively)</w:t>
            </w:r>
          </w:p>
        </w:tc>
        <w:tc>
          <w:tcPr>
            <w:tcW w:w="2520" w:type="dxa"/>
            <w:vAlign w:val="bottom"/>
          </w:tcPr>
          <w:p>
            <w:pPr>
              <w:spacing w:after="0"/>
              <w:rPr>
                <w:sz w:val="13"/>
                <w:szCs w:val="13"/>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460,033</w:t>
            </w:r>
          </w:p>
        </w:tc>
        <w:tc>
          <w:tcPr>
            <w:tcW w:w="280" w:type="dxa"/>
            <w:vAlign w:val="bottom"/>
          </w:tcPr>
          <w:p>
            <w:pPr>
              <w:spacing w:after="0"/>
              <w:rPr>
                <w:sz w:val="13"/>
                <w:szCs w:val="13"/>
                <w:color w:val="auto"/>
              </w:rPr>
            </w:pPr>
          </w:p>
        </w:tc>
        <w:tc>
          <w:tcPr>
            <w:tcW w:w="360" w:type="dxa"/>
            <w:vAlign w:val="bottom"/>
            <w:tcBorders>
              <w:bottom w:val="single" w:sz="8" w:color="auto"/>
            </w:tcBorders>
          </w:tcPr>
          <w:p>
            <w:pPr>
              <w:jc w:val="right"/>
              <w:ind w:right="2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385,016</w:t>
            </w:r>
          </w:p>
        </w:tc>
        <w:tc>
          <w:tcPr>
            <w:tcW w:w="80" w:type="dxa"/>
            <w:vAlign w:val="bottom"/>
          </w:tcPr>
          <w:p>
            <w:pPr>
              <w:spacing w:after="0"/>
              <w:rPr>
                <w:sz w:val="13"/>
                <w:szCs w:val="13"/>
                <w:color w:val="auto"/>
              </w:rPr>
            </w:pPr>
          </w:p>
        </w:tc>
      </w:tr>
      <w:tr>
        <w:trPr>
          <w:trHeight w:val="20"/>
        </w:trPr>
        <w:tc>
          <w:tcPr>
            <w:tcW w:w="4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480" w:type="dxa"/>
            <w:vAlign w:val="bottom"/>
            <w:shd w:val="clear" w:color="auto" w:fill="CCECFF"/>
          </w:tcPr>
          <w:p>
            <w:pPr>
              <w:ind w:left="340"/>
              <w:spacing w:after="0" w:line="133" w:lineRule="exact"/>
              <w:rPr>
                <w:sz w:val="20"/>
                <w:szCs w:val="20"/>
                <w:color w:val="auto"/>
              </w:rPr>
            </w:pPr>
            <w:r>
              <w:rPr>
                <w:rFonts w:ascii="Times New Roman" w:cs="Times New Roman" w:eastAsia="Times New Roman" w:hAnsi="Times New Roman"/>
                <w:sz w:val="13"/>
                <w:szCs w:val="13"/>
                <w:color w:val="auto"/>
              </w:rPr>
              <w:t>Temporary draws outstanding, at cost</w:t>
            </w:r>
          </w:p>
        </w:tc>
        <w:tc>
          <w:tcPr>
            <w:tcW w:w="2520" w:type="dxa"/>
            <w:vAlign w:val="bottom"/>
            <w:shd w:val="clear" w:color="auto" w:fill="CCECFF"/>
          </w:tcPr>
          <w:p>
            <w:pPr>
              <w:spacing w:after="0"/>
              <w:rPr>
                <w:sz w:val="11"/>
                <w:szCs w:val="11"/>
                <w:color w:val="auto"/>
              </w:rPr>
            </w:pPr>
          </w:p>
        </w:tc>
        <w:tc>
          <w:tcPr>
            <w:tcW w:w="380" w:type="dxa"/>
            <w:vAlign w:val="bottom"/>
            <w:tcBorders>
              <w:top w:val="single" w:sz="8" w:color="auto"/>
            </w:tcBorders>
            <w:shd w:val="clear" w:color="auto" w:fill="CCECFF"/>
          </w:tcPr>
          <w:p>
            <w:pPr>
              <w:spacing w:after="0"/>
              <w:rPr>
                <w:sz w:val="11"/>
                <w:szCs w:val="11"/>
                <w:color w:val="auto"/>
              </w:rPr>
            </w:pPr>
          </w:p>
        </w:tc>
        <w:tc>
          <w:tcPr>
            <w:tcW w:w="12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1"/>
                <w:szCs w:val="11"/>
                <w:color w:val="auto"/>
              </w:rPr>
            </w:pPr>
          </w:p>
        </w:tc>
        <w:tc>
          <w:tcPr>
            <w:tcW w:w="36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r>
      <w:tr>
        <w:trPr>
          <w:trHeight w:val="156"/>
        </w:trPr>
        <w:tc>
          <w:tcPr>
            <w:tcW w:w="44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Ending balance (cost – $464,456 and $388,456, respectively)</w:t>
            </w:r>
          </w:p>
        </w:tc>
        <w:tc>
          <w:tcPr>
            <w:tcW w:w="2900" w:type="dxa"/>
            <w:vAlign w:val="bottom"/>
            <w:gridSpan w:val="2"/>
          </w:tcPr>
          <w:p>
            <w:pPr>
              <w:jc w:val="right"/>
              <w:ind w:right="26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460,033</w:t>
            </w:r>
          </w:p>
        </w:tc>
        <w:tc>
          <w:tcPr>
            <w:tcW w:w="280" w:type="dxa"/>
            <w:vAlign w:val="bottom"/>
          </w:tcPr>
          <w:p>
            <w:pPr>
              <w:spacing w:after="0"/>
              <w:rPr>
                <w:sz w:val="13"/>
                <w:szCs w:val="13"/>
                <w:color w:val="auto"/>
              </w:rPr>
            </w:pPr>
          </w:p>
        </w:tc>
        <w:tc>
          <w:tcPr>
            <w:tcW w:w="360" w:type="dxa"/>
            <w:vAlign w:val="bottom"/>
          </w:tcPr>
          <w:p>
            <w:pPr>
              <w:jc w:val="right"/>
              <w:ind w:right="2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385,016</w:t>
            </w:r>
          </w:p>
        </w:tc>
        <w:tc>
          <w:tcPr>
            <w:tcW w:w="80" w:type="dxa"/>
            <w:vAlign w:val="bottom"/>
          </w:tcPr>
          <w:p>
            <w:pPr>
              <w:spacing w:after="0"/>
              <w:rPr>
                <w:sz w:val="13"/>
                <w:szCs w:val="13"/>
                <w:color w:val="auto"/>
              </w:rPr>
            </w:pPr>
          </w:p>
        </w:tc>
      </w:tr>
      <w:tr>
        <w:trPr>
          <w:trHeight w:val="20"/>
        </w:trPr>
        <w:tc>
          <w:tcPr>
            <w:tcW w:w="4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Excludes temporary draws.</w:t>
      </w:r>
    </w:p>
    <w:p>
      <w:pPr>
        <w:spacing w:after="0" w:line="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December 31, 2024, we had outstanding non-U.S. dollar borrowings on our Truist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Unrealized appreciation/</w:t>
            </w:r>
          </w:p>
        </w:tc>
      </w:tr>
      <w:tr>
        <w:trPr>
          <w:trHeight w:val="17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4"/>
                <w:szCs w:val="14"/>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4"/>
                <w:szCs w:val="14"/>
                <w:color w:val="auto"/>
              </w:rPr>
            </w:pPr>
          </w:p>
        </w:tc>
        <w:tc>
          <w:tcPr>
            <w:tcW w:w="158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440" w:type="dxa"/>
            <w:vAlign w:val="bottom"/>
          </w:tcPr>
          <w:p>
            <w:pPr>
              <w:spacing w:after="0"/>
              <w:rPr>
                <w:sz w:val="14"/>
                <w:szCs w:val="1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(depreciation)</w:t>
            </w:r>
          </w:p>
        </w:tc>
      </w:tr>
      <w:tr>
        <w:trPr>
          <w:trHeight w:val="156"/>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rPr>
              <w:t>45,086</w:t>
            </w:r>
          </w:p>
        </w:tc>
        <w:tc>
          <w:tcPr>
            <w:tcW w:w="1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March 31, 2025</w:t>
            </w:r>
          </w:p>
        </w:tc>
        <w:tc>
          <w:tcPr>
            <w:tcW w:w="4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4,333</w:t>
            </w:r>
          </w:p>
        </w:tc>
      </w:tr>
      <w:tr>
        <w:trPr>
          <w:trHeight w:val="172"/>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620" w:type="dxa"/>
            <w:vAlign w:val="bottom"/>
          </w:tcPr>
          <w:p>
            <w:pPr>
              <w:spacing w:after="0"/>
              <w:rPr>
                <w:sz w:val="14"/>
                <w:szCs w:val="14"/>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CAD 2,800</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2,036</w:t>
            </w: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1,947</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28, 2025</w:t>
            </w: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89</w:t>
            </w:r>
          </w:p>
        </w:tc>
      </w:tr>
    </w:tbl>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2024, we had outstanding non-U.S. dollar borrowings on our Truist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Unrealized appreciation/</w:t>
            </w:r>
          </w:p>
        </w:tc>
      </w:tr>
      <w:tr>
        <w:trPr>
          <w:trHeight w:val="17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4"/>
                <w:szCs w:val="14"/>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4"/>
                <w:szCs w:val="14"/>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400" w:type="dxa"/>
            <w:vAlign w:val="bottom"/>
          </w:tcPr>
          <w:p>
            <w:pPr>
              <w:spacing w:after="0"/>
              <w:rPr>
                <w:sz w:val="14"/>
                <w:szCs w:val="1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(depreciation)</w:t>
            </w:r>
          </w:p>
        </w:tc>
      </w:tr>
      <w:tr>
        <w:trPr>
          <w:trHeight w:val="156"/>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48,289</w:t>
            </w: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28, 2024</w:t>
            </w:r>
          </w:p>
        </w:tc>
        <w:tc>
          <w:tcPr>
            <w:tcW w:w="4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1,131</w:t>
            </w:r>
          </w:p>
        </w:tc>
      </w:tr>
      <w:tr>
        <w:trPr>
          <w:trHeight w:val="172"/>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620" w:type="dxa"/>
            <w:vAlign w:val="bottom"/>
          </w:tcPr>
          <w:p>
            <w:pPr>
              <w:spacing w:after="0"/>
              <w:rPr>
                <w:sz w:val="14"/>
                <w:szCs w:val="14"/>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CAD 2,800</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2,036</w:t>
            </w: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2,073</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23, 2024</w:t>
            </w:r>
          </w:p>
        </w:tc>
        <w:tc>
          <w:tcPr>
            <w:tcW w:w="4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(37 )</w:t>
            </w:r>
          </w:p>
        </w:tc>
      </w:tr>
    </w:tbl>
    <w:p>
      <w:pPr>
        <w:spacing w:after="0" w:line="129"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during the three months ended December 31, 2024 and 2023.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Truist Credit Facility is reported in our Consolidated Statements of Operations. We did not elect to apply ASC 825-10 to any other financial assets or liabilities, including the, 2026 Notes, and 2026 Notes-2.</w:t>
      </w:r>
    </w:p>
    <w:p>
      <w:pPr>
        <w:spacing w:after="0" w:line="134" w:lineRule="exact"/>
        <w:rPr>
          <w:sz w:val="20"/>
          <w:szCs w:val="20"/>
          <w:color w:val="auto"/>
        </w:rPr>
      </w:pPr>
    </w:p>
    <w:p>
      <w:pPr>
        <w:jc w:val="both"/>
        <w:ind w:right="8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December 31, 2024 and 2023, the Truist Credit Facility had a net change in unrealized appreciation (depreciation) of $3.3 million and $(2.0) million, respectively. As of December 31, 2024 and September 30, 2024, the unrealized appreciation (depreciation) on the Truist Credit Facility totaled $4.4 million and $1.1 million, respectively. We use an independent valuation service to measure the fair value of our Truist Credit Facility in a manner consistent with the valuation process that our board of directors uses to value our investments.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4" w:name="page45"/>
    <w:bookmarkEnd w:id="44"/>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65"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2024 were as follows ($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Net Change in</w:t>
            </w:r>
          </w:p>
        </w:tc>
        <w:tc>
          <w:tcPr>
            <w:tcW w:w="8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Net Realized</w:t>
            </w: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Fair Value at</w:t>
            </w:r>
          </w:p>
        </w:tc>
        <w:tc>
          <w:tcPr>
            <w:tcW w:w="80" w:type="dxa"/>
            <w:vAlign w:val="bottom"/>
          </w:tcPr>
          <w:p>
            <w:pPr>
              <w:spacing w:after="0"/>
              <w:rPr>
                <w:sz w:val="10"/>
                <w:szCs w:val="10"/>
                <w:color w:val="auto"/>
              </w:rPr>
            </w:pPr>
          </w:p>
        </w:tc>
        <w:tc>
          <w:tcPr>
            <w:tcW w:w="60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382"/>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10"/>
                <w:szCs w:val="10"/>
                <w:color w:val="auto"/>
              </w:rPr>
            </w:pPr>
          </w:p>
        </w:tc>
        <w:tc>
          <w:tcPr>
            <w:tcW w:w="108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Appreciation /</w:t>
            </w:r>
          </w:p>
        </w:tc>
        <w:tc>
          <w:tcPr>
            <w:tcW w:w="80" w:type="dxa"/>
            <w:vAlign w:val="bottom"/>
          </w:tcPr>
          <w:p>
            <w:pPr>
              <w:spacing w:after="0"/>
              <w:rPr>
                <w:sz w:val="10"/>
                <w:szCs w:val="10"/>
                <w:color w:val="auto"/>
              </w:rPr>
            </w:pPr>
          </w:p>
        </w:tc>
        <w:tc>
          <w:tcPr>
            <w:tcW w:w="10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80" w:type="dxa"/>
            <w:vAlign w:val="bottom"/>
          </w:tcPr>
          <w:p>
            <w:pPr>
              <w:spacing w:after="0"/>
              <w:rPr>
                <w:sz w:val="10"/>
                <w:szCs w:val="10"/>
                <w:color w:val="auto"/>
              </w:rPr>
            </w:pPr>
          </w:p>
        </w:tc>
        <w:tc>
          <w:tcPr>
            <w:tcW w:w="72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PIK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3"/>
              </w:rPr>
              <w:t>Dividend</w:t>
            </w:r>
          </w:p>
        </w:tc>
        <w:tc>
          <w:tcPr>
            <w:tcW w:w="12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Gains</w:t>
            </w:r>
          </w:p>
        </w:tc>
        <w:tc>
          <w:tcPr>
            <w:tcW w:w="0" w:type="dxa"/>
            <w:vAlign w:val="bottom"/>
          </w:tcPr>
          <w:p>
            <w:pPr>
              <w:spacing w:after="0"/>
              <w:rPr>
                <w:sz w:val="1"/>
                <w:szCs w:val="1"/>
                <w:color w:val="auto"/>
              </w:rPr>
            </w:pPr>
          </w:p>
        </w:tc>
      </w:tr>
      <w:tr>
        <w:trPr>
          <w:trHeight w:val="144"/>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 of Investment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September 30, 2024</w:t>
            </w:r>
          </w:p>
        </w:tc>
        <w:tc>
          <w:tcPr>
            <w:tcW w:w="80" w:type="dxa"/>
            <w:vAlign w:val="bottom"/>
          </w:tcPr>
          <w:p>
            <w:pPr>
              <w:spacing w:after="0"/>
              <w:rPr>
                <w:sz w:val="12"/>
                <w:szCs w:val="12"/>
                <w:color w:val="auto"/>
              </w:rPr>
            </w:pPr>
          </w:p>
        </w:tc>
        <w:tc>
          <w:tcPr>
            <w:tcW w:w="600" w:type="dxa"/>
            <w:vAlign w:val="bottom"/>
          </w:tcPr>
          <w:p>
            <w:pPr>
              <w:jc w:val="right"/>
              <w:ind w:right="6"/>
              <w:spacing w:after="0" w:line="144" w:lineRule="exact"/>
              <w:rPr>
                <w:sz w:val="20"/>
                <w:szCs w:val="20"/>
                <w:color w:val="auto"/>
              </w:rPr>
            </w:pPr>
            <w:r>
              <w:rPr>
                <w:rFonts w:ascii="Times New Roman" w:cs="Times New Roman" w:eastAsia="Times New Roman" w:hAnsi="Times New Roman"/>
                <w:sz w:val="11"/>
                <w:szCs w:val="11"/>
                <w:b w:val="1"/>
                <w:bCs w:val="1"/>
                <w:color w:val="auto"/>
                <w:w w:val="91"/>
              </w:rPr>
              <w:t>Additions</w:t>
            </w:r>
            <w:r>
              <w:rPr>
                <w:rFonts w:ascii="Times New Roman" w:cs="Times New Roman" w:eastAsia="Times New Roman" w:hAnsi="Times New Roman"/>
                <w:sz w:val="14"/>
                <w:szCs w:val="14"/>
                <w:b w:val="1"/>
                <w:bCs w:val="1"/>
                <w:color w:val="auto"/>
                <w:w w:val="91"/>
                <w:vertAlign w:val="superscript"/>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w w:val="98"/>
              </w:rPr>
              <w:t>Reductions</w:t>
            </w:r>
          </w:p>
        </w:tc>
        <w:tc>
          <w:tcPr>
            <w:tcW w:w="100" w:type="dxa"/>
            <w:vAlign w:val="bottom"/>
          </w:tcPr>
          <w:p>
            <w:pPr>
              <w:spacing w:after="0"/>
              <w:rPr>
                <w:sz w:val="12"/>
                <w:szCs w:val="12"/>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(Depreciation)</w:t>
            </w:r>
          </w:p>
        </w:tc>
        <w:tc>
          <w:tcPr>
            <w:tcW w:w="80" w:type="dxa"/>
            <w:vAlign w:val="bottom"/>
          </w:tcPr>
          <w:p>
            <w:pPr>
              <w:spacing w:after="0"/>
              <w:rPr>
                <w:sz w:val="12"/>
                <w:szCs w:val="12"/>
                <w:color w:val="auto"/>
              </w:rPr>
            </w:pPr>
          </w:p>
        </w:tc>
        <w:tc>
          <w:tcPr>
            <w:tcW w:w="7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2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32"/>
        </w:trPr>
        <w:tc>
          <w:tcPr>
            <w:tcW w:w="2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Controlled Affiliates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AKW Holdings Limited</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60,798</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(3,755)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57,043</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1,592</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Flock Financial, LLC</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48,839</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49,662</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JF Intermediate, LLC</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(JF Holdings Corp.)</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90,858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2"/>
              <w:spacing w:after="0"/>
              <w:rPr>
                <w:sz w:val="20"/>
                <w:szCs w:val="20"/>
                <w:color w:val="auto"/>
              </w:rPr>
            </w:pPr>
            <w:r>
              <w:rPr>
                <w:rFonts w:ascii="Times New Roman" w:cs="Times New Roman" w:eastAsia="Times New Roman" w:hAnsi="Times New Roman"/>
                <w:sz w:val="11"/>
                <w:szCs w:val="11"/>
                <w:color w:val="auto"/>
              </w:rPr>
              <w:t>(125 )</w:t>
            </w: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35,502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126,284</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1,428</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10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(2)</w:t>
            </w:r>
          </w:p>
        </w:tc>
        <w:tc>
          <w:tcPr>
            <w:tcW w:w="12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183,809</w:t>
            </w: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26,250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(1,843)</w:t>
            </w:r>
          </w:p>
        </w:tc>
        <w:tc>
          <w:tcPr>
            <w:tcW w:w="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208,216</w:t>
            </w:r>
          </w:p>
        </w:tc>
        <w:tc>
          <w:tcPr>
            <w:tcW w:w="8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4,235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1"/>
                <w:szCs w:val="11"/>
                <w:color w:val="auto"/>
              </w:rPr>
              <w:t>4,851</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Controlled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384,304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2"/>
              <w:spacing w:after="0"/>
              <w:rPr>
                <w:sz w:val="20"/>
                <w:szCs w:val="20"/>
                <w:color w:val="auto"/>
              </w:rPr>
            </w:pPr>
            <w:r>
              <w:rPr>
                <w:rFonts w:ascii="Times New Roman" w:cs="Times New Roman" w:eastAsia="Times New Roman" w:hAnsi="Times New Roman"/>
                <w:sz w:val="11"/>
                <w:szCs w:val="11"/>
                <w:color w:val="auto"/>
              </w:rPr>
              <w:t>(125 )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29,904</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441,205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7,255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4,851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Non-Controlled Affiliates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29,262</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(19,945 )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9,317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12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4,161</w:t>
            </w: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(2,821)</w:t>
            </w:r>
          </w:p>
        </w:tc>
        <w:tc>
          <w:tcPr>
            <w:tcW w:w="8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1,715</w:t>
            </w:r>
          </w:p>
        </w:tc>
        <w:tc>
          <w:tcPr>
            <w:tcW w:w="8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Non-Controlled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33,423</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(22,766 )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11,032</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Controlled and</w:t>
            </w: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417,727</w:t>
            </w:r>
          </w:p>
        </w:tc>
        <w:tc>
          <w:tcPr>
            <w:tcW w:w="220" w:type="dxa"/>
            <w:vAlign w:val="bottom"/>
            <w:shd w:val="clear" w:color="auto" w:fill="CCECFF"/>
          </w:tcPr>
          <w:p>
            <w:pPr>
              <w:spacing w:after="0"/>
              <w:rPr>
                <w:sz w:val="11"/>
                <w:szCs w:val="11"/>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27,497</w:t>
            </w:r>
          </w:p>
        </w:tc>
        <w:tc>
          <w:tcPr>
            <w:tcW w:w="220" w:type="dxa"/>
            <w:vAlign w:val="bottom"/>
            <w:shd w:val="clear" w:color="auto" w:fill="CCECFF"/>
          </w:tcPr>
          <w:p>
            <w:pPr>
              <w:spacing w:after="0"/>
              <w:rPr>
                <w:sz w:val="11"/>
                <w:szCs w:val="11"/>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20" w:type="dxa"/>
            <w:vAlign w:val="bottom"/>
            <w:shd w:val="clear" w:color="auto" w:fill="CCECFF"/>
          </w:tcPr>
          <w:p>
            <w:pPr>
              <w:spacing w:after="0"/>
              <w:rPr>
                <w:sz w:val="11"/>
                <w:szCs w:val="11"/>
                <w:color w:val="auto"/>
              </w:rPr>
            </w:pP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7,138</w:t>
            </w:r>
          </w:p>
        </w:tc>
        <w:tc>
          <w:tcPr>
            <w:tcW w:w="220" w:type="dxa"/>
            <w:vAlign w:val="bottom"/>
            <w:shd w:val="clear" w:color="auto" w:fill="CCECFF"/>
          </w:tcPr>
          <w:p>
            <w:pPr>
              <w:spacing w:after="0"/>
              <w:rPr>
                <w:sz w:val="11"/>
                <w:szCs w:val="11"/>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452,237</w:t>
            </w:r>
          </w:p>
        </w:tc>
        <w:tc>
          <w:tcPr>
            <w:tcW w:w="220" w:type="dxa"/>
            <w:vAlign w:val="bottom"/>
            <w:shd w:val="clear" w:color="auto" w:fill="CCECFF"/>
          </w:tcPr>
          <w:p>
            <w:pPr>
              <w:spacing w:after="0"/>
              <w:rPr>
                <w:sz w:val="11"/>
                <w:szCs w:val="11"/>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7,255</w:t>
            </w:r>
          </w:p>
        </w:tc>
        <w:tc>
          <w:tcPr>
            <w:tcW w:w="220" w:type="dxa"/>
            <w:vAlign w:val="bottom"/>
            <w:shd w:val="clear" w:color="auto" w:fill="CCECFF"/>
          </w:tcPr>
          <w:p>
            <w:pPr>
              <w:spacing w:after="0"/>
              <w:rPr>
                <w:sz w:val="11"/>
                <w:szCs w:val="11"/>
                <w:color w:val="auto"/>
              </w:rPr>
            </w:pPr>
          </w:p>
        </w:tc>
        <w:tc>
          <w:tcPr>
            <w:tcW w:w="120" w:type="dxa"/>
            <w:vAlign w:val="bottom"/>
            <w:vMerge w:val="restart"/>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200" w:type="dxa"/>
            <w:vAlign w:val="bottom"/>
            <w:shd w:val="clear" w:color="auto" w:fill="CCECFF"/>
          </w:tcPr>
          <w:p>
            <w:pPr>
              <w:spacing w:after="0"/>
              <w:rPr>
                <w:sz w:val="11"/>
                <w:szCs w:val="11"/>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200" w:type="dxa"/>
            <w:vAlign w:val="bottom"/>
            <w:shd w:val="clear" w:color="auto" w:fill="CCECFF"/>
          </w:tcPr>
          <w:p>
            <w:pPr>
              <w:spacing w:after="0"/>
              <w:rPr>
                <w:sz w:val="11"/>
                <w:szCs w:val="11"/>
                <w:color w:val="auto"/>
              </w:rPr>
            </w:pPr>
          </w:p>
        </w:tc>
        <w:tc>
          <w:tcPr>
            <w:tcW w:w="120" w:type="dxa"/>
            <w:vAlign w:val="bottom"/>
            <w:vMerge w:val="restart"/>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00" w:type="dxa"/>
            <w:vAlign w:val="bottom"/>
            <w:tcBorders>
              <w:bottom w:val="single" w:sz="8" w:color="CCECFF"/>
            </w:tcBorders>
            <w:shd w:val="clear" w:color="auto" w:fill="CCECFF"/>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Non-Controlled Affiliates</w:t>
            </w:r>
          </w:p>
        </w:tc>
        <w:tc>
          <w:tcPr>
            <w:tcW w:w="120" w:type="dxa"/>
            <w:vAlign w:val="bottom"/>
            <w:tcBorders>
              <w:bottom w:val="single" w:sz="8" w:color="auto"/>
            </w:tcBorders>
            <w:vMerge w:val="continue"/>
            <w:shd w:val="clear" w:color="auto" w:fill="CCECFF"/>
          </w:tcPr>
          <w:p>
            <w:pPr>
              <w:spacing w:after="0"/>
              <w:rPr>
                <w:sz w:val="12"/>
                <w:szCs w:val="12"/>
                <w:color w:val="auto"/>
              </w:rPr>
            </w:pPr>
          </w:p>
        </w:tc>
        <w:tc>
          <w:tcPr>
            <w:tcW w:w="840" w:type="dxa"/>
            <w:vAlign w:val="bottom"/>
            <w:tcBorders>
              <w:bottom w:val="single" w:sz="8" w:color="auto"/>
            </w:tcBorders>
            <w:vMerge w:val="continue"/>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vMerge w:val="continue"/>
            <w:shd w:val="clear" w:color="auto" w:fill="CCECFF"/>
          </w:tcPr>
          <w:p>
            <w:pPr>
              <w:spacing w:after="0"/>
              <w:rPr>
                <w:sz w:val="12"/>
                <w:szCs w:val="12"/>
                <w:color w:val="auto"/>
              </w:rPr>
            </w:pPr>
          </w:p>
        </w:tc>
        <w:tc>
          <w:tcPr>
            <w:tcW w:w="600" w:type="dxa"/>
            <w:vAlign w:val="bottom"/>
            <w:tcBorders>
              <w:bottom w:val="single" w:sz="8" w:color="auto"/>
            </w:tcBorders>
            <w:vMerge w:val="continue"/>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vMerge w:val="continue"/>
            <w:shd w:val="clear" w:color="auto" w:fill="CCECFF"/>
          </w:tcPr>
          <w:p>
            <w:pPr>
              <w:spacing w:after="0"/>
              <w:rPr>
                <w:sz w:val="12"/>
                <w:szCs w:val="12"/>
                <w:color w:val="auto"/>
              </w:rPr>
            </w:pPr>
          </w:p>
        </w:tc>
        <w:tc>
          <w:tcPr>
            <w:tcW w:w="620" w:type="dxa"/>
            <w:vAlign w:val="bottom"/>
            <w:tcBorders>
              <w:bottom w:val="single" w:sz="8" w:color="auto"/>
            </w:tcBorders>
            <w:vMerge w:val="continue"/>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jc w:val="right"/>
              <w:ind w:right="142"/>
              <w:spacing w:after="0" w:line="91" w:lineRule="exact"/>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vMerge w:val="continue"/>
            <w:shd w:val="clear" w:color="auto" w:fill="CCECFF"/>
          </w:tcPr>
          <w:p>
            <w:pPr>
              <w:spacing w:after="0"/>
              <w:rPr>
                <w:sz w:val="12"/>
                <w:szCs w:val="12"/>
                <w:color w:val="auto"/>
              </w:rPr>
            </w:pPr>
          </w:p>
        </w:tc>
        <w:tc>
          <w:tcPr>
            <w:tcW w:w="860" w:type="dxa"/>
            <w:vAlign w:val="bottom"/>
            <w:tcBorders>
              <w:bottom w:val="single" w:sz="8" w:color="auto"/>
            </w:tcBorders>
            <w:vMerge w:val="continue"/>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vMerge w:val="continue"/>
            <w:shd w:val="clear" w:color="auto" w:fill="CCECFF"/>
          </w:tcPr>
          <w:p>
            <w:pPr>
              <w:spacing w:after="0"/>
              <w:rPr>
                <w:sz w:val="12"/>
                <w:szCs w:val="12"/>
                <w:color w:val="auto"/>
              </w:rPr>
            </w:pPr>
          </w:p>
        </w:tc>
        <w:tc>
          <w:tcPr>
            <w:tcW w:w="780" w:type="dxa"/>
            <w:vAlign w:val="bottom"/>
            <w:tcBorders>
              <w:bottom w:val="single" w:sz="8" w:color="auto"/>
            </w:tcBorders>
            <w:vMerge w:val="continue"/>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vMerge w:val="continue"/>
            <w:shd w:val="clear" w:color="auto" w:fill="CCECFF"/>
          </w:tcPr>
          <w:p>
            <w:pPr>
              <w:spacing w:after="0"/>
              <w:rPr>
                <w:sz w:val="12"/>
                <w:szCs w:val="12"/>
                <w:color w:val="auto"/>
              </w:rPr>
            </w:pPr>
          </w:p>
        </w:tc>
        <w:tc>
          <w:tcPr>
            <w:tcW w:w="500" w:type="dxa"/>
            <w:vAlign w:val="bottom"/>
            <w:tcBorders>
              <w:bottom w:val="single" w:sz="8" w:color="auto"/>
            </w:tcBorders>
            <w:vMerge w:val="continue"/>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vMerge w:val="continue"/>
            <w:shd w:val="clear" w:color="auto" w:fill="CCECFF"/>
          </w:tcPr>
          <w:p>
            <w:pPr>
              <w:spacing w:after="0"/>
              <w:rPr>
                <w:sz w:val="12"/>
                <w:szCs w:val="12"/>
                <w:color w:val="auto"/>
              </w:rPr>
            </w:pPr>
          </w:p>
        </w:tc>
        <w:tc>
          <w:tcPr>
            <w:tcW w:w="540" w:type="dxa"/>
            <w:vAlign w:val="bottom"/>
            <w:tcBorders>
              <w:bottom w:val="single" w:sz="8" w:color="auto"/>
            </w:tcBorders>
            <w:vMerge w:val="continue"/>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vMerge w:val="continue"/>
            <w:shd w:val="clear" w:color="auto" w:fill="CCECFF"/>
          </w:tcPr>
          <w:p>
            <w:pPr>
              <w:spacing w:after="0"/>
              <w:rPr>
                <w:sz w:val="12"/>
                <w:szCs w:val="12"/>
                <w:color w:val="auto"/>
              </w:rPr>
            </w:pPr>
          </w:p>
        </w:tc>
        <w:tc>
          <w:tcPr>
            <w:tcW w:w="480" w:type="dxa"/>
            <w:vAlign w:val="bottom"/>
            <w:tcBorders>
              <w:bottom w:val="single" w:sz="8" w:color="auto"/>
            </w:tcBorders>
            <w:vMerge w:val="continue"/>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vMerge w:val="continue"/>
            <w:shd w:val="clear" w:color="auto" w:fill="CCECFF"/>
          </w:tcPr>
          <w:p>
            <w:pPr>
              <w:spacing w:after="0"/>
              <w:rPr>
                <w:sz w:val="12"/>
                <w:szCs w:val="12"/>
                <w:color w:val="auto"/>
              </w:rPr>
            </w:pPr>
          </w:p>
        </w:tc>
        <w:tc>
          <w:tcPr>
            <w:tcW w:w="580" w:type="dxa"/>
            <w:vAlign w:val="bottom"/>
            <w:tcBorders>
              <w:bottom w:val="single" w:sz="8" w:color="auto"/>
            </w:tcBorders>
            <w:vMerge w:val="continue"/>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0"/>
          <w:szCs w:val="10"/>
          <w:color w:val="auto"/>
        </w:rPr>
        <w:t>Includes PIK.</w:t>
      </w:r>
    </w:p>
    <w:p>
      <w:pPr>
        <w:ind w:right="20"/>
        <w:spacing w:after="0" w:line="229" w:lineRule="auto"/>
        <w:rPr>
          <w:sz w:val="20"/>
          <w:szCs w:val="20"/>
          <w:color w:val="auto"/>
        </w:rPr>
      </w:pP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0"/>
          <w:szCs w:val="10"/>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r>
        <w:rPr>
          <w:rFonts w:ascii="Times New Roman" w:cs="Times New Roman" w:eastAsia="Times New Roman" w:hAnsi="Times New Roman"/>
          <w:sz w:val="9"/>
          <w:szCs w:val="9"/>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w:t>
            </w: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3"/>
                <w:szCs w:val="3"/>
                <w:color w:val="auto"/>
              </w:rPr>
            </w:pPr>
          </w:p>
        </w:tc>
        <w:tc>
          <w:tcPr>
            <w:tcW w:w="11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Appreciation /</w:t>
            </w:r>
          </w:p>
        </w:tc>
        <w:tc>
          <w:tcPr>
            <w:tcW w:w="10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PIK</w:t>
            </w:r>
          </w:p>
        </w:tc>
        <w:tc>
          <w:tcPr>
            <w:tcW w:w="180" w:type="dxa"/>
            <w:vAlign w:val="bottom"/>
          </w:tcPr>
          <w:p>
            <w:pPr>
              <w:spacing w:after="0"/>
              <w:rPr>
                <w:sz w:val="3"/>
                <w:szCs w:val="3"/>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0" w:type="dxa"/>
            <w:vAlign w:val="bottom"/>
          </w:tcPr>
          <w:p>
            <w:pPr>
              <w:spacing w:after="0" w:line="20" w:lineRule="exact"/>
              <w:rPr>
                <w:sz w:val="1"/>
                <w:szCs w:val="1"/>
                <w:color w:val="auto"/>
              </w:rPr>
            </w:pPr>
          </w:p>
        </w:tc>
      </w:tr>
      <w:tr>
        <w:trPr>
          <w:trHeight w:val="145"/>
        </w:trPr>
        <w:tc>
          <w:tcPr>
            <w:tcW w:w="24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20" w:type="dxa"/>
            <w:vAlign w:val="bottom"/>
            <w:gridSpan w:val="3"/>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Additions</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6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Name of Investment</w:t>
            </w:r>
          </w:p>
        </w:tc>
        <w:tc>
          <w:tcPr>
            <w:tcW w:w="80" w:type="dxa"/>
            <w:vAlign w:val="bottom"/>
          </w:tcPr>
          <w:p>
            <w:pPr>
              <w:spacing w:after="0"/>
              <w:rPr>
                <w:sz w:val="9"/>
                <w:szCs w:val="9"/>
                <w:color w:val="auto"/>
              </w:rPr>
            </w:pPr>
          </w:p>
        </w:tc>
        <w:tc>
          <w:tcPr>
            <w:tcW w:w="84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ind w:right="216"/>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Pr>
          <w:p>
            <w:pPr>
              <w:spacing w:after="0"/>
              <w:rPr>
                <w:sz w:val="9"/>
                <w:szCs w:val="9"/>
                <w:color w:val="auto"/>
              </w:rPr>
            </w:pPr>
          </w:p>
        </w:tc>
        <w:tc>
          <w:tcPr>
            <w:tcW w:w="640" w:type="dxa"/>
            <w:vAlign w:val="bottom"/>
            <w:gridSpan w:val="2"/>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w w:val="96"/>
              </w:rPr>
              <w:t>Reductions</w:t>
            </w:r>
          </w:p>
        </w:tc>
        <w:tc>
          <w:tcPr>
            <w:tcW w:w="200" w:type="dxa"/>
            <w:vAlign w:val="bottom"/>
          </w:tcPr>
          <w:p>
            <w:pPr>
              <w:spacing w:after="0"/>
              <w:rPr>
                <w:sz w:val="9"/>
                <w:szCs w:val="9"/>
                <w:color w:val="auto"/>
              </w:rPr>
            </w:pPr>
          </w:p>
        </w:tc>
        <w:tc>
          <w:tcPr>
            <w:tcW w:w="1120" w:type="dxa"/>
            <w:vAlign w:val="bottom"/>
            <w:gridSpan w:val="3"/>
            <w:vMerge w:val="restart"/>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180" w:type="dxa"/>
            <w:vAlign w:val="bottom"/>
          </w:tcPr>
          <w:p>
            <w:pPr>
              <w:spacing w:after="0"/>
              <w:rPr>
                <w:sz w:val="9"/>
                <w:szCs w:val="9"/>
                <w:color w:val="auto"/>
              </w:rPr>
            </w:pPr>
          </w:p>
        </w:tc>
        <w:tc>
          <w:tcPr>
            <w:tcW w:w="640" w:type="dxa"/>
            <w:vAlign w:val="bottom"/>
            <w:vMerge w:val="restart"/>
          </w:tcPr>
          <w:p>
            <w:pPr>
              <w:jc w:val="center"/>
              <w:ind w:right="114"/>
              <w:spacing w:after="0" w:line="144"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9"/>
                <w:szCs w:val="9"/>
                <w:color w:val="auto"/>
              </w:rPr>
            </w:pPr>
          </w:p>
        </w:tc>
        <w:tc>
          <w:tcPr>
            <w:tcW w:w="540" w:type="dxa"/>
            <w:vAlign w:val="bottom"/>
            <w:gridSpan w:val="2"/>
            <w:vMerge w:val="restart"/>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74"/>
              <w:spacing w:after="0" w:line="144" w:lineRule="exact"/>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220"/>
              <w:spacing w:after="0" w:line="144" w:lineRule="exact"/>
              <w:rPr>
                <w:sz w:val="20"/>
                <w:szCs w:val="20"/>
                <w:color w:val="auto"/>
              </w:rPr>
            </w:pPr>
            <w:r>
              <w:rPr>
                <w:rFonts w:ascii="Times New Roman" w:cs="Times New Roman" w:eastAsia="Times New Roman" w:hAnsi="Times New Roman"/>
                <w:sz w:val="13"/>
                <w:szCs w:val="13"/>
                <w:b w:val="1"/>
                <w:bCs w:val="1"/>
                <w:color w:val="auto"/>
              </w:rPr>
              <w:t>(Losses)</w:t>
            </w:r>
          </w:p>
        </w:tc>
        <w:tc>
          <w:tcPr>
            <w:tcW w:w="0" w:type="dxa"/>
            <w:vAlign w:val="bottom"/>
          </w:tcPr>
          <w:p>
            <w:pPr>
              <w:spacing w:after="0"/>
              <w:rPr>
                <w:sz w:val="1"/>
                <w:szCs w:val="1"/>
                <w:color w:val="auto"/>
              </w:rPr>
            </w:pPr>
          </w:p>
        </w:tc>
      </w:tr>
      <w:tr>
        <w:trPr>
          <w:trHeight w:val="36"/>
        </w:trPr>
        <w:tc>
          <w:tcPr>
            <w:tcW w:w="24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51,660</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20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52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2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55,072</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246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JF Intermediate, LLC (MidOcean JF</w:t>
            </w: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CFF"/>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Holdings Corp.) </w:t>
            </w:r>
            <w:r>
              <w:rPr>
                <w:rFonts w:ascii="Times New Roman" w:cs="Times New Roman" w:eastAsia="Times New Roman" w:hAnsi="Times New Roman"/>
                <w:sz w:val="16"/>
                <w:szCs w:val="16"/>
                <w:color w:val="auto"/>
                <w:vertAlign w:val="superscript"/>
              </w:rPr>
              <w:t>(2)</w:t>
            </w:r>
          </w:p>
        </w:tc>
        <w:tc>
          <w:tcPr>
            <w:tcW w:w="8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2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51,705</w:t>
            </w:r>
          </w:p>
        </w:tc>
        <w:tc>
          <w:tcPr>
            <w:tcW w:w="120" w:type="dxa"/>
            <w:vAlign w:val="bottom"/>
            <w:shd w:val="clear" w:color="auto" w:fill="CCECFF"/>
          </w:tcPr>
          <w:p>
            <w:pPr>
              <w:spacing w:after="0"/>
              <w:rPr>
                <w:sz w:val="15"/>
                <w:szCs w:val="15"/>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10,020</w:t>
            </w:r>
          </w:p>
        </w:tc>
        <w:tc>
          <w:tcPr>
            <w:tcW w:w="18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70,484</w:t>
            </w:r>
          </w:p>
        </w:tc>
        <w:tc>
          <w:tcPr>
            <w:tcW w:w="160" w:type="dxa"/>
            <w:vAlign w:val="bottom"/>
            <w:shd w:val="clear" w:color="auto" w:fill="CCECFF"/>
          </w:tcPr>
          <w:p>
            <w:pPr>
              <w:spacing w:after="0"/>
              <w:rPr>
                <w:sz w:val="15"/>
                <w:szCs w:val="15"/>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Mailsouth Inc.</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PennantPark Senior Loan Fund, LLC </w:t>
            </w:r>
            <w:r>
              <w:rPr>
                <w:rFonts w:ascii="Times New Roman" w:cs="Times New Roman" w:eastAsia="Times New Roman" w:hAnsi="Times New Roman"/>
                <w:sz w:val="16"/>
                <w:szCs w:val="16"/>
                <w:color w:val="auto"/>
                <w:vertAlign w:val="superscript"/>
              </w:rPr>
              <w:t>(3)</w:t>
            </w: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164,408</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165,128</w:t>
            </w: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3,498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4,689</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RAM Energy LLC </w:t>
            </w:r>
            <w:r>
              <w:rPr>
                <w:rFonts w:ascii="Times New Roman" w:cs="Times New Roman" w:eastAsia="Times New Roman" w:hAnsi="Times New Roman"/>
                <w:sz w:val="16"/>
                <w:szCs w:val="16"/>
                <w:color w:val="auto"/>
                <w:vertAlign w:val="superscript"/>
              </w:rPr>
              <w:t>(4)</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(750 )</w:t>
            </w:r>
          </w:p>
        </w:tc>
        <w:tc>
          <w:tcPr>
            <w:tcW w:w="0" w:type="dxa"/>
            <w:vAlign w:val="bottom"/>
          </w:tcPr>
          <w:p>
            <w:pPr>
              <w:spacing w:after="0"/>
              <w:rPr>
                <w:sz w:val="1"/>
                <w:szCs w:val="1"/>
                <w:color w:val="auto"/>
              </w:rPr>
            </w:pPr>
          </w:p>
        </w:tc>
      </w:tr>
      <w:tr>
        <w:trPr>
          <w:trHeight w:val="156"/>
        </w:trPr>
        <w:tc>
          <w:tcPr>
            <w:tcW w:w="24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224,827</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52,337</w:t>
            </w:r>
          </w:p>
        </w:tc>
        <w:tc>
          <w:tcPr>
            <w:tcW w:w="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520" w:type="dxa"/>
            <w:vAlign w:val="bottom"/>
            <w:gridSpan w:val="2"/>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13,520</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290,684</w:t>
            </w: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5,481</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26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4,689</w:t>
            </w:r>
          </w:p>
        </w:tc>
        <w:tc>
          <w:tcPr>
            <w:tcW w:w="30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(750 )</w:t>
            </w:r>
          </w:p>
        </w:tc>
        <w:tc>
          <w:tcPr>
            <w:tcW w:w="0" w:type="dxa"/>
            <w:vAlign w:val="bottom"/>
          </w:tcPr>
          <w:p>
            <w:pPr>
              <w:spacing w:after="0"/>
              <w:rPr>
                <w:sz w:val="1"/>
                <w:szCs w:val="1"/>
                <w:color w:val="auto"/>
              </w:rPr>
            </w:pPr>
          </w:p>
        </w:tc>
      </w:tr>
      <w:tr>
        <w:trPr>
          <w:trHeight w:val="156"/>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Cascade Environmental Holdings, LLC</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32,105</w:t>
            </w: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520" w:type="dxa"/>
            <w:vAlign w:val="bottom"/>
            <w:gridSpan w:val="2"/>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(2,462)</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29,643</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Walker Edison Furniture Company LLC</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13,907</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(3,734)</w:t>
            </w: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11,186</w:t>
            </w: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Total Non-Controlled Affiliates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46,012</w:t>
            </w: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520" w:type="dxa"/>
            <w:vAlign w:val="bottom"/>
            <w:gridSpan w:val="2"/>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(6,196)</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40,829</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6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Total Controlled and</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270,839</w:t>
            </w:r>
          </w:p>
        </w:tc>
        <w:tc>
          <w:tcPr>
            <w:tcW w:w="20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53,350</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w w:val="76"/>
              </w:rPr>
              <w:t>—</w:t>
            </w:r>
          </w:p>
        </w:tc>
        <w:tc>
          <w:tcPr>
            <w:tcW w:w="52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7,324</w:t>
            </w:r>
          </w:p>
        </w:tc>
        <w:tc>
          <w:tcPr>
            <w:tcW w:w="200" w:type="dxa"/>
            <w:vAlign w:val="bottom"/>
          </w:tcPr>
          <w:p>
            <w:pPr>
              <w:spacing w:after="0"/>
              <w:rPr>
                <w:sz w:val="12"/>
                <w:szCs w:val="12"/>
                <w:color w:val="auto"/>
              </w:rPr>
            </w:pPr>
          </w:p>
        </w:tc>
        <w:tc>
          <w:tcPr>
            <w:tcW w:w="18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331,513</w:t>
            </w:r>
          </w:p>
        </w:tc>
        <w:tc>
          <w:tcPr>
            <w:tcW w:w="200" w:type="dxa"/>
            <w:vAlign w:val="bottom"/>
          </w:tcPr>
          <w:p>
            <w:pPr>
              <w:spacing w:after="0"/>
              <w:rPr>
                <w:sz w:val="12"/>
                <w:szCs w:val="12"/>
                <w:color w:val="auto"/>
              </w:rPr>
            </w:pP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5,481</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4,689</w:t>
            </w:r>
          </w:p>
        </w:tc>
        <w:tc>
          <w:tcPr>
            <w:tcW w:w="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right"/>
              <w:ind w:right="40"/>
              <w:spacing w:after="0" w:line="256" w:lineRule="exact"/>
              <w:rPr>
                <w:sz w:val="20"/>
                <w:szCs w:val="20"/>
                <w:color w:val="auto"/>
              </w:rPr>
            </w:pPr>
            <w:r>
              <w:rPr>
                <w:rFonts w:ascii="Times New Roman" w:cs="Times New Roman" w:eastAsia="Times New Roman" w:hAnsi="Times New Roman"/>
                <w:sz w:val="13"/>
                <w:szCs w:val="13"/>
                <w:color w:val="auto"/>
              </w:rPr>
              <w:t xml:space="preserve">(750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34"/>
        </w:trPr>
        <w:tc>
          <w:tcPr>
            <w:tcW w:w="2460" w:type="dxa"/>
            <w:vAlign w:val="bottom"/>
          </w:tcPr>
          <w:p>
            <w:pPr>
              <w:ind w:left="120"/>
              <w:spacing w:after="0" w:line="114"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1.Includes PIK.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2.JF Intermediate, LLC became a controlled affiliate during the quarter end December 31, 2023.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3.We and Pantheon are the members of PSLF, a joint venture formed as a Delaware limited liability company that is not consolidated by us for financial reporting purposes.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4.RAM Energy LLC was fully realized in January 2023, during the quarter ended December 31, 2023 there was realized loss due to reduction of the escrow receivable.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00" w:type="dxa"/>
            <w:vAlign w:val="bottom"/>
          </w:tcPr>
          <w:p>
            <w:pPr>
              <w:spacing w:after="0"/>
              <w:rPr>
                <w:sz w:val="13"/>
                <w:szCs w:val="13"/>
                <w:color w:val="auto"/>
              </w:rPr>
            </w:pPr>
          </w:p>
        </w:tc>
        <w:tc>
          <w:tcPr>
            <w:tcW w:w="39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740" w:type="dxa"/>
            <w:vAlign w:val="bottom"/>
          </w:tcPr>
          <w:p>
            <w:pPr>
              <w:spacing w:after="0"/>
              <w:rPr>
                <w:sz w:val="13"/>
                <w:szCs w:val="13"/>
                <w:color w:val="auto"/>
              </w:rPr>
            </w:pPr>
          </w:p>
        </w:tc>
      </w:tr>
      <w:tr>
        <w:trPr>
          <w:trHeight w:val="170"/>
        </w:trPr>
        <w:tc>
          <w:tcPr>
            <w:tcW w:w="590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4"/>
                <w:szCs w:val="14"/>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Numerator for net increase (decrease) in net assets resulting from operations</w:t>
            </w:r>
          </w:p>
        </w:tc>
        <w:tc>
          <w:tcPr>
            <w:tcW w:w="2100" w:type="dxa"/>
            <w:vAlign w:val="bottom"/>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16,084</w:t>
            </w:r>
          </w:p>
        </w:tc>
        <w:tc>
          <w:tcPr>
            <w:tcW w:w="1080" w:type="dxa"/>
            <w:vAlign w:val="bottom"/>
            <w:shd w:val="clear" w:color="auto" w:fill="CCECFF"/>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10,653</w:t>
            </w: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2100" w:type="dxa"/>
            <w:vAlign w:val="bottom"/>
          </w:tcPr>
          <w:p>
            <w:pPr>
              <w:spacing w:after="0"/>
              <w:rPr>
                <w:sz w:val="13"/>
                <w:szCs w:val="13"/>
                <w:color w:val="auto"/>
              </w:rPr>
            </w:pP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9"/>
              </w:rPr>
              <w:t>65,296,094</w:t>
            </w:r>
          </w:p>
        </w:tc>
        <w:tc>
          <w:tcPr>
            <w:tcW w:w="1080" w:type="dxa"/>
            <w:vAlign w:val="bottom"/>
          </w:tcPr>
          <w:p>
            <w:pPr>
              <w:spacing w:after="0"/>
              <w:rPr>
                <w:sz w:val="13"/>
                <w:szCs w:val="13"/>
                <w:color w:val="auto"/>
              </w:rPr>
            </w:pP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65,224,500</w:t>
            </w: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Basic and diluted net increase (decrease) in net assets per share resulting from operations</w:t>
            </w:r>
          </w:p>
        </w:tc>
        <w:tc>
          <w:tcPr>
            <w:tcW w:w="2100" w:type="dxa"/>
            <w:vAlign w:val="bottom"/>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0.25</w:t>
            </w:r>
          </w:p>
        </w:tc>
        <w:tc>
          <w:tcPr>
            <w:tcW w:w="1080" w:type="dxa"/>
            <w:vAlign w:val="bottom"/>
            <w:shd w:val="clear" w:color="auto" w:fill="CCECFF"/>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0.16</w:t>
            </w:r>
          </w:p>
        </w:tc>
      </w:tr>
    </w:tbl>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CASH AND CASH EQUIVALENTS</w:t>
      </w:r>
    </w:p>
    <w:p>
      <w:pPr>
        <w:spacing w:after="0" w:line="165"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and for other general corporate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2024 and September 30, 2024, cash and cash equivalents consisted of money market funds, and non-money market in the amounts of $41.4 million and $38.8 million and $14.5 million and $11.1 million at fair value,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12"/>
        </w:trPr>
        <w:tc>
          <w:tcPr>
            <w:tcW w:w="63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 in thousands, except share and per share data):</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8"/>
        </w:trPr>
        <w:tc>
          <w:tcPr>
            <w:tcW w:w="6380" w:type="dxa"/>
            <w:vAlign w:val="bottom"/>
          </w:tcPr>
          <w:p>
            <w:pPr>
              <w:spacing w:after="0"/>
              <w:rPr>
                <w:sz w:val="24"/>
                <w:szCs w:val="24"/>
                <w:color w:val="auto"/>
              </w:rPr>
            </w:pPr>
          </w:p>
        </w:tc>
        <w:tc>
          <w:tcPr>
            <w:tcW w:w="3360" w:type="dxa"/>
            <w:vAlign w:val="bottom"/>
            <w:gridSpan w:val="4"/>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6380" w:type="dxa"/>
            <w:vAlign w:val="bottom"/>
          </w:tcPr>
          <w:p>
            <w:pPr>
              <w:spacing w:after="0"/>
              <w:rPr>
                <w:sz w:val="14"/>
                <w:szCs w:val="14"/>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beginning of period</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340" w:type="dxa"/>
            <w:vAlign w:val="bottom"/>
          </w:tcPr>
          <w:p>
            <w:pPr>
              <w:spacing w:after="0"/>
              <w:rPr>
                <w:sz w:val="13"/>
                <w:szCs w:val="13"/>
                <w:color w:val="auto"/>
              </w:rPr>
            </w:pP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change in realized and unrealized gain (loss) </w:t>
            </w:r>
            <w:r>
              <w:rPr>
                <w:rFonts w:ascii="Times New Roman" w:cs="Times New Roman" w:eastAsia="Times New Roman" w:hAnsi="Times New Roman"/>
                <w:sz w:val="16"/>
                <w:szCs w:val="16"/>
                <w:color w:val="auto"/>
                <w:vertAlign w:val="superscript"/>
              </w:rPr>
              <w:t>(1)</w:t>
            </w:r>
          </w:p>
        </w:tc>
        <w:tc>
          <w:tcPr>
            <w:tcW w:w="1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(0.08 )</w:t>
            </w: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increase (decrease) in net assets resulting from operations </w:t>
            </w:r>
            <w:r>
              <w:rPr>
                <w:rFonts w:ascii="Times New Roman" w:cs="Times New Roman" w:eastAsia="Times New Roman" w:hAnsi="Times New Roman"/>
                <w:sz w:val="16"/>
                <w:szCs w:val="16"/>
                <w:color w:val="auto"/>
                <w:vertAlign w:val="superscript"/>
              </w:rPr>
              <w:t>(1)</w:t>
            </w: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116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(0.24 )</w:t>
            </w:r>
          </w:p>
        </w:tc>
        <w:tc>
          <w:tcPr>
            <w:tcW w:w="116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(0.21 )</w:t>
            </w: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11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11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340" w:type="dxa"/>
            <w:vAlign w:val="bottom"/>
          </w:tcPr>
          <w:p>
            <w:pPr>
              <w:spacing w:after="0"/>
              <w:rPr>
                <w:sz w:val="13"/>
                <w:szCs w:val="13"/>
                <w:color w:val="auto"/>
              </w:rPr>
            </w:pPr>
          </w:p>
        </w:tc>
        <w:tc>
          <w:tcPr>
            <w:tcW w:w="11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120" w:type="dxa"/>
            <w:vAlign w:val="bottom"/>
          </w:tcPr>
          <w:p>
            <w:pPr>
              <w:spacing w:after="0"/>
              <w:rPr>
                <w:sz w:val="13"/>
                <w:szCs w:val="13"/>
                <w:color w:val="auto"/>
              </w:rPr>
            </w:pPr>
          </w:p>
        </w:tc>
      </w:tr>
      <w:tr>
        <w:trPr>
          <w:trHeight w:val="20"/>
        </w:trPr>
        <w:tc>
          <w:tcPr>
            <w:tcW w:w="6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2"/>
        </w:trPr>
        <w:tc>
          <w:tcPr>
            <w:tcW w:w="638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Per share market value, end of period</w:t>
            </w:r>
          </w:p>
        </w:tc>
        <w:tc>
          <w:tcPr>
            <w:tcW w:w="1160" w:type="dxa"/>
            <w:vAlign w:val="bottom"/>
            <w:tcBorders>
              <w:bottom w:val="single" w:sz="8" w:color="auto"/>
            </w:tcBorders>
            <w:shd w:val="clear" w:color="auto" w:fill="CCECFF"/>
          </w:tcPr>
          <w:p>
            <w:pPr>
              <w:jc w:val="right"/>
              <w:ind w:right="10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7.08</w:t>
            </w:r>
          </w:p>
        </w:tc>
        <w:tc>
          <w:tcPr>
            <w:tcW w:w="340" w:type="dxa"/>
            <w:vAlign w:val="bottom"/>
            <w:tcBorders>
              <w:bottom w:val="single" w:sz="8" w:color="CCECFF"/>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ind w:right="10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6.91</w:t>
            </w:r>
          </w:p>
        </w:tc>
        <w:tc>
          <w:tcPr>
            <w:tcW w:w="120" w:type="dxa"/>
            <w:vAlign w:val="bottom"/>
            <w:tcBorders>
              <w:bottom w:val="single" w:sz="8" w:color="CCECFF"/>
            </w:tcBorders>
            <w:shd w:val="clear" w:color="auto" w:fill="CCECFF"/>
          </w:tcPr>
          <w:p>
            <w:pPr>
              <w:spacing w:after="0"/>
              <w:rPr>
                <w:sz w:val="14"/>
                <w:szCs w:val="14"/>
                <w:color w:val="auto"/>
              </w:rPr>
            </w:pPr>
          </w:p>
        </w:tc>
      </w:tr>
      <w:tr>
        <w:trPr>
          <w:trHeight w:val="132"/>
        </w:trPr>
        <w:tc>
          <w:tcPr>
            <w:tcW w:w="638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Total return</w:t>
            </w:r>
            <w:r>
              <w:rPr>
                <w:rFonts w:ascii="Times New Roman" w:cs="Times New Roman" w:eastAsia="Times New Roman" w:hAnsi="Times New Roman"/>
                <w:sz w:val="15"/>
                <w:szCs w:val="15"/>
                <w:color w:val="auto"/>
                <w:vertAlign w:val="superscript"/>
              </w:rPr>
              <w:t>* (3)</w:t>
            </w:r>
          </w:p>
        </w:tc>
        <w:tc>
          <w:tcPr>
            <w:tcW w:w="1160" w:type="dxa"/>
            <w:vAlign w:val="bottom"/>
          </w:tcPr>
          <w:p>
            <w:pPr>
              <w:spacing w:after="0"/>
              <w:rPr>
                <w:sz w:val="11"/>
                <w:szCs w:val="11"/>
                <w:color w:val="auto"/>
              </w:rPr>
            </w:pPr>
          </w:p>
        </w:tc>
        <w:tc>
          <w:tcPr>
            <w:tcW w:w="10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4.86 %</w:t>
            </w:r>
          </w:p>
        </w:tc>
        <w:tc>
          <w:tcPr>
            <w:tcW w:w="1160" w:type="dxa"/>
            <w:vAlign w:val="bottom"/>
          </w:tcPr>
          <w:p>
            <w:pPr>
              <w:spacing w:after="0"/>
              <w:rPr>
                <w:sz w:val="11"/>
                <w:szCs w:val="11"/>
                <w:color w:val="auto"/>
              </w:rPr>
            </w:pPr>
          </w:p>
        </w:tc>
        <w:tc>
          <w:tcPr>
            <w:tcW w:w="8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8.44 %</w:t>
            </w: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65,296,094</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Ratios</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3"/>
                <w:szCs w:val="13"/>
                <w:b w:val="1"/>
                <w:bCs w:val="1"/>
                <w:color w:val="auto"/>
              </w:rPr>
              <w:t xml:space="preserve"> / Supplemental Data:</w:t>
            </w: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w:t>
            </w:r>
          </w:p>
        </w:tc>
        <w:tc>
          <w:tcPr>
            <w:tcW w:w="11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7.69 %</w:t>
            </w:r>
          </w:p>
        </w:tc>
        <w:tc>
          <w:tcPr>
            <w:tcW w:w="1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7.28 %</w:t>
            </w: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6"/>
                <w:szCs w:val="16"/>
                <w:color w:val="auto"/>
                <w:vertAlign w:val="superscript"/>
              </w:rPr>
              <w:t>(5)</w:t>
            </w:r>
          </w:p>
        </w:tc>
        <w:tc>
          <w:tcPr>
            <w:tcW w:w="1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9.53 %</w:t>
            </w:r>
          </w:p>
        </w:tc>
        <w:tc>
          <w:tcPr>
            <w:tcW w:w="1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7.63 %</w:t>
            </w: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w:t>
            </w:r>
          </w:p>
        </w:tc>
        <w:tc>
          <w:tcPr>
            <w:tcW w:w="11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17.22 %</w:t>
            </w:r>
          </w:p>
        </w:tc>
        <w:tc>
          <w:tcPr>
            <w:tcW w:w="1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14.91 %</w:t>
            </w: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1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10.55 %</w:t>
            </w:r>
          </w:p>
        </w:tc>
        <w:tc>
          <w:tcPr>
            <w:tcW w:w="1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12.50 %</w:t>
            </w: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1160" w:type="dxa"/>
            <w:vAlign w:val="bottom"/>
            <w:shd w:val="clear" w:color="auto" w:fill="CCECFF"/>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494,321</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499,142</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debt outstanding</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753,927</w:t>
            </w:r>
          </w:p>
        </w:tc>
        <w:tc>
          <w:tcPr>
            <w:tcW w:w="340" w:type="dxa"/>
            <w:vAlign w:val="bottom"/>
          </w:tcPr>
          <w:p>
            <w:pPr>
              <w:spacing w:after="0"/>
              <w:rPr>
                <w:sz w:val="13"/>
                <w:szCs w:val="13"/>
                <w:color w:val="auto"/>
              </w:rPr>
            </w:pP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597,756</w:t>
            </w: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w:t>
            </w:r>
          </w:p>
        </w:tc>
        <w:tc>
          <w:tcPr>
            <w:tcW w:w="1160" w:type="dxa"/>
            <w:vAlign w:val="bottom"/>
            <w:shd w:val="clear" w:color="auto" w:fill="CCECFF"/>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120" w:type="dxa"/>
            <w:vAlign w:val="bottom"/>
            <w:shd w:val="clear" w:color="auto" w:fill="CCECFF"/>
          </w:tcPr>
          <w:p>
            <w:pPr>
              <w:spacing w:after="0"/>
              <w:rPr>
                <w:sz w:val="13"/>
                <w:szCs w:val="13"/>
                <w:color w:val="auto"/>
              </w:rPr>
            </w:pPr>
          </w:p>
        </w:tc>
      </w:tr>
      <w:tr>
        <w:trPr>
          <w:trHeight w:val="156"/>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(6)</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340" w:type="dxa"/>
            <w:vAlign w:val="bottom"/>
          </w:tcPr>
          <w:p>
            <w:pPr>
              <w:spacing w:after="0"/>
              <w:rPr>
                <w:sz w:val="13"/>
                <w:szCs w:val="13"/>
                <w:color w:val="auto"/>
              </w:rPr>
            </w:pP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120" w:type="dxa"/>
            <w:vAlign w:val="bottom"/>
          </w:tcPr>
          <w:p>
            <w:pPr>
              <w:spacing w:after="0"/>
              <w:rPr>
                <w:sz w:val="13"/>
                <w:szCs w:val="13"/>
                <w:color w:val="auto"/>
              </w:rPr>
            </w:pPr>
          </w:p>
        </w:tc>
      </w:tr>
      <w:tr>
        <w:trPr>
          <w:trHeight w:val="156"/>
        </w:trPr>
        <w:tc>
          <w:tcPr>
            <w:tcW w:w="63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Portfolio turnover ratio</w:t>
            </w:r>
            <w:r>
              <w:rPr>
                <w:rFonts w:ascii="Times New Roman" w:cs="Times New Roman" w:eastAsia="Times New Roman" w:hAnsi="Times New Roman"/>
                <w:sz w:val="16"/>
                <w:szCs w:val="16"/>
                <w:color w:val="auto"/>
                <w:vertAlign w:val="superscript"/>
              </w:rPr>
              <w:t>* (7)</w:t>
            </w:r>
          </w:p>
        </w:tc>
        <w:tc>
          <w:tcPr>
            <w:tcW w:w="11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24.90 %</w:t>
            </w:r>
          </w:p>
        </w:tc>
        <w:tc>
          <w:tcPr>
            <w:tcW w:w="1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5.34 %</w:t>
            </w:r>
          </w:p>
        </w:tc>
      </w:tr>
    </w:tbl>
    <w:p>
      <w:pPr>
        <w:ind w:left="80" w:hanging="74"/>
        <w:spacing w:after="0"/>
        <w:tabs>
          <w:tab w:leader="none" w:pos="80" w:val="left"/>
        </w:tabs>
        <w:numPr>
          <w:ilvl w:val="0"/>
          <w:numId w:val="7"/>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Not annualized for periods less than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**Re-occurring investment income and expenses included in these ratios are annualized for periods less than one year.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expense and investment income ratios do not reflect the Company's proportionate share of income and expenses of PSLF and PTSF II.</w:t>
      </w:r>
    </w:p>
    <w:p>
      <w:pPr>
        <w:spacing w:after="0" w:line="197"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Based on the weighted average shares outstanding for the respective periods.</w:t>
      </w:r>
    </w:p>
    <w:p>
      <w:pPr>
        <w:spacing w:after="0" w:line="184"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5"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Based on the change in market price per share during the periods and assumes distributions, if any, are reinvested.</w:t>
      </w:r>
    </w:p>
    <w:p>
      <w:pPr>
        <w:spacing w:after="0" w:line="185"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Excludes debt-related costs.</w:t>
      </w:r>
    </w:p>
    <w:p>
      <w:pPr>
        <w:spacing w:after="0" w:line="184"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Includes interest and expenses on debt (annualized) as well as Credit Facility amendment, debt issuance costs and excludes debt extinguishment cost, if any, (not annualized).</w:t>
      </w:r>
    </w:p>
    <w:p>
      <w:pPr>
        <w:spacing w:after="0" w:line="1" w:lineRule="exact"/>
        <w:rPr>
          <w:sz w:val="20"/>
          <w:szCs w:val="20"/>
          <w:color w:val="auto"/>
        </w:rPr>
      </w:pPr>
    </w:p>
    <w:p>
      <w:pPr>
        <w:ind w:right="200"/>
        <w:spacing w:after="0" w:line="217" w:lineRule="auto"/>
        <w:rPr>
          <w:sz w:val="20"/>
          <w:szCs w:val="20"/>
          <w:color w:val="auto"/>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9"/>
          <w:szCs w:val="9"/>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Excludes short-term U.S. Government Securities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DEBT</w:t>
      </w:r>
    </w:p>
    <w:p>
      <w:pPr>
        <w:spacing w:after="0" w:line="165"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The annualized weighted average cost of debt for the three months ended December 31, 2024 and 2023, inclusive of the fee on the undrawn commitment and amendment costs on the Truist Credit Facility and amortized upfront fees on SBA debentures, 2026 Notes and 2026 Notes-2, was 6.2% and 6.4%, respectively. As of December 31, 2024, in accordance with the 1940 Act, with certain limited exceptions, we are only allowed to borrow amounts such that we are in compliance with a 150% asset coverage ratio after such borrowing.</w:t>
      </w:r>
    </w:p>
    <w:p>
      <w:pPr>
        <w:spacing w:after="0" w:line="123" w:lineRule="exact"/>
        <w:rPr>
          <w:sz w:val="20"/>
          <w:szCs w:val="20"/>
          <w:color w:val="auto"/>
        </w:rPr>
      </w:pPr>
    </w:p>
    <w:p>
      <w:pPr>
        <w:jc w:val="both"/>
        <w:ind w:right="220" w:firstLine="420"/>
        <w:spacing w:after="0" w:line="259"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2024 and September 30, 2024, our asset coverage ratio, as computed in accordance with the 1940 Act, was 164% and 164%,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(Unaudited)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Truist Credit Facility</w:t>
      </w:r>
    </w:p>
    <w:p>
      <w:pPr>
        <w:spacing w:after="0" w:line="167"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As of December 31, 2024, we had the multi- currency Truist Credit Facility for up to $475 million, which may be further increased up to $750.0 million in borrowings with certain lenders and Truist Bank, acting as administrative agent, Regions Bank, acting as an additional multicurrency lender, and JPMorgan Chase Bank, N.A., acting as syndication agent for the lenders. As of December 31, 2024 and September 30, 2024, we had $464.5 million and $461.5 million, respectively, in outstanding borrowings under the Truist Credit Facility. The Truist Credit Facility had a weighted average interest rate of 6.8% and 7.2%, respectively, exclusive of the fee on undrawn commitment, as of December 31, 2024 and September 30, 2024. The Truist Credit Facility is a revolving facility with a stated maturity date of July 29, 2027 and pricing set at 235 basis points over SOFR (or an alternative risk-free floating interest rate index). As of December 31, 2024 and September 30, 2024, we had $10.5 million and $13.5 million of unused borrowing capacity under the Truist Credit Facility, respectively, subject to leverage and borrowing base restrictions. The Truist Credit Facility is secured by substantially all of our assets. As of December 31, 2024, we were in compliance with the terms of the Truist Credit Facility.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67"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3"/>
          <w:szCs w:val="13"/>
          <w:color w:val="auto"/>
        </w:rPr>
        <w:t>In April 2021, we issued $ 150.0 million in aggregate principal amount of our 2026 Notes at a public offering price per note of 99.4%. Interest on the 2026 Notes is paid semi- annually on May 1 and November 1 of each year, at a rate of 4.50% per year, commencing November 1, 2021. The 2026 Notes mature on May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Notes-2</w:t>
      </w:r>
    </w:p>
    <w:p>
      <w:pPr>
        <w:spacing w:after="0" w:line="167"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Notes-2 at a public offering price per note of 99.4%. Interest on the 2026 Notes -2 is paid semi-annually on May 1 and November 1 of each year, at a rate of 4.00% per year, commencing May 1, 2022. The 2026 Notes- 2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Notes- 2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COMMITMENTS AND CONTINGENCIES</w:t>
      </w:r>
    </w:p>
    <w:p>
      <w:pPr>
        <w:spacing w:after="0" w:line="165"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2"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December 31, 2024 and September 30, 2024, we had $392.4 million and $373.9 million, respectively, in commitments to fund investments. Additionally, the Company had unfunded commitments of up to $26.3 and $52.5 million to PSLF as of December 31, 2024 and September 30, 2024, respectively, that may be contributed primarily for the purpose of funding new investments approved by PSLF board of directors or investment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UNCONSOLIDATED SIGNIFICANT SUBSIDIARIES</w:t>
      </w:r>
    </w:p>
    <w:p>
      <w:pPr>
        <w:spacing w:after="0" w:line="165"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We must determine which, if any, of our unconsolidated controlled portfolio companies is a "significant subsidiary" within the meaning of Regulation S-X. We have determined that, as of September 30, 2024, PennantPark Senior Loan Fund, LLC triggered at least one of the significance tests. As a result and in accordance with Rule 3-09 of Regulation S -X, separate audited financial statements of PSLF, LLC for the years ended September 30, 2024, 2023, and 2022 were filed as exhibits to our Annual Report on Form 10-K for the fiscal year ended September 30, 2024.</w:t>
      </w:r>
    </w:p>
    <w:p>
      <w:pPr>
        <w:spacing w:after="0" w:line="123"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In December 2023, the JF Intermediate LLC became controlled affiliate. Below is certain selected key financial data from JF Intermediate, LLC's income statements for the periods in which our investment in JF Intermediate, LLC exceeded the threshold in at least one of the tests under Rule 3-09 of Regulation S-X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JF Intermediate, LLC (Unaudited):</w:t>
            </w:r>
          </w:p>
        </w:tc>
        <w:tc>
          <w:tcPr>
            <w:tcW w:w="2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3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2060" w:type="dxa"/>
            <w:vAlign w:val="bottom"/>
          </w:tcPr>
          <w:p>
            <w:pPr>
              <w:spacing w:after="0"/>
              <w:rPr>
                <w:sz w:val="13"/>
                <w:szCs w:val="13"/>
                <w:color w:val="auto"/>
              </w:rPr>
            </w:pPr>
          </w:p>
        </w:tc>
        <w:tc>
          <w:tcPr>
            <w:tcW w:w="1980" w:type="dxa"/>
            <w:vAlign w:val="bottom"/>
          </w:tcPr>
          <w:p>
            <w:pPr>
              <w:jc w:val="right"/>
              <w:ind w:right="11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80" w:type="dxa"/>
            <w:vAlign w:val="bottom"/>
          </w:tcPr>
          <w:p>
            <w:pPr>
              <w:spacing w:after="0"/>
              <w:rPr>
                <w:sz w:val="13"/>
                <w:szCs w:val="13"/>
                <w:color w:val="auto"/>
              </w:rPr>
            </w:pPr>
          </w:p>
        </w:tc>
        <w:tc>
          <w:tcPr>
            <w:tcW w:w="1480" w:type="dxa"/>
            <w:vAlign w:val="bottom"/>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206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219,501</w:t>
            </w:r>
          </w:p>
        </w:tc>
        <w:tc>
          <w:tcPr>
            <w:tcW w:w="108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169,287</w:t>
            </w:r>
          </w:p>
        </w:tc>
        <w:tc>
          <w:tcPr>
            <w:tcW w:w="0" w:type="dxa"/>
            <w:vAlign w:val="bottom"/>
          </w:tcPr>
          <w:p>
            <w:pPr>
              <w:spacing w:after="0"/>
              <w:rPr>
                <w:sz w:val="1"/>
                <w:szCs w:val="1"/>
                <w:color w:val="auto"/>
              </w:rPr>
            </w:pPr>
          </w:p>
        </w:tc>
      </w:tr>
      <w:tr>
        <w:trPr>
          <w:trHeight w:val="156"/>
        </w:trPr>
        <w:tc>
          <w:tcPr>
            <w:tcW w:w="3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expenses</w:t>
            </w:r>
          </w:p>
        </w:tc>
        <w:tc>
          <w:tcPr>
            <w:tcW w:w="2060" w:type="dxa"/>
            <w:vAlign w:val="bottom"/>
            <w:shd w:val="clear" w:color="auto" w:fill="CCECFF"/>
          </w:tcPr>
          <w:p>
            <w:pPr>
              <w:spacing w:after="0"/>
              <w:rPr>
                <w:sz w:val="13"/>
                <w:szCs w:val="13"/>
                <w:color w:val="auto"/>
              </w:rPr>
            </w:pPr>
          </w:p>
        </w:tc>
        <w:tc>
          <w:tcPr>
            <w:tcW w:w="19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220,783</w:t>
            </w:r>
          </w:p>
        </w:tc>
        <w:tc>
          <w:tcPr>
            <w:tcW w:w="1080" w:type="dxa"/>
            <w:vAlign w:val="bottom"/>
            <w:shd w:val="clear" w:color="auto" w:fill="CCECFF"/>
          </w:tcPr>
          <w:p>
            <w:pPr>
              <w:spacing w:after="0"/>
              <w:rPr>
                <w:sz w:val="13"/>
                <w:szCs w:val="13"/>
                <w:color w:val="auto"/>
              </w:rPr>
            </w:pPr>
          </w:p>
        </w:tc>
        <w:tc>
          <w:tcPr>
            <w:tcW w:w="14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179,566</w:t>
            </w:r>
          </w:p>
        </w:tc>
        <w:tc>
          <w:tcPr>
            <w:tcW w:w="0" w:type="dxa"/>
            <w:vAlign w:val="bottom"/>
          </w:tcPr>
          <w:p>
            <w:pPr>
              <w:spacing w:after="0"/>
              <w:rPr>
                <w:sz w:val="1"/>
                <w:szCs w:val="1"/>
                <w:color w:val="auto"/>
              </w:rPr>
            </w:pPr>
          </w:p>
        </w:tc>
      </w:tr>
      <w:tr>
        <w:trPr>
          <w:trHeight w:val="120"/>
        </w:trPr>
        <w:tc>
          <w:tcPr>
            <w:tcW w:w="39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income (loss)</w:t>
            </w:r>
          </w:p>
        </w:tc>
        <w:tc>
          <w:tcPr>
            <w:tcW w:w="2060" w:type="dxa"/>
            <w:vAlign w:val="bottom"/>
            <w:vMerge w:val="restart"/>
          </w:tcPr>
          <w:p>
            <w:pPr>
              <w:jc w:val="right"/>
              <w:ind w:right="414"/>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jc w:val="right"/>
              <w:ind w:right="134"/>
              <w:spacing w:after="0" w:line="120" w:lineRule="exact"/>
              <w:rPr>
                <w:sz w:val="20"/>
                <w:szCs w:val="20"/>
                <w:color w:val="auto"/>
              </w:rPr>
            </w:pPr>
            <w:r>
              <w:rPr>
                <w:rFonts w:ascii="Times New Roman" w:cs="Times New Roman" w:eastAsia="Times New Roman" w:hAnsi="Times New Roman"/>
                <w:sz w:val="13"/>
                <w:szCs w:val="13"/>
                <w:color w:val="auto"/>
              </w:rPr>
              <w:t>(1,282</w:t>
            </w:r>
          </w:p>
        </w:tc>
        <w:tc>
          <w:tcPr>
            <w:tcW w:w="1080" w:type="dxa"/>
            <w:vAlign w:val="bottom"/>
            <w:vMerge w:val="restart"/>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(10,279)</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Subsequent Events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On February 7, 2025, the Company increased the commitments to its Truist Credit Facility from $475.0 million to $500.0 million.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7" w:name="page48"/>
    <w:bookmarkEnd w:id="47"/>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Review of Interim Financial Statements</w:t>
      </w:r>
    </w:p>
    <w:p>
      <w:pPr>
        <w:spacing w:after="0" w:line="23"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3"/>
          <w:szCs w:val="13"/>
          <w:color w:val="auto"/>
        </w:rPr>
        <w:t>We have reviewed the accompanying consolidated statement of assets and liabilities of PennantPark Investment Corporation and its subsidiaries (the Company), including the consolidated schedules of investments, as of December 31, 2024, the related consolidated statements of operations and changes in net assets for the three-month periods ended December 31, 2024 and 2023, and cash flows for the three-month periods ended December 31, 2024 and 2023,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3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2024, and the related consolidated statements of operations, changes in net assets, and cash flows for the year then ended (not presented herein); and in our report dated November 25, 2024, we expressed an unqualified opinion on those consolidated financial statements. In our opinion, the information set forth in the accompanying consolidated statement of assets and liabilities, including the consolidated schedule of investments, as of September 30, 2024, is fairly stated, in all material respects, in relation to the consolidated statement of assets and liabilities, including the consolidated schedule of investments, from which it has been derived.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Review Results</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These interim financial statements are the responsibility of the Company’s management. We conducted our reviews in accordance with the standards of the Public Company Accounting Oversight Board (United States)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10, 2025</w:t>
      </w: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12" w:right="7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3"/>
          <w:szCs w:val="13"/>
          <w:b w:val="1"/>
          <w:bCs w:val="1"/>
          <w:color w:val="auto"/>
        </w:rPr>
        <w:t>Awareness Letter of Independent Registered Public Accounting Firm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17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3"/>
          <w:szCs w:val="13"/>
          <w:color w:val="auto"/>
        </w:rPr>
        <w:t>We have reviewed, in accordance with the standards of the Public Company Accounting Oversight Board (United States), the unaudited interim financial information of PennantPark Investment Corporation and its Subsidiaries for the periods ended December 31, 2024 and 2023, as indicated in our report dated February 10, 2025; because we did not perform an audit, we expressed no opinion on that information.</w:t>
      </w:r>
    </w:p>
    <w:p>
      <w:pPr>
        <w:spacing w:after="0" w:line="2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3"/>
          <w:szCs w:val="13"/>
          <w:color w:val="auto"/>
        </w:rPr>
        <w:t>We are aware that our report referred to above, which is included in your Quarterly Report on Form 10-Q for the quarter ended December 31, 2024, is incorporated by reference in Registration Statement No. 333-263564 on Form N-2.</w:t>
      </w:r>
    </w:p>
    <w:p>
      <w:pPr>
        <w:spacing w:after="0" w:line="2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10, 2025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63" w:lineRule="exact"/>
        <w:rPr>
          <w:sz w:val="20"/>
          <w:szCs w:val="20"/>
          <w:color w:val="auto"/>
        </w:rPr>
      </w:pPr>
    </w:p>
    <w:p>
      <w:pPr>
        <w:ind w:left="540" w:right="580"/>
        <w:spacing w:after="0" w:line="286" w:lineRule="auto"/>
        <w:rPr>
          <w:sz w:val="20"/>
          <w:szCs w:val="20"/>
          <w:color w:val="auto"/>
        </w:rPr>
      </w:pPr>
      <w:r>
        <w:rPr>
          <w:rFonts w:ascii="Times New Roman" w:cs="Times New Roman" w:eastAsia="Times New Roman" w:hAnsi="Times New Roman"/>
          <w:sz w:val="13"/>
          <w:szCs w:val="13"/>
          <w:color w:val="auto"/>
        </w:rPr>
        <w:t>•changes in political, economic or industry conditions, such as impact of the ongoing invasion of Ukraine by Russia and other world economic and political issues, the interest rate environment or conditions affecting the financial and capital markets that could result in changes to the value of our assets;</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expected financings and investments;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 and</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63"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23" w:lineRule="exact"/>
        <w:rPr>
          <w:sz w:val="20"/>
          <w:szCs w:val="20"/>
          <w:color w:val="auto"/>
        </w:rPr>
      </w:pPr>
    </w:p>
    <w:p>
      <w:pPr>
        <w:jc w:val="both"/>
        <w:ind w:right="300" w:firstLine="420"/>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27" w:lineRule="exact"/>
        <w:rPr>
          <w:sz w:val="20"/>
          <w:szCs w:val="20"/>
          <w:color w:val="auto"/>
        </w:rPr>
      </w:pPr>
    </w:p>
    <w:p>
      <w:pPr>
        <w:ind w:right="40" w:firstLine="420"/>
        <w:spacing w:after="0" w:line="265"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285"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1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67" w:lineRule="exact"/>
        <w:rPr>
          <w:sz w:val="20"/>
          <w:szCs w:val="20"/>
          <w:color w:val="auto"/>
        </w:rPr>
      </w:pPr>
    </w:p>
    <w:p>
      <w:pPr>
        <w:ind w:right="48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12"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We believe middle-market companies offer attractive risk- reward to investors due to a limited amount of capital available for such companies. We hold a diversified portfolio that includes first lien secured debt, second lien secured debt, subordinated debt and equity investments ranging from approximately $10 million to $50 million of capital, on average, in the securities of middle- 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and have speculative characteristic compared to debt instruments that are rated above investment grade. Our debt investments may generally range in maturity from three to ten years and are made in U.S. and, to a limited extent, non-U.S. corporations, partnerships and other business entities which operate in various industries and geographical regions.</w:t>
      </w:r>
    </w:p>
    <w:p>
      <w:pPr>
        <w:spacing w:after="0" w:line="98"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Investment Corporation</w:t>
      </w:r>
    </w:p>
    <w:p>
      <w:pPr>
        <w:spacing w:after="0" w:line="167"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12"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provided similar services to SBIC II under its investment management agreement.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and their respective staffs. PennantPark Investment, through the Administrator, provided similar services to SBIC II under its administration agreement with us. Our board of directors, a majority of whom are independent of us, provides overall supervision of our activities, and the Investment Adviser manages our day-to-day activities.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67"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right="220" w:firstLine="420"/>
        <w:spacing w:after="0" w:line="262" w:lineRule="auto"/>
        <w:rPr>
          <w:sz w:val="20"/>
          <w:szCs w:val="20"/>
          <w:color w:val="auto"/>
        </w:rPr>
      </w:pPr>
      <w:r>
        <w:rPr>
          <w:rFonts w:ascii="Times New Roman" w:cs="Times New Roman" w:eastAsia="Times New Roman" w:hAnsi="Times New Roman"/>
          <w:sz w:val="13"/>
          <w:szCs w:val="13"/>
          <w:color w:val="auto"/>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calculating our net asset value, including the cost of any third-party valuation services;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63" w:lineRule="exact"/>
        <w:rPr>
          <w:sz w:val="20"/>
          <w:szCs w:val="20"/>
          <w:color w:val="auto"/>
        </w:rPr>
      </w:pPr>
    </w:p>
    <w:p>
      <w:pPr>
        <w:ind w:left="540" w:right="60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112" w:lineRule="exact"/>
        <w:rPr>
          <w:sz w:val="20"/>
          <w:szCs w:val="20"/>
          <w:color w:val="auto"/>
        </w:rPr>
      </w:pPr>
    </w:p>
    <w:p>
      <w:pPr>
        <w:ind w:left="540" w:right="20"/>
        <w:spacing w:after="0" w:line="268" w:lineRule="auto"/>
        <w:rPr>
          <w:sz w:val="20"/>
          <w:szCs w:val="20"/>
          <w:color w:val="auto"/>
        </w:rPr>
      </w:pPr>
      <w:r>
        <w:rPr>
          <w:rFonts w:ascii="Times New Roman" w:cs="Times New Roman" w:eastAsia="Times New Roman" w:hAnsi="Times New Roman"/>
          <w:sz w:val="13"/>
          <w:szCs w:val="13"/>
          <w:color w:val="auto"/>
        </w:rPr>
        <w:t>•expenses incurred by the Investment Adviser payable to third parties, including agents, consultants or other advisors, in monitoring our financial and legal affairs for the Company and in monitoring the Company's investments; and performing due diligence (including related legal expenses) on its prospective portfolio companies and expenses related to unsuccessful portfolio acquisition efforts;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0" w:right="680" w:bottom="1440" w:gutter="0" w:footer="0" w:header="0"/>
        </w:sectPr>
      </w:pPr>
    </w:p>
    <w:bookmarkStart w:id="51" w:name="page52"/>
    <w:bookmarkEnd w:id="51"/>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and applicable federal and state securities laws; and</w:t>
      </w:r>
    </w:p>
    <w:p>
      <w:pPr>
        <w:spacing w:after="0" w:line="163" w:lineRule="exact"/>
        <w:rPr>
          <w:sz w:val="20"/>
          <w:szCs w:val="20"/>
          <w:color w:val="auto"/>
        </w:rPr>
      </w:pPr>
    </w:p>
    <w:p>
      <w:pPr>
        <w:ind w:left="540"/>
        <w:spacing w:after="0" w:line="268"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and their respective staffs.</w:t>
      </w:r>
    </w:p>
    <w:p>
      <w:pPr>
        <w:spacing w:after="0" w:line="123"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65"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As of December 31, 2024, our portfolio totaled $1,298.1 million and consisted of $575.0 million or 44% of first lien secured debt, $124.8 million or 10% of U.S. Government Securities, $50.0 million or 4% of second lien secured debt, $206.1 million or 16% of subordinated debt (including $132.2 million or 10% in PSLF) and $342.2 million or 26% of preferred and common equity (including $76.0 million or 6% in PSLF). Our interest bearing debt portfolio consisted of 92% variable-rate investments and 8% fixed-rate investments. As of December 31, 2024, we had two portfolio companies on non-accrual, representing 4.3% and 1.5% percent of our overall portfolio on a cost and fair value basis, respectively. Overall, the portfolio had net unrealized appreciation of $13.6 million as of December 31, 2024. Our overall portfolio consisted of 158 companies with an average investment size of $7.4 million (excluding U.S. Government Securities), had a weighted average yield on interest bearing debt investments of 12.0%.</w:t>
      </w:r>
    </w:p>
    <w:p>
      <w:pPr>
        <w:spacing w:after="0" w:line="132" w:lineRule="exact"/>
        <w:rPr>
          <w:sz w:val="20"/>
          <w:szCs w:val="20"/>
          <w:color w:val="auto"/>
        </w:rPr>
      </w:pPr>
    </w:p>
    <w:p>
      <w:pPr>
        <w:ind w:right="160" w:firstLine="420"/>
        <w:spacing w:after="0" w:line="257" w:lineRule="auto"/>
        <w:rPr>
          <w:sz w:val="20"/>
          <w:szCs w:val="20"/>
          <w:color w:val="auto"/>
        </w:rPr>
      </w:pPr>
      <w:r>
        <w:rPr>
          <w:rFonts w:ascii="Times New Roman" w:cs="Times New Roman" w:eastAsia="Times New Roman" w:hAnsi="Times New Roman"/>
          <w:sz w:val="13"/>
          <w:szCs w:val="13"/>
          <w:color w:val="auto"/>
        </w:rPr>
        <w:t>As of September 30, 2024, our portfolio totaled $1,328.1 million and consisted of $667.9 million or 50% of first lien secured debt, $99.6 million or 8% of U.S. Government Securities, $67.2 million or 5% of second lien secured debt, $181.7 million or 14% of subordinated debt (including $115.9 million or 9% in PSLF) and $311.7 million or 23% of preferred and common equity (including $67.9 million or 5% in PSLF). Our interest bearing debt portfolio consisted of 94% variable-rate investments and 6% fixed-rate investments. As of September 30, 2024, we had two portfolio companies on non-accrual, representing 4.1% and 2.3% percent of our overall portfolio on a cost and fair value basis, respectively. Overall, the portfolio had net unrealized appreciation of $11.2 million as of September 30, 2024. Our overall portfolio consisted of 152 companies with an average investment size of $8.1 million (excluding U.S. Government Securities), had a weighted average yield on interest bearing debt investments of 12.3%.</w:t>
      </w:r>
    </w:p>
    <w:p>
      <w:pPr>
        <w:spacing w:after="0" w:line="132" w:lineRule="exact"/>
        <w:rPr>
          <w:sz w:val="20"/>
          <w:szCs w:val="20"/>
          <w:color w:val="auto"/>
        </w:rPr>
      </w:pPr>
    </w:p>
    <w:p>
      <w:pPr>
        <w:jc w:val="both"/>
        <w:ind w:right="44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we invested $295.7 million in 12 new and 61 existing portfolio companies with a weighted average yield on debt investments of 10.6% (excluding U.S. Government Securities). For the three months ended December 31, 2024, sales and repayments of investments totaled $353.7 million (excluding U.S. Government Securities).</w:t>
      </w:r>
    </w:p>
    <w:p>
      <w:pPr>
        <w:spacing w:after="0" w:line="112"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2023, we invested $231.1 million in 12 new and 32 existing portfolio companies with a weighted average yield on debt investments of 11.9%. For the three months ended December 31, 2023, sales and repayments of investments totaled $71.0 million (excluding U.S. Government Securities).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As of December 31, 2024, PSLF’s portfolio totaled $1,275.1 million, consisted of 112 companies with an average investment size of $11.4 million and had a weighted average yield interest bearing debt investments of 10.7%.</w:t>
      </w:r>
    </w:p>
    <w:p>
      <w:pPr>
        <w:spacing w:after="0" w:line="112"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PSLF’s portfolio totaled $1,031.2 million, consisted of 102 companies with an average investment size of $10.1 million and had a weighted average yield interest bearing debt investments of 11.3%.</w:t>
      </w:r>
    </w:p>
    <w:p>
      <w:pPr>
        <w:spacing w:after="0" w:line="112"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PSLF invested $353.8 million (including $ 286.6 million were purchased from the Company) in 15 new and 43 existing portfolio companies at weighted average yield interest bearing debt investments of 10.5%. PSLF’s sales and repayments of investments for the same period totaled $109.1 million.</w:t>
      </w:r>
    </w:p>
    <w:p>
      <w:pPr>
        <w:spacing w:after="0" w:line="112"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2023, PSLF invested $ 81.0 million (including $50.8 million were purchased from the Company) in five new and seven existing portfolio companies at weighted average yield on interest bearing debt investments of 12.7%. PSLF’s sales and repayments of investments for the same period totaled $29.1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At-the-Market Offering</w:t>
      </w:r>
    </w:p>
    <w:p>
      <w:pPr>
        <w:spacing w:after="0" w:line="167"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On June 4, 2024, we entered into the Equity Distribution Agreements with Truist Securities, Inc. and Keefe, Bruyette &amp; Woods, Inc. as the the Sales Agents in connection with the sale of shares of our common stock, with an aggregate offering price of up to $ 100 million under an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ATM Program offerings will not be made at price less than our current NAV per share. Any such payments made by the Investment Adviser will not be subject to reimbursement by us.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During the three months ended December 31, 2024 and 2023, we did not issue any shares under the ATM program.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65"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w:t>
      </w:r>
    </w:p>
    <w:p>
      <w:pPr>
        <w:spacing w:after="0" w:line="15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3"/>
          <w:szCs w:val="13"/>
          <w:color w:val="auto"/>
        </w:rPr>
        <w:t>describe our critical accounting policies in the notes to our Consolidated Financial Statements. We discuss our critical accounting estimates in Management’s Discussion and Analysis of Financial Condition and Results of Operations in our 2024 Annual Report on Form 10-K. There have been no significant changes in our critical accounting estimates from those disclosed in our 2024 Annual Report on Form 10-K during the three months ended December 31,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6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63"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3" w:name="page54"/>
    <w:bookmarkEnd w:id="53"/>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600" w:right="780" w:hanging="1055"/>
        <w:spacing w:after="0" w:line="268" w:lineRule="auto"/>
        <w:tabs>
          <w:tab w:leader="none" w:pos="158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3" w:lineRule="exact"/>
        <w:rPr>
          <w:sz w:val="20"/>
          <w:szCs w:val="20"/>
          <w:color w:val="auto"/>
        </w:rPr>
      </w:pPr>
    </w:p>
    <w:p>
      <w:pPr>
        <w:ind w:left="1600" w:right="780" w:hanging="1055"/>
        <w:spacing w:after="0" w:line="286" w:lineRule="auto"/>
        <w:tabs>
          <w:tab w:leader="none" w:pos="15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112"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and our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On December 3, 2020, the SEC adopted Rule 2a -5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32"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2026 Notes-2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23"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for both the three months ended December 31, 2024 and 2023.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is reported in our Consolidated Statements of Operations. We elect not to apply ASC 825-10 to any other financial assets or liabilities, including the 2026 Notes, and 2026 Notes-2.</w:t>
      </w:r>
    </w:p>
    <w:p>
      <w:pPr>
        <w:spacing w:after="0" w:line="134" w:lineRule="exact"/>
        <w:rPr>
          <w:sz w:val="20"/>
          <w:szCs w:val="20"/>
          <w:color w:val="auto"/>
        </w:rPr>
      </w:pPr>
    </w:p>
    <w:p>
      <w:pPr>
        <w:jc w:val="both"/>
        <w:ind w:right="8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December 31, 2024 and 2023, the Truist Credit Facility had a net change in unrealized appreciation (depreciation) of $3.3 million and $(2.0) million, respectively. As of December 31, 2024 and September 30, 2024, the unrealized appreciation (depreciation) on the Truist Credit Facility totaled $4.4 million and $1.1 million, respectively. We use an independent valuation service to measure the fair value of our Truist Credit Facility in a manner consistent with the valuation process that our board of directors uses to value our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31"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67" w:lineRule="exact"/>
        <w:rPr>
          <w:sz w:val="20"/>
          <w:szCs w:val="20"/>
          <w:color w:val="auto"/>
        </w:rPr>
      </w:pPr>
    </w:p>
    <w:p>
      <w:pPr>
        <w:ind w:right="60" w:firstLine="468"/>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changes in the fair values of our portfolio investments and our Truist Credit Facility, including any reversal of previously recorded unrealized appreciation or depreciation, when gains or losses are realized.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 -in-Kind, or PIK Interest</w:t>
      </w:r>
    </w:p>
    <w:p>
      <w:pPr>
        <w:spacing w:after="0" w:line="16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6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7"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32" w:lineRule="exact"/>
        <w:rPr>
          <w:sz w:val="20"/>
          <w:szCs w:val="20"/>
          <w:color w:val="auto"/>
        </w:rPr>
      </w:pPr>
    </w:p>
    <w:p>
      <w:pPr>
        <w:ind w:right="36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3"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we recorded a provision for taxes on net investment income of $0.7 million, pertaining to federal excise tax. For the three months ended December 31, 2023, we recorded a provision for taxes on net investment income of $0.4 million, all of which pertains to U.S. federal excise tax.</w:t>
      </w:r>
    </w:p>
    <w:p>
      <w:pPr>
        <w:spacing w:after="0" w:line="112" w:lineRule="exact"/>
        <w:rPr>
          <w:sz w:val="20"/>
          <w:szCs w:val="20"/>
          <w:color w:val="auto"/>
        </w:rPr>
      </w:pPr>
    </w:p>
    <w:p>
      <w:pPr>
        <w:ind w:right="20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December 31, 2024 and 2023, the Company recognized a provision for taxes of zero on net realized gain (loss) on investments by the Taxable Subsidiary. For the three months ended December 31, 2024 and 2023, the Company recognized a provision for less than $ 0.1 million and $(0.2) million,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and (ii) the expected tax benefit resulting from the use of loss carryforwards to offset such gains.</w:t>
      </w:r>
    </w:p>
    <w:p>
      <w:pPr>
        <w:spacing w:after="0" w:line="127"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During the three months ended December 31, 2024 and 2023, the Company paid zero, in federal taxes on realized gains on the sale of investments held by the Taxable Subsidiary. The state and local tax liability is zero as of December 31, 2024 is included under accrued other expenses in the consolidated statement of assets and liabilities.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0" w:right="680" w:bottom="1440" w:gutter="0" w:footer="0" w:header="0"/>
        </w:sectPr>
      </w:pPr>
    </w:p>
    <w:bookmarkStart w:id="55" w:name="page56"/>
    <w:bookmarkEnd w:id="55"/>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3"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Set forth below are the results of operations for the three months ended December 31,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6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December 31, 2024, investment income was $34.2 million, which was attributable to $25.2 million from first lien secured debt, $2.0 million from second lien secured debt, $1.1 million from subordinated debt and $5.9 million from other investments, respectively. For the three months ended December 31, 2023, investment income was $34.3 million, which was attributable to $25.1 million from first lien secured debt, $2.6 million from second lien secured debt, $1.3 million from subordinated debt and $5.3 million from preferred and common equity, respectively. The decrease in investment income for the three months ended December 31, 2024 was primarily due to the changes in our portfolio and investment yields.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firstLine="420"/>
        <w:spacing w:after="0" w:line="260" w:lineRule="auto"/>
        <w:rPr>
          <w:sz w:val="20"/>
          <w:szCs w:val="20"/>
          <w:color w:val="auto"/>
        </w:rPr>
      </w:pPr>
      <w:r>
        <w:rPr>
          <w:rFonts w:ascii="Times New Roman" w:cs="Times New Roman" w:eastAsia="Times New Roman" w:hAnsi="Times New Roman"/>
          <w:sz w:val="13"/>
          <w:szCs w:val="13"/>
          <w:color w:val="auto"/>
        </w:rPr>
        <w:t>For the three months ended December 31, 2024, expenses totaled $21.2 million and were comprised of $11.7 million of debt related interest and expenses, $4.3 million of base management fees, $2.8 million of incentive fees, $1.7 million of general and administrative expenses and $0.7 million of provision for excise taxes. For the three months ended December 31, 2023, expenses totaled $18.7 million, and were comprised of; $9.6 million of debt-related interest and expenses, $4.0 million of base management fees, $3.3 million of incentive fees, $1.4 million of general and administrative expenses and $0.4 million of provision for excise taxes. The increase in expenses for the three months ended December 31, 2024 was primarily due an increase in debt related interest and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67" w:lineRule="exact"/>
        <w:rPr>
          <w:sz w:val="20"/>
          <w:szCs w:val="20"/>
          <w:color w:val="auto"/>
        </w:rPr>
      </w:pPr>
    </w:p>
    <w:p>
      <w:pPr>
        <w:ind w:right="62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and 2023, net investment income totaled $13.0 million, or $0.20 per share and $15.7 million, or $0.24 per share. The decrease in net investment income for the three months ended December 31, 2024 was primarily due to increase in 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67"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and 2023, net realized gains (losses) totaled $(2.6) million and $1.8 million, respectively. The change in realized gains (losses) was primarily due to changes in the market conditions of our investments and the values at which they were realized.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and Debt</w:t>
      </w:r>
    </w:p>
    <w:p>
      <w:pPr>
        <w:spacing w:after="0" w:line="167"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December 31, 2024 and 2023, we reported net change in unrealized appreciation (depreciation) on investments of $2.4 million and $(5.0) million, respectively. As of December 31, 2024 and September 30, 2024, our net unrealized appreciation (depreciation) on investments totaled $13.6 million and $ 11.2 million, respectively. The net change in unrealized depreciation on our investments was primarily due to changes in the capital market conditions of our investments and the values at which they were realized.</w:t>
      </w:r>
    </w:p>
    <w:p>
      <w:pPr>
        <w:spacing w:after="0" w:line="123"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December 31, 2024 and 2023, the Truist Credit Facility had a net change in unrealized appreciation (depreciation) of $3.3 million and $(2.0) million, respectively. As of December 31, 2024 and September 30, 2024, the net unrealized appreciation (depreciation) on the Truist Credit Facility totaled $4.4 million and $1.1 million, respectively. The net change in unrealized depreciation compared to the same periods in the prior period was primarily due to changes in the capital markets.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67"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December 31, 2024 and 2023, net increase (decrease) in net assets resulting from operations totaled $16.1 million or $0.25 per share and $10.7 million or $ 0.16 per share, respectively. The increase in net assets from operations for the three months ended December 31, 2024 was primarily due to a decrease in the net realized and unrealized depreciation in the portfolio primarily driven by changes in market conditions.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65"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cash flows from operations, including investment sales and repayments,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 As of December 31, 2024, in accordance with the 1940 Act, with certain limited exceptions, we are only allowed to borrow amounts such that we are in compliance with a 150% asset coverage ratio requirement after such borrowing, excluding SBA debentures pursuant to exemptive relief from the SEC. This “Liquidity and Capital Resources” section should be read in conjunction with the "Forward-Looking Statements" section above.</w:t>
      </w:r>
    </w:p>
    <w:p>
      <w:pPr>
        <w:spacing w:after="0" w:line="132" w:lineRule="exact"/>
        <w:rPr>
          <w:sz w:val="20"/>
          <w:szCs w:val="20"/>
          <w:color w:val="auto"/>
        </w:rPr>
      </w:pPr>
    </w:p>
    <w:p>
      <w:pPr>
        <w:ind w:right="26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December 31, 2024 and September 30, 2024, our asset coverage ratio, as computed in accordance with the 1940 Act was 164% and 164%, respectively.</w:t>
      </w:r>
    </w:p>
    <w:p>
      <w:pPr>
        <w:spacing w:after="0" w:line="163"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and 2023, the annualized weighted average cost of debt inclusive of the fee on the undrawn commitment and amendment costs on the Truist Credit Facility, and amortized upfront fees on, 2026 Notes and 2026 Notes-2, was 6.2% and 6.4%, respectively.</w:t>
      </w:r>
    </w:p>
    <w:p>
      <w:pPr>
        <w:spacing w:after="0" w:line="112"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As of December 31, 2024, we had the multi- currency Truist Credit Facility for up to $475 million, which may be further increased up to $750.0 million in borrowings with certain lenders and Truist Bank, acting as administrative agent, Regions Bank, acting as an additional multicurrency lender, and JPMorgan Chase Bank, N.A., acting as syndication agent for the lenders. As of December 31, 2024 and September 30, 2024, we had $464.5 million and $461.5 million, respectively, in outstanding borrowings under the Truist Credit Facility. The Truist Credit Facility had a weighted average interest rate of 6.8% and 7.2%, respectively, exclusive of the fee on undrawn commitment, as of December 31, 2024 and September 30, 2024. The Truist Credit Facility is a revolving facility with a stated maturity date of July 29, 2027 and pricing set at 235 basis points over SOFR (or an alternative risk-free floating interest rate index). As of December 31, 2024 and September 30, 2024, we had $10.5 million and $13.5 million of unused borrowing capacity under the Truist Credit Facility, respectively, subject to leverage and borrowing base restrictions. The Truist Credit Facility is secured by substantially all of our assets. As of December 31, 2024, we were in compliance with the terms of the Truist Credit Facility.</w:t>
      </w:r>
    </w:p>
    <w:p>
      <w:pPr>
        <w:spacing w:after="0" w:line="96"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 xml:space="preserve">As of December 31, 2024,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1"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 xml:space="preserve">As of December 31, 2024, we had $165.0 million in aggregate principal amount of 2026 Notes-2 outstanding. Interest on the 2026 Notes -2 is paid semiannually on May 1 and November 1, at a rate of 4.0% per year, commencing May 1, 2022. The 2026 Notes-2 mature on November 1, 2026, and may be redeemed in whole or in part at our option subject to a make-whole premium if redeemed more than three months prior to maturity. The 2026 Notes-2 are direct unsecured obligations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2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On June 4, 2024, we entered into the Equity Distribution Agreements in connection with the contemplated sale of shares of our common stock, with an aggregate offering price of up to $100 million under the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the ATM Program will not be less than our current NAV per share. Any such payments made by the Investment Adviser will not be subject to reimbursement by us.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During the three months ended December 31, 2024 and 2023, we did not issue any shares under the ATM program.</w:t>
      </w:r>
    </w:p>
    <w:p>
      <w:pPr>
        <w:spacing w:after="0" w:line="163"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We may raise additional equity or debt capital through both registered offerings off our shelf registration statement and private offerings of securities, or by securitizing a portion of our investments, among other sources. Any future additional debt capital we incur, to the extent it is available, may be issued at a higher cost and on less favorable terms and conditions than the Truist Credit Facility, 2026 Notes, and 2026 Notes-2.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a stock repurchase program.</w:t>
      </w:r>
    </w:p>
    <w:p>
      <w:pPr>
        <w:spacing w:after="0" w:line="94"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May 2024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91"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May 2024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7" w:name="page58"/>
    <w:bookmarkEnd w:id="57"/>
    <w:p>
      <w:pPr>
        <w:ind w:firstLine="420"/>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December 31, 2024 and September 30, 2024, we had cash and cash equivalents of $55.9 million and $49.9 million, respectively, available for investing and general corporate purposes.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believe our liquidity and capital resources are sufficient to allows us to effectively operate our business.</w:t>
      </w:r>
    </w:p>
    <w:p>
      <w:pPr>
        <w:spacing w:after="0" w:line="149" w:lineRule="exact"/>
        <w:rPr>
          <w:sz w:val="20"/>
          <w:szCs w:val="20"/>
          <w:color w:val="auto"/>
        </w:rPr>
      </w:pPr>
    </w:p>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2024, our operating activities provided cash of $18.7 million and our financing activities used cash of $12.7 million. Our operating activities provided cash primarily due to our investment activities and our financing activities used cash primarily for distributions paid to stockholders.</w:t>
      </w:r>
    </w:p>
    <w:p>
      <w:pPr>
        <w:spacing w:after="0" w:line="112"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For the three months ended December 31, 2023, our operating activities used cash of $155.1 million and our financing activities provided cash of $153.2 million. Our operating activities used cash primarily due to our investment activities and our financing activities provided cash primarily from borrowings under the Truist Credit Facility.</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58" w:name="page59"/>
    <w:bookmarkEnd w:id="58"/>
    <w:p>
      <w:pPr>
        <w:ind w:left="42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65"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as a Delaware limited liability company. PSLF invests primarily in middle-market and other corporate debt securities consistent with its strategy. As of December 31, 2024 and September 30, 2024, PSLF had total assets of $1,397.0 million and $1,073.4 million, respectively and its investment portfolio consisted of debt investments in 112 and 102 portfolio companies, respectively. As of the December 31, 2024, we and Pantheon had remaining commitments to fund subordinated notes of $16.3 million and $23.3 million, respectively, and equity interest of $10.0 million and $14.2 million, respectively, in PSLF. As of September 30, 2024, we and Pantheon had remaining commitments to fund subordinated notes of $32.6 million and $46.5 million, respectively, and equity interests of $19.9 million and $ 28.5 million, respectively, in PSLF. As of December 31, 2024, at fair value, the largest investment in a single portfolio company in PSLF was $31.0 million and the five largest investments totaled $129.9 million. As of September 30, 2024, at fair value, the largest investment in a single portfolio company in PSLF was $25.1 million and the five largest investments totaled $109.9 million. PSLF invests in portfolio companies in the same industries in which we may directly invest.</w:t>
      </w:r>
    </w:p>
    <w:p>
      <w:pPr>
        <w:spacing w:after="0" w:line="293"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December 31, 2024, we and Pantheon owned 57.1% and 42.9%, respectively, of each of the outstanding subordinated notes and equity interests of PSLF. As of September 30, 2024, we and Pantheon owned 60.5% and 39.5%, respectively, of each of the outstnading subordinated notes and equity interest of PSLF. As of December 31, 2024, our investment in PSLF consisted of subordinated notes of $132.2 million and equity interests of $77.4 million, respectively. As of September 30, 2024, our investment in PSLF consisted of subordinated notes of $115.9 million and equity interests of $67.4 million respectively.</w:t>
      </w:r>
    </w:p>
    <w:p>
      <w:pPr>
        <w:spacing w:after="0" w:line="127"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being entitled to cast two votes on each matter; and (iii) the presence of four members of the Member Designees’ Committee constitute a quorum, provided that the two individuals are present that were elected, designated or appointed by each of us and Pantheon.</w:t>
      </w:r>
    </w:p>
    <w:p>
      <w:pPr>
        <w:spacing w:after="0" w:line="132"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Additionally, PSLF, through its wholly-owned subsidiary, has entered into a $400.0 million (increased from $325.0 million in August 2024) senior secured revolving credit facility, with BNP Paribas, which bears interest at SOFR (or an alternative risk-free interest rate index) plus 225 basis points during the investment period and is subject to leverage and borrowing base restrictions.</w:t>
      </w:r>
    </w:p>
    <w:p>
      <w:pPr>
        <w:spacing w:after="0" w:line="112"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December 31, 2024 and September 30, 2024 there were $246.0 million and $246.0 million, respectively, of external 2034 Asset-Back Debt.</w:t>
      </w:r>
    </w:p>
    <w:p>
      <w:pPr>
        <w:spacing w:after="0" w:line="132"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 LLC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$ 151.0 million Class A-1a Notes maturing 2035, which bear interest at the three- month SOFR plus 2.7%, (ii) $20.0 million Class A-1b Loans 2035, which bear interest at 6.5%, (iii) $ 12.0 million Class A-2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and (vi) $18.0 million Class D Secured Deferrable Floating Rate Notes due 2035, which bear interest at the three-month SOFR plus 7.0%. As of December 31, 2024 and September 30, 2024, there were $246.0 million and $246.0 million, repectively, of external 2035 Asset-Backed Debt.</w:t>
      </w:r>
    </w:p>
    <w:p>
      <w:pPr>
        <w:spacing w:after="0" w:line="132"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On December 23, 2024, PennantPark CLO X, LLC ("CLO X”) completed a $ 400.5 million debt securitization in the form of a collateralized loan obligation (the "2037 Debt Securitization" or "2037 Asset-Backed Debt"). The 2037 Asset- Backed Debt is secured by a diversified portfolio consisting primarily of middle market loans. The 2037 Debt Securitization was executed through a private placement of: (i) $158.0 million Class A-1 Notes maturing 2037, which bear interest at the three-month SOFR plus 1.59%, (ii) $30.0 million Class A-1A Loans maturing 2037, which bear interest at the three-month SOFR plus 1.59%, (iii) $40.0 million Class A- 1W Loans maturing 2037, which bear interest at the three-month SOFR plus 1.59%, (iv) $16.0 million Class A-2W Loans due 2037, which bear interest at the three-month SOFR plus 1.75%, (v) $ 28.0 million Class B Notes due 2037, which bear interest at the three- month SOFR plus 1.85%, (vi) $32.0 million Class C Notes due 2037, which bear interest at the three-month SOFR plus 2.40%., (vii) $24.0 million Class D Notes due 2037, which bear interest at the three-month SOFR plus 3.85%. As of December 31, 2024, there was $328 million of external 2037 Asset-Backed Debt.</w:t>
      </w:r>
    </w:p>
    <w:p>
      <w:pPr>
        <w:spacing w:after="0" w:line="132"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On August 28, 2024, PSLF entered into an amendment (the “Amendment”) to PSLF’s limited liability company agreement (the “LLC Agreement”). The Amendment amended the term of PSLF, which would have otherwise expired on January 31, 2025, to be indefinite, subject to the other terms of dissolution, wind down and termination in the LLC Agreement. The Amendment also modified the LLC Agreement to permit any member of PSLF (each, a “PSLF Member”) to request to redeem its interests in PSLF (in minimum tranches of 25% of the interests then-owned by such PSFL Member) at any time. Under the Amendment, if a PSLF Member makes a redemption request, PSLF will be required to use commercially reasonable efforts to redeem any such PSFL Member’s interests within 18 months and, in any event, within three years from the date of such redemption request, subject to customary limitations with respect to the liquidity of PSLF and the requirement that the Company’s proportionate share or ownership of PSLF not exceed 87.5%.</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060" w:type="dxa"/>
            <w:vAlign w:val="bottom"/>
          </w:tcPr>
          <w:p>
            <w:pPr>
              <w:spacing w:after="0"/>
              <w:rPr>
                <w:sz w:val="14"/>
                <w:szCs w:val="14"/>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0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1,275,076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1,031,225</w:t>
            </w:r>
          </w:p>
        </w:tc>
        <w:tc>
          <w:tcPr>
            <w:tcW w:w="20" w:type="dxa"/>
            <w:vAlign w:val="bottom"/>
          </w:tcPr>
          <w:p>
            <w:pPr>
              <w:spacing w:after="0"/>
              <w:rPr>
                <w:sz w:val="13"/>
                <w:szCs w:val="13"/>
                <w:color w:val="auto"/>
              </w:rPr>
            </w:pPr>
          </w:p>
        </w:tc>
      </w:tr>
      <w:tr>
        <w:trPr>
          <w:trHeight w:val="156"/>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06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10.7%</w:t>
            </w:r>
          </w:p>
        </w:tc>
        <w:tc>
          <w:tcPr>
            <w:tcW w:w="2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 w:type="dxa"/>
            <w:vAlign w:val="bottom"/>
          </w:tcPr>
          <w:p>
            <w:pPr>
              <w:spacing w:after="0"/>
              <w:rPr>
                <w:sz w:val="13"/>
                <w:szCs w:val="13"/>
                <w:color w:val="auto"/>
              </w:rPr>
            </w:pPr>
          </w:p>
        </w:tc>
      </w:tr>
      <w:tr>
        <w:trPr>
          <w:trHeight w:val="156"/>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2060" w:type="dxa"/>
            <w:vAlign w:val="bottom"/>
            <w:shd w:val="clear" w:color="auto" w:fill="CCECFF"/>
          </w:tcPr>
          <w:p>
            <w:pPr>
              <w:spacing w:after="0"/>
              <w:rPr>
                <w:sz w:val="13"/>
                <w:szCs w:val="13"/>
                <w:color w:val="auto"/>
              </w:rPr>
            </w:pP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shd w:val="clear" w:color="auto" w:fill="CCECFF"/>
          </w:tcPr>
          <w:p>
            <w:pPr>
              <w:spacing w:after="0"/>
              <w:rPr>
                <w:sz w:val="13"/>
                <w:szCs w:val="13"/>
                <w:color w:val="auto"/>
              </w:rPr>
            </w:pPr>
          </w:p>
        </w:tc>
        <w:tc>
          <w:tcPr>
            <w:tcW w:w="14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102</w:t>
            </w:r>
          </w:p>
        </w:tc>
        <w:tc>
          <w:tcPr>
            <w:tcW w:w="20" w:type="dxa"/>
            <w:vAlign w:val="bottom"/>
          </w:tcPr>
          <w:p>
            <w:pPr>
              <w:spacing w:after="0"/>
              <w:rPr>
                <w:sz w:val="13"/>
                <w:szCs w:val="13"/>
                <w:color w:val="auto"/>
              </w:rPr>
            </w:pPr>
          </w:p>
        </w:tc>
      </w:tr>
      <w:tr>
        <w:trPr>
          <w:trHeight w:val="156"/>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31,035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25,073</w:t>
            </w:r>
          </w:p>
        </w:tc>
        <w:tc>
          <w:tcPr>
            <w:tcW w:w="20" w:type="dxa"/>
            <w:vAlign w:val="bottom"/>
          </w:tcPr>
          <w:p>
            <w:pPr>
              <w:spacing w:after="0"/>
              <w:rPr>
                <w:sz w:val="13"/>
                <w:szCs w:val="13"/>
                <w:color w:val="auto"/>
              </w:rPr>
            </w:pPr>
          </w:p>
        </w:tc>
      </w:tr>
      <w:tr>
        <w:trPr>
          <w:trHeight w:val="156"/>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2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129,894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109,927</w:t>
            </w:r>
          </w:p>
        </w:tc>
        <w:tc>
          <w:tcPr>
            <w:tcW w:w="20" w:type="dxa"/>
            <w:vAlign w:val="bottom"/>
          </w:tcPr>
          <w:p>
            <w:pPr>
              <w:spacing w:after="0"/>
              <w:rPr>
                <w:sz w:val="13"/>
                <w:szCs w:val="13"/>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2" w:right="660" w:bottom="1440" w:gutter="0" w:footer="0" w:header="0"/>
        </w:sectPr>
      </w:pPr>
    </w:p>
    <w:bookmarkStart w:id="59" w:name="page60"/>
    <w:bookmarkEnd w:id="59"/>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December 31, 2024 ($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5"/>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60" w:type="dxa"/>
            <w:vAlign w:val="bottom"/>
          </w:tcPr>
          <w:p>
            <w:pPr>
              <w:jc w:val="center"/>
              <w:ind w:left="3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40" w:type="dxa"/>
            <w:vAlign w:val="bottom"/>
          </w:tcPr>
          <w:p>
            <w:pPr>
              <w:jc w:val="center"/>
              <w:ind w:right="31"/>
              <w:spacing w:after="0" w:line="145" w:lineRule="exact"/>
              <w:rPr>
                <w:sz w:val="20"/>
                <w:szCs w:val="20"/>
                <w:color w:val="auto"/>
              </w:rPr>
            </w:pPr>
            <w:r>
              <w:rPr>
                <w:rFonts w:ascii="Times New Roman" w:cs="Times New Roman" w:eastAsia="Times New Roman" w:hAnsi="Times New Roman"/>
                <w:sz w:val="13"/>
                <w:szCs w:val="13"/>
                <w:b w:val="1"/>
                <w:bCs w:val="1"/>
                <w:color w:val="auto"/>
              </w:rPr>
              <w:t>Spread Above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9"/>
        </w:trPr>
        <w:tc>
          <w:tcPr>
            <w:tcW w:w="28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w:t>
            </w:r>
          </w:p>
        </w:tc>
        <w:tc>
          <w:tcPr>
            <w:tcW w:w="980" w:type="dxa"/>
            <w:vAlign w:val="bottom"/>
          </w:tcPr>
          <w:p>
            <w:pPr>
              <w:jc w:val="center"/>
              <w:ind w:left="92"/>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4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8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40" w:type="dxa"/>
            <w:vAlign w:val="bottom"/>
          </w:tcPr>
          <w:p>
            <w:pPr>
              <w:jc w:val="center"/>
              <w:ind w:right="11"/>
              <w:spacing w:after="0" w:line="179"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Par</w:t>
            </w:r>
          </w:p>
        </w:tc>
        <w:tc>
          <w:tcPr>
            <w:tcW w:w="220" w:type="dxa"/>
            <w:vAlign w:val="bottom"/>
          </w:tcPr>
          <w:p>
            <w:pPr>
              <w:spacing w:after="0"/>
              <w:rPr>
                <w:sz w:val="15"/>
                <w:szCs w:val="15"/>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1000" w:type="dxa"/>
            <w:vAlign w:val="bottom"/>
          </w:tcPr>
          <w:p>
            <w:pPr>
              <w:jc w:val="right"/>
              <w:ind w:right="172"/>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r>
      <w:tr>
        <w:trPr>
          <w:trHeight w:val="122"/>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- 955.1%</w:t>
            </w:r>
          </w:p>
        </w:tc>
        <w:tc>
          <w:tcPr>
            <w:tcW w:w="9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12/22/28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9.11%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SOFR+475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20,032</w:t>
            </w:r>
          </w:p>
        </w:tc>
        <w:tc>
          <w:tcPr>
            <w:tcW w:w="2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19,807</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20,032</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10/02/29</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9.84%</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7,437</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08/01/29</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10.09%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15,312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15,040</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15,465</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04/09/27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10.04%</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16,211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16,063</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16,211</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05/07/26</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SOFR+626</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4,825</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Aechelon Technology</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08/16/29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11.86%</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4,852</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4,950</w:t>
            </w:r>
          </w:p>
        </w:tc>
      </w:tr>
      <w:tr>
        <w:trPr>
          <w:trHeight w:val="120"/>
        </w:trPr>
        <w:tc>
          <w:tcPr>
            <w:tcW w:w="2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8"/>
              </w:rPr>
              <w:t>10.65% (PIK</w:t>
            </w: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9"/>
              </w:rPr>
              <w:t>8.4%)</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SOFR+610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14,455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13,631</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06/10/25</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10.75%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13,752</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13,639</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06/30/26</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SOFR+590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14,495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14,426</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14,495</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12/29/26</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10.24%</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SOFR+590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15,660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15,531</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15,467</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08/28/29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10.09%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12,130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11,984</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12,009</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09/13/29</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10.15%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14,821</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14,813</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06/21/29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9.83%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18,945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18,683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18,661</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07/01/29</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14,663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14,456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14,259</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02/28/30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10.11%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6,572</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6,678</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01/31/28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11.03%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8,776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8,754</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09/17/26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9.73%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25,441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25,103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25,005</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10/31/25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10.39%</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20,776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20,709</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20,672</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07/25/29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9.68%</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SOFR+535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6,234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5,935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5,521</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C5MI Acquisition,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07/31/29</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7,481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7,378</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08/20/26</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10.72%</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SOFR+600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9,192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9,085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9,054</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9.58%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11,456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11,346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11,284</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02/07/30</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8"/>
              </w:rPr>
              <w:t>Education</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9.86%</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22,828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22,500</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22,485</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06/14/28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22,050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21,840</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22,050</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Case Works,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10/01/29</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9.59%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10,515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10,431</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10,430</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02/09/26</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9.95%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SOFR+545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936</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11/30/28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11.86%</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1,965</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07/13/27</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10.39%</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SOFR+561</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8,693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8,677</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8,693</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08/16/27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10.22%</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SOFR+586</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5,314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5,276</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5,274</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08/31/27</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9.77%</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SOFR+535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30,897</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31,035</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12/21/28</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9.71%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SOFR+535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5,815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5,428</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5,640</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11/03/25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10.71%</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SOFR+635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13,666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13,644</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13,611</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Acquisition,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09/30/30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9.08%</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SOFR+475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4,954</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4,950</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07/15/28</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9.79%</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1,478</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1,584</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10/15/28</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10.29%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9,037</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01/10/29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23,346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23,039</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23,171</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05/29/29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11.01%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12,029</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12,218</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10/18/27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10.13%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6,000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5,960</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5,955</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05/10/30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10.11%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7,377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7,277</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7,304</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03/15/27</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10.92%</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SOFR+635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9,626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9,538</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9,626</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06/17/28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9.57%</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SOFR+450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02/23/28</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11.55%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SOFR+710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4,207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4,147</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4,176</w:t>
            </w:r>
          </w:p>
        </w:tc>
      </w:tr>
      <w:tr>
        <w:trPr>
          <w:trHeight w:val="121"/>
        </w:trPr>
        <w:tc>
          <w:tcPr>
            <w:tcW w:w="2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8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GGG Midco,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09/27/30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Durable Consumer Products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9.44%</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SOFR+500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8,891</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8,888</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03/16/26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9.98%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6,797</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6,536</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08/10/27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10.04%</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3,989</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3,947</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3,930</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06/17/29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9.75%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7,960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7,873</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7,928</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12/17/26</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12% (PIK 4.0%)</w:t>
            </w: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15,299</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15,191</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13,998</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05/10/26</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10.43%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SOFR+590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23,355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23,229</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23,355</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12/31/26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9.93%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Harris &amp; Co.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08/09/30</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9.36%</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10,911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10,774</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10,911</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11/08/29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10.40%</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SOFR+600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14,073</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14,113</w:t>
            </w:r>
          </w:p>
        </w:tc>
      </w:tr>
      <w:tr>
        <w:trPr>
          <w:trHeight w:val="168"/>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09/22/28</w:t>
            </w:r>
          </w:p>
        </w:tc>
        <w:tc>
          <w:tcPr>
            <w:tcW w:w="214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9.57%</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SOFR+500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4,383</w:t>
            </w:r>
          </w:p>
        </w:tc>
        <w:tc>
          <w:tcPr>
            <w:tcW w:w="22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4,327</w:t>
            </w:r>
          </w:p>
        </w:tc>
        <w:tc>
          <w:tcPr>
            <w:tcW w:w="20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4,350</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11/15/27</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9.59%</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SOFR+510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5,431</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12/28/28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9.84%</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SOFR+560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13,855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13,706</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13,855</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11/01/26</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9.83%</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12,992</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13,057</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06/30/25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11.97%</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SOFR+761</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13,068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12,982</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13,068</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11/10/27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10.48%</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SOFR+615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13,552</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r>
      <w:tr>
        <w:trPr>
          <w:trHeight w:val="121"/>
        </w:trPr>
        <w:tc>
          <w:tcPr>
            <w:tcW w:w="2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10/31/25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SOFR+640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4,599</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4,387</w:t>
            </w:r>
          </w:p>
        </w:tc>
      </w:tr>
      <w:tr>
        <w:trPr>
          <w:trHeight w:val="120"/>
        </w:trPr>
        <w:tc>
          <w:tcPr>
            <w:tcW w:w="2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8"/>
              </w:rPr>
              <w:t>12.94% (PIK</w:t>
            </w: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02/18/27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9"/>
              </w:rPr>
              <w:t>5.1%)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SOFR+785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20,714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20,608</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20,403</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02/03/26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9.08%</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SOFR+475</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20,267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20,143</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20,065</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01/31/30</w:t>
            </w:r>
          </w:p>
        </w:tc>
        <w:tc>
          <w:tcPr>
            <w:tcW w:w="214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2"/>
              </w:rPr>
              <w:t>9.38%</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SOFR+525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7,695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7,595</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7,695</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04/01/27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2"/>
              </w:rPr>
              <w:t>9.93%</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SOFR+550</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8,244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7,900</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7,708</w:t>
            </w: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07/25/28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10.11%</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SOFR+575</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19,931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19,736</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19,736</w:t>
            </w:r>
          </w:p>
        </w:tc>
      </w:tr>
      <w:tr>
        <w:trPr>
          <w:trHeight w:val="120"/>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-First out</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11.60%</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SOFR+701</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r>
      <w:tr>
        <w:trPr>
          <w:trHeight w:val="120"/>
        </w:trPr>
        <w:tc>
          <w:tcPr>
            <w:tcW w:w="28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8"/>
              </w:rPr>
              <w:t>12.60% (PIK</w:t>
            </w:r>
          </w:p>
        </w:tc>
        <w:tc>
          <w:tcPr>
            <w:tcW w:w="10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r>
      <w:tr>
        <w:trPr>
          <w:trHeight w:val="120"/>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-Second out</w:t>
            </w:r>
          </w:p>
        </w:tc>
        <w:tc>
          <w:tcPr>
            <w:tcW w:w="98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60" w:type="dxa"/>
            <w:vAlign w:val="bottom"/>
            <w:shd w:val="clear" w:color="auto" w:fill="CCECFF"/>
          </w:tcPr>
          <w:p>
            <w:pPr>
              <w:jc w:val="center"/>
              <w:ind w:left="11"/>
              <w:spacing w:after="0"/>
              <w:rPr>
                <w:sz w:val="20"/>
                <w:szCs w:val="20"/>
                <w:color w:val="auto"/>
              </w:rPr>
            </w:pPr>
            <w:r>
              <w:rPr>
                <w:rFonts w:ascii="Times New Roman" w:cs="Times New Roman" w:eastAsia="Times New Roman" w:hAnsi="Times New Roman"/>
                <w:sz w:val="10"/>
                <w:szCs w:val="10"/>
                <w:color w:val="auto"/>
                <w:w w:val="95"/>
              </w:rPr>
              <w:t>6.25%)</w:t>
            </w:r>
          </w:p>
        </w:tc>
        <w:tc>
          <w:tcPr>
            <w:tcW w:w="10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SOFR+801</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w:t>
            </w:r>
          </w:p>
        </w:tc>
        <w:tc>
          <w:tcPr>
            <w:tcW w:w="20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340</w:t>
            </w:r>
          </w:p>
        </w:tc>
      </w:tr>
      <w:tr>
        <w:trPr>
          <w:trHeight w:val="121"/>
        </w:trPr>
        <w:tc>
          <w:tcPr>
            <w:tcW w:w="2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8"/>
              </w:rPr>
              <w:t>11.85% (PIK</w:t>
            </w: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24"/>
        </w:trPr>
        <w:tc>
          <w:tcPr>
            <w:tcW w:w="2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-Third out</w:t>
            </w:r>
          </w:p>
        </w:tc>
        <w:tc>
          <w:tcPr>
            <w:tcW w:w="98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9"/>
              </w:rPr>
              <w:t>5.5%)</w:t>
            </w: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SOFR+726</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2,134</w:t>
            </w:r>
          </w:p>
        </w:tc>
        <w:tc>
          <w:tcPr>
            <w:tcW w:w="200" w:type="dxa"/>
            <w:vAlign w:val="bottom"/>
          </w:tcPr>
          <w:p>
            <w:pPr>
              <w:spacing w:after="0"/>
              <w:rPr>
                <w:sz w:val="10"/>
                <w:szCs w:val="1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717</w:t>
            </w:r>
          </w:p>
        </w:tc>
      </w:tr>
    </w:tbl>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56"/>
        </w:trPr>
        <w:tc>
          <w:tcPr>
            <w:tcW w:w="2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60" w:type="dxa"/>
            <w:vAlign w:val="bottom"/>
          </w:tcPr>
          <w:p>
            <w:pPr>
              <w:jc w:val="center"/>
              <w:ind w:right="9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1"/>
        </w:trPr>
        <w:tc>
          <w:tcPr>
            <w:tcW w:w="288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60" w:type="dxa"/>
            <w:vAlign w:val="bottom"/>
          </w:tcPr>
          <w:p>
            <w:pPr>
              <w:jc w:val="center"/>
              <w:ind w:right="111"/>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Par</w:t>
            </w:r>
          </w:p>
        </w:tc>
        <w:tc>
          <w:tcPr>
            <w:tcW w:w="120" w:type="dxa"/>
            <w:vAlign w:val="bottom"/>
          </w:tcPr>
          <w:p>
            <w:pPr>
              <w:spacing w:after="0"/>
              <w:rPr>
                <w:sz w:val="15"/>
                <w:szCs w:val="15"/>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04/16/27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10.67%</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SOFR+585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8,309</w:t>
            </w:r>
          </w:p>
        </w:tc>
        <w:tc>
          <w:tcPr>
            <w:tcW w:w="1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8,241</w:t>
            </w:r>
          </w:p>
        </w:tc>
        <w:tc>
          <w:tcPr>
            <w:tcW w:w="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8,317</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12/10/27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9.98%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SOFR+590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2,915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2,843</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19,750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19,611</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19,750</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03/01/30</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9.83%</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7,940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7,836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6,939</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Michael Baker International,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12/18/28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9.11%</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499</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01/16/30</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9.58%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19,850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19,587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19,850</w:t>
            </w:r>
          </w:p>
        </w:tc>
        <w:tc>
          <w:tcPr>
            <w:tcW w:w="80" w:type="dxa"/>
            <w:vAlign w:val="bottom"/>
          </w:tcPr>
          <w:p>
            <w:pPr>
              <w:spacing w:after="0"/>
              <w:rPr>
                <w:sz w:val="10"/>
                <w:szCs w:val="10"/>
                <w:color w:val="auto"/>
              </w:rPr>
            </w:pPr>
          </w:p>
        </w:tc>
      </w:tr>
      <w:tr>
        <w:trPr>
          <w:trHeight w:val="136"/>
        </w:trPr>
        <w:tc>
          <w:tcPr>
            <w:tcW w:w="2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60" w:type="dxa"/>
            <w:vAlign w:val="bottom"/>
            <w:tcBorders>
              <w:bottom w:val="single" w:sz="8" w:color="CCECFF"/>
            </w:tcBorders>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10/01/27</w:t>
            </w:r>
          </w:p>
        </w:tc>
        <w:tc>
          <w:tcPr>
            <w:tcW w:w="19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9.48%</w:t>
            </w:r>
          </w:p>
        </w:tc>
        <w:tc>
          <w:tcPr>
            <w:tcW w:w="1060" w:type="dxa"/>
            <w:vAlign w:val="bottom"/>
            <w:tcBorders>
              <w:bottom w:val="single" w:sz="8" w:color="CCECFF"/>
            </w:tcBorders>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SOFR+515</w:t>
            </w:r>
          </w:p>
        </w:tc>
        <w:tc>
          <w:tcPr>
            <w:tcW w:w="840" w:type="dxa"/>
            <w:vAlign w:val="bottom"/>
            <w:tcBorders>
              <w:bottom w:val="single" w:sz="8" w:color="CCECFF"/>
            </w:tcBorders>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9,652</w:t>
            </w:r>
          </w:p>
        </w:tc>
        <w:tc>
          <w:tcPr>
            <w:tcW w:w="120" w:type="dxa"/>
            <w:vAlign w:val="bottom"/>
            <w:tcBorders>
              <w:bottom w:val="single" w:sz="8" w:color="CCECFF"/>
            </w:tcBorders>
            <w:shd w:val="clear" w:color="auto" w:fill="CCECFF"/>
          </w:tcPr>
          <w:p>
            <w:pPr>
              <w:spacing w:after="0"/>
              <w:rPr>
                <w:sz w:val="11"/>
                <w:szCs w:val="11"/>
                <w:color w:val="auto"/>
              </w:rPr>
            </w:pPr>
          </w:p>
        </w:tc>
        <w:tc>
          <w:tcPr>
            <w:tcW w:w="4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9,570</w:t>
            </w:r>
          </w:p>
        </w:tc>
        <w:tc>
          <w:tcPr>
            <w:tcW w:w="18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9,652</w:t>
            </w:r>
          </w:p>
        </w:tc>
        <w:tc>
          <w:tcPr>
            <w:tcW w:w="80" w:type="dxa"/>
            <w:vAlign w:val="bottom"/>
            <w:tcBorders>
              <w:bottom w:val="single" w:sz="8" w:color="CCECFF"/>
            </w:tcBorders>
            <w:shd w:val="clear" w:color="auto" w:fill="CCECFF"/>
          </w:tcPr>
          <w:p>
            <w:pPr>
              <w:spacing w:after="0"/>
              <w:rPr>
                <w:sz w:val="11"/>
                <w:szCs w:val="11"/>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08/19/26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SOFR+585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7,335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7,296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7,335</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NFS - CFP Holdings,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9.08%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12,968</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12,915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12,870</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08/31/29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10.68%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SOFR+635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20,244</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19,976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20,244</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12/29/29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9.58%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18,127</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17,886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17,991</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05/07/27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10.72%</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SOFR+636</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8,358</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8,250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8,358</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02/04/28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9.71%</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SOFR+535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3,893</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3,815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3,844</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03/01/30</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5,797</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5,797</w:t>
            </w:r>
          </w:p>
        </w:tc>
        <w:tc>
          <w:tcPr>
            <w:tcW w:w="80" w:type="dxa"/>
            <w:vAlign w:val="bottom"/>
          </w:tcPr>
          <w:p>
            <w:pPr>
              <w:spacing w:after="0"/>
              <w:rPr>
                <w:sz w:val="10"/>
                <w:szCs w:val="10"/>
                <w:color w:val="auto"/>
              </w:rPr>
            </w:pPr>
          </w:p>
        </w:tc>
      </w:tr>
      <w:tr>
        <w:trPr>
          <w:trHeight w:val="121"/>
        </w:trPr>
        <w:tc>
          <w:tcPr>
            <w:tcW w:w="28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11.99% (PIK</w:t>
            </w:r>
          </w:p>
        </w:tc>
        <w:tc>
          <w:tcPr>
            <w:tcW w:w="10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11/09/27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3.5%)</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8,309</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8,226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6,066</w:t>
            </w:r>
          </w:p>
        </w:tc>
        <w:tc>
          <w:tcPr>
            <w:tcW w:w="80" w:type="dxa"/>
            <w:vAlign w:val="bottom"/>
            <w:shd w:val="clear" w:color="auto" w:fill="CCECFF"/>
          </w:tcPr>
          <w:p>
            <w:pPr>
              <w:spacing w:after="0"/>
              <w:rPr>
                <w:sz w:val="10"/>
                <w:szCs w:val="10"/>
                <w:color w:val="auto"/>
              </w:rPr>
            </w:pPr>
          </w:p>
        </w:tc>
      </w:tr>
      <w:tr>
        <w:trPr>
          <w:trHeight w:val="132"/>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10/02/28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10.53%</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12,870</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12,754</w:t>
            </w:r>
          </w:p>
        </w:tc>
        <w:tc>
          <w:tcPr>
            <w:tcW w:w="80" w:type="dxa"/>
            <w:vAlign w:val="bottom"/>
          </w:tcPr>
          <w:p>
            <w:pPr>
              <w:spacing w:after="0"/>
              <w:rPr>
                <w:sz w:val="11"/>
                <w:szCs w:val="1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09/03/30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9.47%</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10,000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9,908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9,900</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11/19/26</w:t>
            </w:r>
          </w:p>
        </w:tc>
        <w:tc>
          <w:tcPr>
            <w:tcW w:w="19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10.43%</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4,736</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4,697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4,736</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08/15/29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9.33%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3,990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3,954</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3,970</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05/03/29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24,887</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24,489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24,452</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03/31/25</w:t>
            </w:r>
          </w:p>
        </w:tc>
        <w:tc>
          <w:tcPr>
            <w:tcW w:w="19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10.48%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12,530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12,516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12,217</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06/30/29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9.82%</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20,516</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20,450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20,362</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01/29/26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11.48%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9,625</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9,577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9,529</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06/21/25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9.58%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3,921</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3,921</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06/16/29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10.05%</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5,462</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5,386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5,381</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12/29/26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10.22%</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9,915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9,865</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07/07/26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SOFR+620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6,676</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6,637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06/13/29</w:t>
            </w:r>
          </w:p>
        </w:tc>
        <w:tc>
          <w:tcPr>
            <w:tcW w:w="19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10.48%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14,663</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14,484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14,076</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12/18/27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11.23%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SOFR+690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24,510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24,277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24,388</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11/23/28</w:t>
            </w:r>
          </w:p>
        </w:tc>
        <w:tc>
          <w:tcPr>
            <w:tcW w:w="19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SOFR+610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25,014</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24,746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25,014</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07/17/25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11.74%</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9,223</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03/01/28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9.49%</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9,485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9,485</w:t>
            </w:r>
          </w:p>
        </w:tc>
        <w:tc>
          <w:tcPr>
            <w:tcW w:w="80" w:type="dxa"/>
            <w:vAlign w:val="bottom"/>
          </w:tcPr>
          <w:p>
            <w:pPr>
              <w:spacing w:after="0"/>
              <w:rPr>
                <w:sz w:val="10"/>
                <w:szCs w:val="10"/>
                <w:color w:val="auto"/>
              </w:rPr>
            </w:pPr>
          </w:p>
        </w:tc>
      </w:tr>
      <w:tr>
        <w:trPr>
          <w:trHeight w:val="121"/>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STG Distribution, LLC (fka Reception Purchaser) - First Out New</w:t>
            </w:r>
          </w:p>
        </w:tc>
        <w:tc>
          <w:tcPr>
            <w:tcW w:w="106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12.91% (PIK</w:t>
            </w:r>
          </w:p>
        </w:tc>
        <w:tc>
          <w:tcPr>
            <w:tcW w:w="10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Money Term Loans</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10/04/29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6.5%)</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SOFR+845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1,878</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1,775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1,859</w:t>
            </w:r>
          </w:p>
        </w:tc>
        <w:tc>
          <w:tcPr>
            <w:tcW w:w="80" w:type="dxa"/>
            <w:vAlign w:val="bottom"/>
            <w:shd w:val="clear" w:color="auto" w:fill="CCECFF"/>
          </w:tcPr>
          <w:p>
            <w:pPr>
              <w:spacing w:after="0"/>
              <w:rPr>
                <w:sz w:val="10"/>
                <w:szCs w:val="10"/>
                <w:color w:val="auto"/>
              </w:rPr>
            </w:pPr>
          </w:p>
        </w:tc>
      </w:tr>
      <w:tr>
        <w:trPr>
          <w:trHeight w:val="121"/>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STG Distribution, LLC (fka Reception Purchaser) - Second Out Term</w:t>
            </w:r>
          </w:p>
        </w:tc>
        <w:tc>
          <w:tcPr>
            <w:tcW w:w="10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12.13% (PIK</w:t>
            </w: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Loans</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10/04/29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6.5%)</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SOFR+760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4,368</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2,271</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11/24/28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8.76%</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3,545</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2,836</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SV- Aero Holdings, LLC (Aeronix)</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11/01/30</w:t>
            </w:r>
          </w:p>
        </w:tc>
        <w:tc>
          <w:tcPr>
            <w:tcW w:w="19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9.58%</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15,000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14,850</w:t>
            </w:r>
          </w:p>
        </w:tc>
        <w:tc>
          <w:tcPr>
            <w:tcW w:w="80" w:type="dxa"/>
            <w:vAlign w:val="bottom"/>
          </w:tcPr>
          <w:p>
            <w:pPr>
              <w:spacing w:after="0"/>
              <w:rPr>
                <w:sz w:val="10"/>
                <w:szCs w:val="10"/>
                <w:color w:val="auto"/>
              </w:rPr>
            </w:pPr>
          </w:p>
        </w:tc>
      </w:tr>
      <w:tr>
        <w:trPr>
          <w:trHeight w:val="121"/>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06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08/16/27</w:t>
            </w:r>
          </w:p>
        </w:tc>
        <w:tc>
          <w:tcPr>
            <w:tcW w:w="19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9.28%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17,046</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16,901</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17,063</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01/23/29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10.83%</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9,925</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9,781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9,826</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11/24/25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10.49%</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SOFR+565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11,363</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11,312</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11,363</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06/06/25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10.80%</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SOFR+640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2,162</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2,162</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11/24/28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9.57%</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SOFR+510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9,654</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9,455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9,670</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03/13/31</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9.11%</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2,978</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3,001</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07/27/26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10.98%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SOFR+665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17,411</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17,326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17,411</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08/31/27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9.52%</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14,592</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14,387</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12/29/28</w:t>
            </w:r>
          </w:p>
        </w:tc>
        <w:tc>
          <w:tcPr>
            <w:tcW w:w="19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Auto Sector</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9.78%</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18,428</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18,231</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18,428</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04/03/28</w:t>
            </w:r>
          </w:p>
        </w:tc>
        <w:tc>
          <w:tcPr>
            <w:tcW w:w="19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9.49%</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SOFR+490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11,313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11,234</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06/15/26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9.83%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10,976</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10,899</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10,921</w:t>
            </w:r>
          </w:p>
        </w:tc>
        <w:tc>
          <w:tcPr>
            <w:tcW w:w="8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 Fertility Enterprises,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10/07/31</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9.16%</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SOFR+450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5,000</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w:t>
            </w:r>
          </w:p>
        </w:tc>
        <w:tc>
          <w:tcPr>
            <w:tcW w:w="8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106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12/01/29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10.33%</w:t>
            </w:r>
          </w:p>
        </w:tc>
        <w:tc>
          <w:tcPr>
            <w:tcW w:w="10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21,190</w:t>
            </w: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20,960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21,190</w:t>
            </w:r>
          </w:p>
        </w:tc>
        <w:tc>
          <w:tcPr>
            <w:tcW w:w="80" w:type="dxa"/>
            <w:vAlign w:val="bottom"/>
            <w:shd w:val="clear" w:color="auto" w:fill="CCECFF"/>
          </w:tcPr>
          <w:p>
            <w:pPr>
              <w:spacing w:after="0"/>
              <w:rPr>
                <w:sz w:val="10"/>
                <w:szCs w:val="10"/>
                <w:color w:val="auto"/>
              </w:rPr>
            </w:pPr>
          </w:p>
        </w:tc>
      </w:tr>
      <w:tr>
        <w:trPr>
          <w:trHeight w:val="121"/>
        </w:trPr>
        <w:tc>
          <w:tcPr>
            <w:tcW w:w="2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11.91% (PIK</w:t>
            </w: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02/01/25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11.91%)</w:t>
            </w:r>
          </w:p>
        </w:tc>
        <w:tc>
          <w:tcPr>
            <w:tcW w:w="10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SOFR+740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20,308</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20,302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18,021</w:t>
            </w:r>
          </w:p>
        </w:tc>
        <w:tc>
          <w:tcPr>
            <w:tcW w:w="80" w:type="dxa"/>
            <w:vAlign w:val="bottom"/>
          </w:tcPr>
          <w:p>
            <w:pPr>
              <w:spacing w:after="0"/>
              <w:rPr>
                <w:sz w:val="10"/>
                <w:szCs w:val="10"/>
                <w:color w:val="auto"/>
              </w:rPr>
            </w:pP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6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1,279,715</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1,272,501</w:t>
            </w:r>
          </w:p>
        </w:tc>
        <w:tc>
          <w:tcPr>
            <w:tcW w:w="80" w:type="dxa"/>
            <w:vAlign w:val="bottom"/>
            <w:shd w:val="clear" w:color="auto" w:fill="CCECFF"/>
          </w:tcPr>
          <w:p>
            <w:pPr>
              <w:spacing w:after="0"/>
              <w:rPr>
                <w:sz w:val="13"/>
                <w:szCs w:val="13"/>
                <w:color w:val="auto"/>
              </w:rPr>
            </w:pPr>
          </w:p>
        </w:tc>
      </w:tr>
      <w:tr>
        <w:trPr>
          <w:trHeight w:val="15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- 1.9%</w:t>
            </w:r>
          </w:p>
        </w:tc>
        <w:tc>
          <w:tcPr>
            <w:tcW w:w="1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w:t>
            </w:r>
          </w:p>
        </w:tc>
        <w:tc>
          <w:tcPr>
            <w:tcW w:w="106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134,330</w:t>
            </w: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2,575</w:t>
            </w:r>
          </w:p>
        </w:tc>
        <w:tc>
          <w:tcPr>
            <w:tcW w:w="80" w:type="dxa"/>
            <w:vAlign w:val="bottom"/>
            <w:shd w:val="clear" w:color="auto" w:fill="CCECFF"/>
          </w:tcPr>
          <w:p>
            <w:pPr>
              <w:spacing w:after="0"/>
              <w:rPr>
                <w:sz w:val="13"/>
                <w:szCs w:val="13"/>
                <w:color w:val="auto"/>
              </w:rPr>
            </w:pPr>
          </w:p>
        </w:tc>
      </w:tr>
      <w:tr>
        <w:trPr>
          <w:trHeight w:val="15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48Forty Intermediate Holdings, Inc.- Common Equity</w:t>
            </w:r>
          </w:p>
        </w:tc>
        <w:tc>
          <w:tcPr>
            <w:tcW w:w="106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9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4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1,988</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06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2,575</w:t>
            </w:r>
          </w:p>
        </w:tc>
        <w:tc>
          <w:tcPr>
            <w:tcW w:w="80" w:type="dxa"/>
            <w:vAlign w:val="bottom"/>
            <w:shd w:val="clear" w:color="auto" w:fill="CCECFF"/>
          </w:tcPr>
          <w:p>
            <w:pPr>
              <w:spacing w:after="0"/>
              <w:rPr>
                <w:sz w:val="13"/>
                <w:szCs w:val="13"/>
                <w:color w:val="auto"/>
              </w:rPr>
            </w:pPr>
          </w:p>
        </w:tc>
      </w:tr>
      <w:tr>
        <w:trPr>
          <w:trHeight w:val="15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- 957.%</w:t>
            </w:r>
          </w:p>
        </w:tc>
        <w:tc>
          <w:tcPr>
            <w:tcW w:w="1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1,282,066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1,275,076</w:t>
            </w:r>
          </w:p>
        </w:tc>
        <w:tc>
          <w:tcPr>
            <w:tcW w:w="80" w:type="dxa"/>
            <w:vAlign w:val="bottom"/>
          </w:tcPr>
          <w:p>
            <w:pPr>
              <w:spacing w:after="0"/>
              <w:rPr>
                <w:sz w:val="13"/>
                <w:szCs w:val="13"/>
                <w:color w:val="auto"/>
              </w:rPr>
            </w:pP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- 84.6%</w:t>
            </w:r>
          </w:p>
        </w:tc>
        <w:tc>
          <w:tcPr>
            <w:tcW w:w="106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112,691</w:t>
            </w:r>
          </w:p>
        </w:tc>
        <w:tc>
          <w:tcPr>
            <w:tcW w:w="80" w:type="dxa"/>
            <w:vAlign w:val="bottom"/>
          </w:tcPr>
          <w:p>
            <w:pPr>
              <w:spacing w:after="0"/>
              <w:rPr>
                <w:sz w:val="13"/>
                <w:szCs w:val="13"/>
                <w:color w:val="auto"/>
              </w:rPr>
            </w:pPr>
          </w:p>
        </w:tc>
      </w:tr>
      <w:tr>
        <w:trPr>
          <w:trHeight w:val="15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6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112,691</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112,691</w:t>
            </w:r>
          </w:p>
        </w:tc>
        <w:tc>
          <w:tcPr>
            <w:tcW w:w="80" w:type="dxa"/>
            <w:vAlign w:val="bottom"/>
            <w:shd w:val="clear" w:color="auto" w:fill="CCECFF"/>
          </w:tcPr>
          <w:p>
            <w:pPr>
              <w:spacing w:after="0"/>
              <w:rPr>
                <w:sz w:val="13"/>
                <w:szCs w:val="13"/>
                <w:color w:val="auto"/>
              </w:rPr>
            </w:pPr>
          </w:p>
        </w:tc>
      </w:tr>
      <w:tr>
        <w:trPr>
          <w:trHeight w:val="120"/>
        </w:trPr>
        <w:tc>
          <w:tcPr>
            <w:tcW w:w="28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- 1,041.6%</w:t>
            </w:r>
          </w:p>
        </w:tc>
        <w:tc>
          <w:tcPr>
            <w:tcW w:w="10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1,394,757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1,387,767</w:t>
            </w:r>
          </w:p>
        </w:tc>
        <w:tc>
          <w:tcPr>
            <w:tcW w:w="80" w:type="dxa"/>
            <w:vAlign w:val="bottom"/>
          </w:tcPr>
          <w:p>
            <w:pPr>
              <w:spacing w:after="0"/>
              <w:rPr>
                <w:sz w:val="10"/>
                <w:szCs w:val="10"/>
                <w:color w:val="auto"/>
              </w:rPr>
            </w:pPr>
          </w:p>
        </w:tc>
      </w:tr>
      <w:tr>
        <w:trPr>
          <w:trHeight w:val="20"/>
        </w:trPr>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(941.6)%</w:t>
            </w:r>
          </w:p>
        </w:tc>
        <w:tc>
          <w:tcPr>
            <w:tcW w:w="1060" w:type="dxa"/>
            <w:vAlign w:val="bottom"/>
            <w:shd w:val="clear" w:color="auto" w:fill="CCECFF"/>
          </w:tcPr>
          <w:p>
            <w:pPr>
              <w:spacing w:after="0"/>
              <w:rPr>
                <w:sz w:val="11"/>
                <w:szCs w:val="11"/>
                <w:color w:val="auto"/>
              </w:rPr>
            </w:pPr>
          </w:p>
        </w:tc>
        <w:tc>
          <w:tcPr>
            <w:tcW w:w="19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(1,254,533 )</w:t>
            </w:r>
          </w:p>
        </w:tc>
      </w:tr>
      <w:tr>
        <w:trPr>
          <w:trHeight w:val="120"/>
        </w:trPr>
        <w:tc>
          <w:tcPr>
            <w:tcW w:w="28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10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133,234</w:t>
            </w:r>
          </w:p>
        </w:tc>
        <w:tc>
          <w:tcPr>
            <w:tcW w:w="80" w:type="dxa"/>
            <w:vAlign w:val="bottom"/>
          </w:tcPr>
          <w:p>
            <w:pPr>
              <w:spacing w:after="0"/>
              <w:rPr>
                <w:sz w:val="10"/>
                <w:szCs w:val="10"/>
                <w:color w:val="auto"/>
              </w:rPr>
            </w:pPr>
          </w:p>
        </w:tc>
      </w:tr>
      <w:tr>
        <w:trPr>
          <w:trHeight w:val="20"/>
        </w:trPr>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0"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(“SOFR”) or Prime rate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All investments in U.S. companies unless noted otherwise.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61" w:name="page62"/>
    <w:bookmarkEnd w:id="61"/>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2024 ($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jc w:val="right"/>
              <w:ind w:right="27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60" w:type="dxa"/>
            <w:vAlign w:val="bottom"/>
          </w:tcPr>
          <w:p>
            <w:pPr>
              <w:jc w:val="center"/>
              <w:ind w:right="17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6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6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60" w:type="dxa"/>
            <w:vAlign w:val="bottom"/>
          </w:tcPr>
          <w:p>
            <w:pPr>
              <w:jc w:val="center"/>
              <w:ind w:right="151"/>
              <w:spacing w:after="0" w:line="179"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5"/>
                <w:szCs w:val="15"/>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940" w:type="dxa"/>
            <w:vAlign w:val="bottom"/>
          </w:tcPr>
          <w:p>
            <w:pPr>
              <w:jc w:val="right"/>
              <w:ind w:right="132"/>
              <w:spacing w:after="0" w:line="179" w:lineRule="exact"/>
              <w:rPr>
                <w:sz w:val="20"/>
                <w:szCs w:val="20"/>
                <w:color w:val="auto"/>
              </w:rPr>
            </w:pPr>
            <w:r>
              <w:rPr>
                <w:rFonts w:ascii="Times New Roman" w:cs="Times New Roman" w:eastAsia="Times New Roman" w:hAnsi="Times New Roman"/>
                <w:sz w:val="13"/>
                <w:szCs w:val="13"/>
                <w:b w:val="1"/>
                <w:bCs w:val="1"/>
                <w:color w:val="auto"/>
                <w:w w:val="98"/>
              </w:rPr>
              <w:t xml:space="preserve">Fair Value </w:t>
            </w:r>
            <w:r>
              <w:rPr>
                <w:rFonts w:ascii="Times New Roman" w:cs="Times New Roman" w:eastAsia="Times New Roman" w:hAnsi="Times New Roman"/>
                <w:sz w:val="16"/>
                <w:szCs w:val="16"/>
                <w:b w:val="1"/>
                <w:bCs w:val="1"/>
                <w:color w:val="auto"/>
                <w:w w:val="98"/>
                <w:vertAlign w:val="superscript"/>
              </w:rPr>
              <w:t>(2)</w:t>
            </w:r>
          </w:p>
        </w:tc>
        <w:tc>
          <w:tcPr>
            <w:tcW w:w="0" w:type="dxa"/>
            <w:vAlign w:val="bottom"/>
          </w:tcPr>
          <w:p>
            <w:pPr>
              <w:spacing w:after="0"/>
              <w:rPr>
                <w:sz w:val="1"/>
                <w:szCs w:val="1"/>
                <w:color w:val="auto"/>
              </w:rPr>
            </w:pPr>
          </w:p>
        </w:tc>
      </w:tr>
      <w:tr>
        <w:trPr>
          <w:trHeight w:val="122"/>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- 916.4%</w:t>
            </w:r>
          </w:p>
        </w:tc>
        <w:tc>
          <w:tcPr>
            <w:tcW w:w="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12/22/28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14,738</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14,504</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10/02/29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7,667</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7,526</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7,418</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08/01/29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15,351</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15,067</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15,412</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05/07/26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4,838</w:t>
            </w:r>
          </w:p>
        </w:tc>
        <w:tc>
          <w:tcPr>
            <w:tcW w:w="0" w:type="dxa"/>
            <w:vAlign w:val="bottom"/>
          </w:tcPr>
          <w:p>
            <w:pPr>
              <w:spacing w:after="0"/>
              <w:rPr>
                <w:sz w:val="1"/>
                <w:szCs w:val="1"/>
                <w:color w:val="auto"/>
              </w:rPr>
            </w:pPr>
          </w:p>
        </w:tc>
      </w:tr>
      <w:tr>
        <w:trPr>
          <w:trHeight w:val="192"/>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12/18/28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line="192" w:lineRule="exact"/>
              <w:rPr>
                <w:sz w:val="20"/>
                <w:szCs w:val="20"/>
                <w:color w:val="auto"/>
              </w:rPr>
            </w:pPr>
            <w:r>
              <w:rPr>
                <w:rFonts w:ascii="Times New Roman" w:cs="Times New Roman" w:eastAsia="Times New Roman" w:hAnsi="Times New Roman"/>
                <w:sz w:val="10"/>
                <w:szCs w:val="10"/>
                <w:color w:val="auto"/>
              </w:rPr>
              <w:t xml:space="preserve">9.85 </w:t>
            </w:r>
            <w:r>
              <w:rPr>
                <w:rFonts w:ascii="Times New Roman" w:cs="Times New Roman" w:eastAsia="Times New Roman" w:hAnsi="Times New Roman"/>
                <w:sz w:val="19"/>
                <w:szCs w:val="19"/>
                <w:color w:val="auto"/>
                <w:vertAlign w:val="superscript"/>
              </w:rPr>
              <w:t>%</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240" w:type="dxa"/>
            <w:vAlign w:val="bottom"/>
            <w:shd w:val="clear" w:color="auto" w:fill="CCECFF"/>
          </w:tcPr>
          <w:p>
            <w:pPr>
              <w:spacing w:after="0"/>
              <w:rPr>
                <w:sz w:val="16"/>
                <w:szCs w:val="16"/>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180" w:type="dxa"/>
            <w:vAlign w:val="bottom"/>
            <w:shd w:val="clear" w:color="auto" w:fill="CCECFF"/>
          </w:tcPr>
          <w:p>
            <w:pPr>
              <w:spacing w:after="0"/>
              <w:rPr>
                <w:sz w:val="16"/>
                <w:szCs w:val="16"/>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04/09/27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10.49 %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7,131</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7,059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11/30/26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11.30 %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14,687</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14,459</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14,100</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06/10/25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13,813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13,675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06/30/26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10.50 %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14,714</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14,638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14,714</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14,522</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14,304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08/03/29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11.56 %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21,574</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21,270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21,466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06/21/29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9.92 %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07/01/29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14,486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14,259</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02/28/30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6,852</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6,965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01/31/28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8,887</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09/17/26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20,504</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20,245</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20,152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10/31/25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13,292</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13,218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13,026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12/04/25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9,374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07/25/29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4,874</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4,625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4,585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11/30/29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5,473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5,400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5,390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02/07/30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9,801</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06/14/28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17,106</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17,106</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SOFR+619</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2,891</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2,848</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07/13/27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8,716</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8,702</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8,716</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08/16/27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SOFR+586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2,549</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2,529</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2,530</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08/31/27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9.95 %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22,993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22,842</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22,993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5,830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5,423</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5,626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11/03/25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13,777</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13,667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07/15/28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10.38 %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1,588</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1,586</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10/15/28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10.88 %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SOFR+576</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8,993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01/10/29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11,144</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11,013</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10,977</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05/29/29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12,249</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05/10/30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7,396</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7,293</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7,322</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03/15/27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9,651</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9,556</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06/17/28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9.74 %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SOFR+450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3,417</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3,495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02/23/28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12.21 %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4,241</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4,175</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4,241</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03/16/26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6,952</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6,605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08/10/27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10.45 %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3,118</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3,081</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3,087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12/31/26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6,023</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06/17/29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9.75 %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7,980</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7,887</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7,924</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11/08/29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14,292</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14,149</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12.00%</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12/17/26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(PIK 4.0%)</w:t>
            </w:r>
          </w:p>
        </w:tc>
        <w:tc>
          <w:tcPr>
            <w:tcW w:w="106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15,144</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15,019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13,887</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05/10/26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18,355</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18,296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18,355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09/22/28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11.35 %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4,322</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4,339</w:t>
            </w:r>
          </w:p>
        </w:tc>
        <w:tc>
          <w:tcPr>
            <w:tcW w:w="0" w:type="dxa"/>
            <w:vAlign w:val="bottom"/>
          </w:tcPr>
          <w:p>
            <w:pPr>
              <w:spacing w:after="0"/>
              <w:rPr>
                <w:sz w:val="1"/>
                <w:szCs w:val="1"/>
                <w:color w:val="auto"/>
              </w:rPr>
            </w:pPr>
          </w:p>
        </w:tc>
      </w:tr>
      <w:tr>
        <w:trPr>
          <w:trHeight w:val="124"/>
        </w:trPr>
        <w:tc>
          <w:tcPr>
            <w:tcW w:w="276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20" w:type="dxa"/>
            <w:vAlign w:val="bottom"/>
            <w:vMerge w:val="restart"/>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11/15/27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vMerge w:val="restart"/>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vMerge w:val="restart"/>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SOFR+510</w:t>
            </w:r>
          </w:p>
        </w:tc>
        <w:tc>
          <w:tcPr>
            <w:tcW w:w="9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5,509</w:t>
            </w:r>
          </w:p>
        </w:tc>
        <w:tc>
          <w:tcPr>
            <w:tcW w:w="240" w:type="dxa"/>
            <w:vAlign w:val="bottom"/>
            <w:shd w:val="clear" w:color="auto" w:fill="CCECFF"/>
          </w:tcPr>
          <w:p>
            <w:pPr>
              <w:spacing w:after="0"/>
              <w:rPr>
                <w:sz w:val="10"/>
                <w:szCs w:val="10"/>
                <w:color w:val="auto"/>
              </w:rPr>
            </w:pPr>
          </w:p>
        </w:tc>
        <w:tc>
          <w:tcPr>
            <w:tcW w:w="6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5,440</w:t>
            </w:r>
          </w:p>
        </w:tc>
        <w:tc>
          <w:tcPr>
            <w:tcW w:w="180" w:type="dxa"/>
            <w:vAlign w:val="bottom"/>
            <w:shd w:val="clear" w:color="auto" w:fill="CCECFF"/>
          </w:tcPr>
          <w:p>
            <w:pPr>
              <w:spacing w:after="0"/>
              <w:rPr>
                <w:sz w:val="10"/>
                <w:szCs w:val="10"/>
                <w:color w:val="auto"/>
              </w:rPr>
            </w:pPr>
          </w:p>
        </w:tc>
        <w:tc>
          <w:tcPr>
            <w:tcW w:w="94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5,481</w:t>
            </w:r>
          </w:p>
        </w:tc>
        <w:tc>
          <w:tcPr>
            <w:tcW w:w="0" w:type="dxa"/>
            <w:vAlign w:val="bottom"/>
          </w:tcPr>
          <w:p>
            <w:pPr>
              <w:spacing w:after="0"/>
              <w:rPr>
                <w:sz w:val="1"/>
                <w:szCs w:val="1"/>
                <w:color w:val="auto"/>
              </w:rPr>
            </w:pPr>
          </w:p>
        </w:tc>
      </w:tr>
      <w:tr>
        <w:trPr>
          <w:trHeight w:val="68"/>
        </w:trPr>
        <w:tc>
          <w:tcPr>
            <w:tcW w:w="2760" w:type="dxa"/>
            <w:vAlign w:val="bottom"/>
            <w:vMerge w:val="continue"/>
            <w:shd w:val="clear" w:color="auto" w:fill="CCECFF"/>
          </w:tcPr>
          <w:p>
            <w:pPr>
              <w:spacing w:after="0"/>
              <w:rPr>
                <w:sz w:val="5"/>
                <w:szCs w:val="5"/>
                <w:color w:val="auto"/>
              </w:rPr>
            </w:pPr>
          </w:p>
        </w:tc>
        <w:tc>
          <w:tcPr>
            <w:tcW w:w="820" w:type="dxa"/>
            <w:vAlign w:val="bottom"/>
            <w:vMerge w:val="continue"/>
            <w:shd w:val="clear" w:color="auto" w:fill="CCECFF"/>
          </w:tcPr>
          <w:p>
            <w:pPr>
              <w:spacing w:after="0"/>
              <w:rPr>
                <w:sz w:val="5"/>
                <w:szCs w:val="5"/>
                <w:color w:val="auto"/>
              </w:rPr>
            </w:pPr>
          </w:p>
        </w:tc>
        <w:tc>
          <w:tcPr>
            <w:tcW w:w="2060" w:type="dxa"/>
            <w:vAlign w:val="bottom"/>
            <w:shd w:val="clear" w:color="auto" w:fill="CCECFF"/>
          </w:tcPr>
          <w:p>
            <w:pPr>
              <w:spacing w:after="0"/>
              <w:rPr>
                <w:sz w:val="5"/>
                <w:szCs w:val="5"/>
                <w:color w:val="auto"/>
              </w:rPr>
            </w:pPr>
          </w:p>
        </w:tc>
        <w:tc>
          <w:tcPr>
            <w:tcW w:w="900" w:type="dxa"/>
            <w:vAlign w:val="bottom"/>
            <w:vMerge w:val="continue"/>
            <w:shd w:val="clear" w:color="auto" w:fill="CCECFF"/>
          </w:tcPr>
          <w:p>
            <w:pPr>
              <w:spacing w:after="0"/>
              <w:rPr>
                <w:sz w:val="5"/>
                <w:szCs w:val="5"/>
                <w:color w:val="auto"/>
              </w:rPr>
            </w:pPr>
          </w:p>
        </w:tc>
        <w:tc>
          <w:tcPr>
            <w:tcW w:w="1060" w:type="dxa"/>
            <w:vAlign w:val="bottom"/>
            <w:vMerge w:val="continue"/>
            <w:shd w:val="clear" w:color="auto" w:fill="CCECFF"/>
          </w:tcPr>
          <w:p>
            <w:pPr>
              <w:spacing w:after="0"/>
              <w:rPr>
                <w:sz w:val="5"/>
                <w:szCs w:val="5"/>
                <w:color w:val="auto"/>
              </w:rPr>
            </w:pPr>
          </w:p>
        </w:tc>
        <w:tc>
          <w:tcPr>
            <w:tcW w:w="960" w:type="dxa"/>
            <w:vAlign w:val="bottom"/>
            <w:vMerge w:val="continue"/>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640" w:type="dxa"/>
            <w:vAlign w:val="bottom"/>
            <w:vMerge w:val="continue"/>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94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12/28/28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13,890</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13,730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14,029</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11/01/26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10.10 %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12,286</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12,214</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12,194</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06/30/25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SOFR+761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13,101</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12,980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12,905</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11/10/27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13,520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10/31/25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4,601</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4,530</w:t>
            </w:r>
          </w:p>
        </w:tc>
        <w:tc>
          <w:tcPr>
            <w:tcW w:w="0" w:type="dxa"/>
            <w:vAlign w:val="bottom"/>
          </w:tcPr>
          <w:p>
            <w:pPr>
              <w:spacing w:after="0"/>
              <w:rPr>
                <w:sz w:val="1"/>
                <w:szCs w:val="1"/>
                <w:color w:val="auto"/>
              </w:rPr>
            </w:pPr>
          </w:p>
        </w:tc>
      </w:tr>
      <w:tr>
        <w:trPr>
          <w:trHeight w:val="121"/>
        </w:trPr>
        <w:tc>
          <w:tcPr>
            <w:tcW w:w="27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12.94%</w:t>
            </w:r>
          </w:p>
        </w:tc>
        <w:tc>
          <w:tcPr>
            <w:tcW w:w="106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02/18/27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(PIK 5.10%)</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SOFR+785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20,447</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20,338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20,243</w:t>
            </w:r>
          </w:p>
        </w:tc>
        <w:tc>
          <w:tcPr>
            <w:tcW w:w="0" w:type="dxa"/>
            <w:vAlign w:val="bottom"/>
          </w:tcPr>
          <w:p>
            <w:pPr>
              <w:spacing w:after="0"/>
              <w:rPr>
                <w:sz w:val="1"/>
                <w:szCs w:val="1"/>
                <w:color w:val="auto"/>
              </w:rPr>
            </w:pPr>
          </w:p>
        </w:tc>
      </w:tr>
      <w:tr>
        <w:trPr>
          <w:trHeight w:val="124"/>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20" w:type="dxa"/>
            <w:vAlign w:val="bottom"/>
            <w:vMerge w:val="restart"/>
          </w:tcPr>
          <w:p>
            <w:pPr>
              <w:jc w:val="center"/>
              <w:ind w:left="32"/>
              <w:spacing w:after="0"/>
              <w:rPr>
                <w:sz w:val="20"/>
                <w:szCs w:val="20"/>
                <w:color w:val="auto"/>
              </w:rPr>
            </w:pPr>
            <w:r>
              <w:rPr>
                <w:rFonts w:ascii="Times New Roman" w:cs="Times New Roman" w:eastAsia="Times New Roman" w:hAnsi="Times New Roman"/>
                <w:sz w:val="10"/>
                <w:szCs w:val="10"/>
                <w:color w:val="auto"/>
                <w:w w:val="95"/>
              </w:rPr>
              <w:t>02/03/26</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14,267</w:t>
            </w:r>
          </w:p>
        </w:tc>
        <w:tc>
          <w:tcPr>
            <w:tcW w:w="240" w:type="dxa"/>
            <w:vAlign w:val="bottom"/>
          </w:tcPr>
          <w:p>
            <w:pPr>
              <w:spacing w:after="0"/>
              <w:rPr>
                <w:sz w:val="10"/>
                <w:szCs w:val="10"/>
                <w:color w:val="auto"/>
              </w:rPr>
            </w:pPr>
          </w:p>
        </w:tc>
        <w:tc>
          <w:tcPr>
            <w:tcW w:w="6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14,170</w:t>
            </w:r>
          </w:p>
        </w:tc>
        <w:tc>
          <w:tcPr>
            <w:tcW w:w="180" w:type="dxa"/>
            <w:vAlign w:val="bottom"/>
          </w:tcPr>
          <w:p>
            <w:pPr>
              <w:spacing w:after="0"/>
              <w:rPr>
                <w:sz w:val="10"/>
                <w:szCs w:val="10"/>
                <w:color w:val="auto"/>
              </w:rPr>
            </w:pP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14,267</w:t>
            </w:r>
          </w:p>
        </w:tc>
        <w:tc>
          <w:tcPr>
            <w:tcW w:w="0" w:type="dxa"/>
            <w:vAlign w:val="bottom"/>
          </w:tcPr>
          <w:p>
            <w:pPr>
              <w:spacing w:after="0"/>
              <w:rPr>
                <w:sz w:val="1"/>
                <w:szCs w:val="1"/>
                <w:color w:val="auto"/>
              </w:rPr>
            </w:pPr>
          </w:p>
        </w:tc>
      </w:tr>
      <w:tr>
        <w:trPr>
          <w:trHeight w:val="44"/>
        </w:trPr>
        <w:tc>
          <w:tcPr>
            <w:tcW w:w="27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0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01/31/30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10.48 %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6,255</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6,151</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6,255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04/01/27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10.20 %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8,266</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7,890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7,770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-First out</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12.13 %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SOFR+701</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425</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-Second out</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12.38 %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SOFR+801</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-Third out</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SOFR+726</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617</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04/16/27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8,330</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8,256</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8,338</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10.50 %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2,923</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2,850</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10.85 %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14,912</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14,765</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14,912</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03/01/30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9.85 %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7,960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7,851</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7,514</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01/16/30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12,450</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12,303</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12,263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10/01/27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9.77 %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5,912</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5,822</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5,912</w:t>
            </w:r>
          </w:p>
        </w:tc>
        <w:tc>
          <w:tcPr>
            <w:tcW w:w="0" w:type="dxa"/>
            <w:vAlign w:val="bottom"/>
          </w:tcPr>
          <w:p>
            <w:pPr>
              <w:spacing w:after="0"/>
              <w:rPr>
                <w:sz w:val="1"/>
                <w:szCs w:val="1"/>
                <w:color w:val="auto"/>
              </w:rPr>
            </w:pPr>
          </w:p>
        </w:tc>
      </w:tr>
      <w:tr>
        <w:trPr>
          <w:trHeight w:val="12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08/19/26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7,353</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7,311</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7,133</w:t>
            </w:r>
          </w:p>
        </w:tc>
        <w:tc>
          <w:tcPr>
            <w:tcW w:w="0" w:type="dxa"/>
            <w:vAlign w:val="bottom"/>
          </w:tcPr>
          <w:p>
            <w:pPr>
              <w:spacing w:after="0"/>
              <w:rPr>
                <w:sz w:val="1"/>
                <w:szCs w:val="1"/>
                <w:color w:val="auto"/>
              </w:rPr>
            </w:pPr>
          </w:p>
        </w:tc>
      </w:tr>
      <w:tr>
        <w:trPr>
          <w:trHeight w:val="120"/>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2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08/31/29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24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14,597</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10.01 %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40" w:type="dxa"/>
            <w:vAlign w:val="bottom"/>
          </w:tcPr>
          <w:p>
            <w:pPr>
              <w:spacing w:after="0"/>
              <w:rPr>
                <w:sz w:val="10"/>
                <w:szCs w:val="1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9,650</w:t>
            </w:r>
          </w:p>
        </w:tc>
        <w:tc>
          <w:tcPr>
            <w:tcW w:w="180" w:type="dxa"/>
            <w:vAlign w:val="bottom"/>
          </w:tcPr>
          <w:p>
            <w:pPr>
              <w:spacing w:after="0"/>
              <w:rPr>
                <w:sz w:val="10"/>
                <w:szCs w:val="1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56"/>
        </w:trPr>
        <w:tc>
          <w:tcPr>
            <w:tcW w:w="2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jc w:val="right"/>
              <w:ind w:right="21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1"/>
        </w:trPr>
        <w:tc>
          <w:tcPr>
            <w:tcW w:w="272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w:t>
            </w: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5"/>
                <w:szCs w:val="15"/>
                <w:color w:val="auto"/>
              </w:rPr>
            </w:pP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Fair Value </w:t>
            </w:r>
            <w:r>
              <w:rPr>
                <w:rFonts w:ascii="Times New Roman" w:cs="Times New Roman" w:eastAsia="Times New Roman" w:hAnsi="Times New Roman"/>
                <w:sz w:val="16"/>
                <w:szCs w:val="16"/>
                <w:b w:val="1"/>
                <w:bCs w:val="1"/>
                <w:color w:val="auto"/>
                <w:w w:val="98"/>
                <w:vertAlign w:val="superscript"/>
              </w:rPr>
              <w:t>(2)</w:t>
            </w: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5/7/2027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11.21 %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SOFR+636</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8,380</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8,256</w:t>
            </w:r>
          </w:p>
        </w:tc>
        <w:tc>
          <w:tcPr>
            <w:tcW w:w="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8,380</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2/4/2028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SOFR+535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3,893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3,811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3,825</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5/18/2026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11.12 %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SOFR+651</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9,340</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9,340</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10/2/2028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11.51 %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SOFR+600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12,903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12,877</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3/1/2030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10.81 %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5,812</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5,735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5,812</w:t>
            </w:r>
          </w:p>
        </w:tc>
        <w:tc>
          <w:tcPr>
            <w:tcW w:w="80" w:type="dxa"/>
            <w:vAlign w:val="bottom"/>
            <w:shd w:val="clear" w:color="auto" w:fill="CCECFF"/>
          </w:tcPr>
          <w:p>
            <w:pPr>
              <w:spacing w:after="0"/>
              <w:rPr>
                <w:sz w:val="10"/>
                <w:szCs w:val="10"/>
                <w:color w:val="auto"/>
              </w:rPr>
            </w:pPr>
          </w:p>
        </w:tc>
      </w:tr>
      <w:tr>
        <w:trPr>
          <w:trHeight w:val="121"/>
        </w:trPr>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11.99%</w:t>
            </w: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11/9/2027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(PIK 3.5%)</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SOFR+725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8,193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6,554</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11/19/2026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10.95 %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SOFR+635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3,280</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3,263</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5/3/2029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19,950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19,551</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3/31/2025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10.75 %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12,565</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12,543</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12,313</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10.85 %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SOFR+560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5,530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4/28/2028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25.00 %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SOFR+615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4,937</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1/29/2026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11.75 %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SOFR+715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9,650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9,554</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6/21/2025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9.85 %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SOFR+525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3,932</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3,919</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3,936</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6/16/2029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10.74 %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4,336</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11.48 %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SOFR+615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6,467</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6,387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6,402</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1/3/2025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10.80 %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SOFR+620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6,676</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6,668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12.45%</w:t>
            </w: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32"/>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(PIK 1.00%)</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SOFR+760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4,634</w:t>
            </w: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1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80" w:type="dxa"/>
            <w:vAlign w:val="bottom"/>
            <w:shd w:val="clear" w:color="auto" w:fill="CCECFF"/>
          </w:tcPr>
          <w:p>
            <w:pPr>
              <w:spacing w:after="0"/>
              <w:rPr>
                <w:sz w:val="11"/>
                <w:szCs w:val="11"/>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6/13/2029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10.75 %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SOFR+615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14,700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14,510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14,186</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11.50 %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SOFR+690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14,621</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14,465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14,475</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12/2/2026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11.38 %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SOFR+640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11,359</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5/17/2028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9.46 %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SOFR+461</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1,290</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1,269</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11/23/2028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SOFR+610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25,078</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24,798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25,073</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7/17/2025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12.40 %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SOFR+715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9,216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10.26 %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SOFR+565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9,510</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9,510</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9.31 %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SOFR+425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3,554</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3,305</w:t>
            </w:r>
          </w:p>
        </w:tc>
        <w:tc>
          <w:tcPr>
            <w:tcW w:w="80" w:type="dxa"/>
            <w:vAlign w:val="bottom"/>
            <w:shd w:val="clear" w:color="auto" w:fill="CCECFF"/>
          </w:tcPr>
          <w:p>
            <w:pPr>
              <w:spacing w:after="0"/>
              <w:rPr>
                <w:sz w:val="10"/>
                <w:szCs w:val="10"/>
                <w:color w:val="auto"/>
              </w:rPr>
            </w:pPr>
          </w:p>
        </w:tc>
      </w:tr>
      <w:tr>
        <w:trPr>
          <w:trHeight w:val="121"/>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&amp; Research,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8/16/2027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10.26 %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SOFR+500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15,803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15,600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15,772</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1/23/2029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11.10 %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SOFR+650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9,950</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9,800</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9,851</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10.98 %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SOFR+565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11,392</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11,392</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6/6/2025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11.33 %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SOFR+640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1,568</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1,567</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1,568</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9.95 %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SOFR+510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9,661</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9,462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9,537</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3/13/2031</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9.60 %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SOFR+475</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2,985</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2,955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2,994</w:t>
            </w:r>
          </w:p>
        </w:tc>
        <w:tc>
          <w:tcPr>
            <w:tcW w:w="80" w:type="dxa"/>
            <w:vAlign w:val="bottom"/>
            <w:shd w:val="clear" w:color="auto" w:fill="CCECFF"/>
          </w:tcPr>
          <w:p>
            <w:pPr>
              <w:spacing w:after="0"/>
              <w:rPr>
                <w:sz w:val="10"/>
                <w:szCs w:val="10"/>
                <w:color w:val="auto"/>
              </w:rPr>
            </w:pPr>
          </w:p>
        </w:tc>
      </w:tr>
      <w:tr>
        <w:trPr>
          <w:trHeight w:val="204"/>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7/27/2026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31"/>
              <w:spacing w:after="0" w:line="204" w:lineRule="exact"/>
              <w:rPr>
                <w:sz w:val="20"/>
                <w:szCs w:val="20"/>
                <w:color w:val="auto"/>
              </w:rPr>
            </w:pPr>
            <w:r>
              <w:rPr>
                <w:rFonts w:ascii="Times New Roman" w:cs="Times New Roman" w:eastAsia="Times New Roman" w:hAnsi="Times New Roman"/>
                <w:sz w:val="10"/>
                <w:szCs w:val="10"/>
                <w:color w:val="auto"/>
              </w:rPr>
              <w:t xml:space="preserve">11.25 </w:t>
            </w:r>
            <w:r>
              <w:rPr>
                <w:rFonts w:ascii="Times New Roman" w:cs="Times New Roman" w:eastAsia="Times New Roman" w:hAnsi="Times New Roman"/>
                <w:sz w:val="19"/>
                <w:szCs w:val="19"/>
                <w:color w:val="auto"/>
                <w:vertAlign w:val="superscript"/>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SOFR+665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14,445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80" w:type="dxa"/>
            <w:vAlign w:val="bottom"/>
          </w:tcPr>
          <w:p>
            <w:pPr>
              <w:spacing w:after="0"/>
              <w:rPr>
                <w:sz w:val="17"/>
                <w:szCs w:val="17"/>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8/31/2027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10.99 %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SOFR+610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7,611</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7,536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7,611</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10.60 %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14,479</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14,282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14,479</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4/3/2028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10.23 %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SOFR+490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11,306</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11,165</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6/15/2026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11.46 %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SOFR+550</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10,928</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10,836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10,819</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12/1/2029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8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10.60 %</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SOFR+600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13,942</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13,769</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13,803</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2/27/2027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10.60 %</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rPr>
              <w:t>SOFR+575</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19,256</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19,126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19,256</w:t>
            </w:r>
          </w:p>
        </w:tc>
        <w:tc>
          <w:tcPr>
            <w:tcW w:w="80" w:type="dxa"/>
            <w:vAlign w:val="bottom"/>
          </w:tcPr>
          <w:p>
            <w:pPr>
              <w:spacing w:after="0"/>
              <w:rPr>
                <w:sz w:val="10"/>
                <w:szCs w:val="10"/>
                <w:color w:val="auto"/>
              </w:rPr>
            </w:pPr>
          </w:p>
        </w:tc>
      </w:tr>
      <w:tr>
        <w:trPr>
          <w:trHeight w:val="121"/>
        </w:trPr>
        <w:tc>
          <w:tcPr>
            <w:tcW w:w="2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12.46%</w:t>
            </w: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12/31/2024</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(PIK 1.5%)</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SOFR+740</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19,687</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19,648</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18,801</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1,033,954</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1,028,874</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Security - 2.1%</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Common Equity</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134</w:t>
            </w: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- 918.5%</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1,036,305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1,031,225</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- 32.6%</w:t>
            </w: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tcPr>
          <w:p>
            <w:pPr>
              <w:spacing w:after="0"/>
              <w:rPr>
                <w:sz w:val="10"/>
                <w:szCs w:val="10"/>
                <w:color w:val="auto"/>
              </w:rPr>
            </w:pPr>
          </w:p>
        </w:tc>
      </w:tr>
      <w:tr>
        <w:trPr>
          <w:trHeight w:val="12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1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shd w:val="clear" w:color="auto" w:fill="CCECFF"/>
          </w:tcPr>
          <w:p>
            <w:pPr>
              <w:spacing w:after="0"/>
              <w:rPr>
                <w:sz w:val="10"/>
                <w:szCs w:val="10"/>
                <w:color w:val="auto"/>
              </w:rPr>
            </w:pPr>
          </w:p>
        </w:tc>
      </w:tr>
      <w:tr>
        <w:trPr>
          <w:trHeight w:val="120"/>
        </w:trPr>
        <w:tc>
          <w:tcPr>
            <w:tcW w:w="272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- 951.1)%</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1,072,900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1,067,820</w:t>
            </w:r>
          </w:p>
        </w:tc>
        <w:tc>
          <w:tcPr>
            <w:tcW w:w="80" w:type="dxa"/>
            <w:vAlign w:val="bottom"/>
          </w:tcPr>
          <w:p>
            <w:pPr>
              <w:spacing w:after="0"/>
              <w:rPr>
                <w:sz w:val="10"/>
                <w:szCs w:val="10"/>
                <w:color w:val="auto"/>
              </w:rPr>
            </w:pPr>
          </w:p>
        </w:tc>
      </w:tr>
      <w:tr>
        <w:trPr>
          <w:trHeight w:val="20"/>
        </w:trPr>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72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(851.1)%</w:t>
            </w:r>
          </w:p>
        </w:tc>
        <w:tc>
          <w:tcPr>
            <w:tcW w:w="880" w:type="dxa"/>
            <w:vAlign w:val="bottom"/>
            <w:shd w:val="clear" w:color="auto" w:fill="CCECFF"/>
          </w:tcPr>
          <w:p>
            <w:pPr>
              <w:spacing w:after="0"/>
              <w:rPr>
                <w:sz w:val="8"/>
                <w:szCs w:val="8"/>
                <w:color w:val="auto"/>
              </w:rPr>
            </w:pPr>
          </w:p>
        </w:tc>
        <w:tc>
          <w:tcPr>
            <w:tcW w:w="19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940" w:type="dxa"/>
            <w:vAlign w:val="bottom"/>
            <w:gridSpan w:val="2"/>
            <w:shd w:val="clear" w:color="auto" w:fill="CCECFF"/>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(955,549 )</w:t>
            </w:r>
          </w:p>
        </w:tc>
      </w:tr>
      <w:tr>
        <w:trPr>
          <w:trHeight w:val="120"/>
        </w:trPr>
        <w:tc>
          <w:tcPr>
            <w:tcW w:w="272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112,271</w:t>
            </w:r>
          </w:p>
        </w:tc>
        <w:tc>
          <w:tcPr>
            <w:tcW w:w="80" w:type="dxa"/>
            <w:vAlign w:val="bottom"/>
          </w:tcPr>
          <w:p>
            <w:pPr>
              <w:spacing w:after="0"/>
              <w:rPr>
                <w:sz w:val="10"/>
                <w:szCs w:val="10"/>
                <w:color w:val="auto"/>
              </w:rPr>
            </w:pPr>
          </w:p>
        </w:tc>
      </w:tr>
      <w:tr>
        <w:trPr>
          <w:trHeight w:val="20"/>
        </w:trPr>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 w:lineRule="exact"/>
        <w:rPr>
          <w:sz w:val="20"/>
          <w:szCs w:val="20"/>
          <w:color w:val="auto"/>
        </w:rPr>
      </w:pPr>
    </w:p>
    <w:p>
      <w:pPr>
        <w:ind w:right="3080"/>
        <w:spacing w:after="0" w:line="236"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PSLF’s accounting policy.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All investments in U.S. companies unless noted otherwise.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2"/>
        </w:trPr>
        <w:tc>
          <w:tcPr>
            <w:tcW w:w="63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PSLF, ($ in thousands):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1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2024 (Unaudited)</w:t>
            </w:r>
          </w:p>
        </w:tc>
        <w:tc>
          <w:tcPr>
            <w:tcW w:w="240" w:type="dxa"/>
            <w:vAlign w:val="bottom"/>
          </w:tcPr>
          <w:p>
            <w:pPr>
              <w:spacing w:after="0"/>
              <w:rPr>
                <w:sz w:val="15"/>
                <w:szCs w:val="15"/>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2"/>
        </w:trPr>
        <w:tc>
          <w:tcPr>
            <w:tcW w:w="63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cost—$1,282,066 and $1,036,305, respectively)</w:t>
            </w:r>
          </w:p>
        </w:tc>
        <w:tc>
          <w:tcPr>
            <w:tcW w:w="700" w:type="dxa"/>
            <w:vAlign w:val="bottom"/>
            <w:shd w:val="clear" w:color="auto" w:fill="CCEC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1,275,076</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(cost—$112,691 and $36,595, respectively)</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112,691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36,595</w:t>
            </w: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3,004</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1,397,026</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2037 Asset-backed debt, net (par—$328,000 and $0, respectively)</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325,842</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 and $246,000, respectively)</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244,769</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 and $246,000, respectively)</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244,216</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244,118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231,106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142,600</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247,600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700" w:type="dxa"/>
            <w:vAlign w:val="bottom"/>
          </w:tcPr>
          <w:p>
            <w:pPr>
              <w:spacing w:after="0"/>
              <w:rPr>
                <w:sz w:val="13"/>
                <w:szCs w:val="13"/>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47,324</w:t>
            </w: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700" w:type="dxa"/>
            <w:vAlign w:val="bottom"/>
            <w:shd w:val="clear" w:color="auto" w:fill="CCECFF"/>
          </w:tcPr>
          <w:p>
            <w:pPr>
              <w:spacing w:after="0"/>
              <w:rPr>
                <w:sz w:val="13"/>
                <w:szCs w:val="13"/>
                <w:color w:val="auto"/>
              </w:rPr>
            </w:pPr>
          </w:p>
        </w:tc>
        <w:tc>
          <w:tcPr>
            <w:tcW w:w="148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3"/>
                <w:szCs w:val="13"/>
                <w:color w:val="auto"/>
              </w:rPr>
              <w:t>13,379</w:t>
            </w:r>
          </w:p>
        </w:tc>
        <w:tc>
          <w:tcPr>
            <w:tcW w:w="240" w:type="dxa"/>
            <w:vAlign w:val="bottom"/>
            <w:shd w:val="clear" w:color="auto" w:fill="CCECFF"/>
          </w:tcPr>
          <w:p>
            <w:pPr>
              <w:spacing w:after="0"/>
              <w:rPr>
                <w:sz w:val="13"/>
                <w:szCs w:val="13"/>
                <w:color w:val="auto"/>
              </w:rPr>
            </w:pPr>
          </w:p>
        </w:tc>
        <w:tc>
          <w:tcPr>
            <w:tcW w:w="1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12,525</w:t>
            </w: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5,009</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to affiliate</w:t>
            </w: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3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1,263,792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961,081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133,234</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700" w:type="dxa"/>
            <w:vAlign w:val="bottom"/>
            <w:tcBorders>
              <w:bottom w:val="single" w:sz="8" w:color="auto"/>
            </w:tcBorders>
            <w:shd w:val="clear" w:color="auto" w:fill="CCEC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1,397,026</w:t>
            </w:r>
          </w:p>
        </w:tc>
        <w:tc>
          <w:tcPr>
            <w:tcW w:w="3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As of December 31, 2024 and September 30, 2024, PSLF had zero unfunded commitments to fund investments.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4" w:right="68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2"/>
        </w:trPr>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840" w:type="dxa"/>
            <w:vAlign w:val="bottom"/>
          </w:tcPr>
          <w:p>
            <w:pPr>
              <w:spacing w:after="0"/>
              <w:rPr>
                <w:sz w:val="14"/>
                <w:szCs w:val="14"/>
                <w:color w:val="auto"/>
              </w:rPr>
            </w:pPr>
          </w:p>
        </w:tc>
        <w:tc>
          <w:tcPr>
            <w:tcW w:w="308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6840" w:type="dxa"/>
            <w:vAlign w:val="bottom"/>
          </w:tcPr>
          <w:p>
            <w:pPr>
              <w:spacing w:after="0"/>
              <w:rPr>
                <w:sz w:val="14"/>
                <w:szCs w:val="14"/>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32,953</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27,107</w:t>
            </w:r>
          </w:p>
        </w:tc>
      </w:tr>
      <w:tr>
        <w:trPr>
          <w:trHeight w:val="156"/>
        </w:trPr>
        <w:tc>
          <w:tcPr>
            <w:tcW w:w="6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CFF"/>
          </w:tcPr>
          <w:p>
            <w:pPr>
              <w:spacing w:after="0"/>
              <w:rPr>
                <w:sz w:val="13"/>
                <w:szCs w:val="13"/>
                <w:color w:val="auto"/>
              </w:rPr>
            </w:pPr>
          </w:p>
        </w:tc>
      </w:tr>
      <w:tr>
        <w:trPr>
          <w:trHeight w:val="156"/>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33,476</w:t>
            </w:r>
          </w:p>
        </w:tc>
        <w:tc>
          <w:tcPr>
            <w:tcW w:w="1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27,247</w:t>
            </w:r>
          </w:p>
        </w:tc>
      </w:tr>
      <w:tr>
        <w:trPr>
          <w:trHeight w:val="156"/>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1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15,643</w:t>
            </w:r>
          </w:p>
        </w:tc>
        <w:tc>
          <w:tcPr>
            <w:tcW w:w="1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12,640</w:t>
            </w:r>
          </w:p>
        </w:tc>
      </w:tr>
      <w:tr>
        <w:trPr>
          <w:trHeight w:val="156"/>
        </w:trPr>
        <w:tc>
          <w:tcPr>
            <w:tcW w:w="6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7,343</w:t>
            </w: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5,844</w:t>
            </w:r>
          </w:p>
        </w:tc>
        <w:tc>
          <w:tcPr>
            <w:tcW w:w="100" w:type="dxa"/>
            <w:vAlign w:val="bottom"/>
            <w:shd w:val="clear" w:color="auto" w:fill="CCECFF"/>
          </w:tcPr>
          <w:p>
            <w:pPr>
              <w:spacing w:after="0"/>
              <w:rPr>
                <w:sz w:val="13"/>
                <w:szCs w:val="13"/>
                <w:color w:val="auto"/>
              </w:rPr>
            </w:pPr>
          </w:p>
        </w:tc>
      </w:tr>
      <w:tr>
        <w:trPr>
          <w:trHeight w:val="156"/>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1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3"/>
                <w:szCs w:val="13"/>
                <w:color w:val="auto"/>
              </w:rPr>
            </w:pPr>
          </w:p>
        </w:tc>
      </w:tr>
      <w:tr>
        <w:trPr>
          <w:trHeight w:val="156"/>
        </w:trPr>
        <w:tc>
          <w:tcPr>
            <w:tcW w:w="6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CFF"/>
          </w:tcPr>
          <w:p>
            <w:pPr>
              <w:spacing w:after="0"/>
              <w:rPr>
                <w:sz w:val="13"/>
                <w:szCs w:val="13"/>
                <w:color w:val="auto"/>
              </w:rPr>
            </w:pPr>
          </w:p>
        </w:tc>
      </w:tr>
      <w:tr>
        <w:trPr>
          <w:trHeight w:val="156"/>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24,160</w:t>
            </w:r>
          </w:p>
        </w:tc>
        <w:tc>
          <w:tcPr>
            <w:tcW w:w="1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19,249</w:t>
            </w:r>
          </w:p>
        </w:tc>
      </w:tr>
      <w:tr>
        <w:trPr>
          <w:trHeight w:val="156"/>
        </w:trPr>
        <w:tc>
          <w:tcPr>
            <w:tcW w:w="6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9,316</w:t>
            </w:r>
          </w:p>
        </w:tc>
        <w:tc>
          <w:tcPr>
            <w:tcW w:w="2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7,998</w:t>
            </w:r>
          </w:p>
        </w:tc>
        <w:tc>
          <w:tcPr>
            <w:tcW w:w="100" w:type="dxa"/>
            <w:vAlign w:val="bottom"/>
            <w:shd w:val="clear" w:color="auto" w:fill="CCECFF"/>
          </w:tcPr>
          <w:p>
            <w:pPr>
              <w:spacing w:after="0"/>
              <w:rPr>
                <w:sz w:val="13"/>
                <w:szCs w:val="13"/>
                <w:color w:val="auto"/>
              </w:rPr>
            </w:pPr>
          </w:p>
        </w:tc>
      </w:tr>
      <w:tr>
        <w:trPr>
          <w:trHeight w:val="156"/>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1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(2,126)</w:t>
            </w:r>
          </w:p>
        </w:tc>
        <w:tc>
          <w:tcPr>
            <w:tcW w:w="1140" w:type="dxa"/>
            <w:vAlign w:val="bottom"/>
            <w:shd w:val="clear" w:color="auto" w:fill="CCECFF"/>
          </w:tcPr>
          <w:p>
            <w:pPr>
              <w:spacing w:after="0"/>
              <w:rPr>
                <w:sz w:val="13"/>
                <w:szCs w:val="13"/>
                <w:color w:val="auto"/>
              </w:rPr>
            </w:pPr>
          </w:p>
        </w:tc>
        <w:tc>
          <w:tcPr>
            <w:tcW w:w="6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(1,918)</w:t>
            </w:r>
          </w:p>
        </w:tc>
        <w:tc>
          <w:tcPr>
            <w:tcW w:w="1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00" w:type="dxa"/>
            <w:vAlign w:val="bottom"/>
          </w:tcPr>
          <w:p>
            <w:pPr>
              <w:spacing w:after="0"/>
              <w:rPr>
                <w:sz w:val="13"/>
                <w:szCs w:val="13"/>
                <w:color w:val="auto"/>
              </w:rPr>
            </w:pPr>
          </w:p>
        </w:tc>
      </w:tr>
      <w:tr>
        <w:trPr>
          <w:trHeight w:val="156"/>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14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(4,044)</w:t>
            </w:r>
          </w:p>
        </w:tc>
        <w:tc>
          <w:tcPr>
            <w:tcW w:w="114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00" w:type="dxa"/>
            <w:vAlign w:val="bottom"/>
            <w:shd w:val="clear" w:color="auto" w:fill="CCECFF"/>
          </w:tcPr>
          <w:p>
            <w:pPr>
              <w:spacing w:after="0"/>
              <w:rPr>
                <w:sz w:val="13"/>
                <w:szCs w:val="13"/>
                <w:color w:val="auto"/>
              </w:rPr>
            </w:pPr>
          </w:p>
        </w:tc>
      </w:tr>
      <w:tr>
        <w:trPr>
          <w:trHeight w:val="156"/>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5,272</w:t>
            </w:r>
          </w:p>
        </w:tc>
        <w:tc>
          <w:tcPr>
            <w:tcW w:w="260" w:type="dxa"/>
            <w:vAlign w:val="bottom"/>
          </w:tcPr>
          <w:p>
            <w:pPr>
              <w:spacing w:after="0"/>
              <w:rPr>
                <w:sz w:val="13"/>
                <w:szCs w:val="13"/>
                <w:color w:val="auto"/>
              </w:rPr>
            </w:pP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8,941</w:t>
            </w:r>
          </w:p>
        </w:tc>
        <w:tc>
          <w:tcPr>
            <w:tcW w:w="100" w:type="dxa"/>
            <w:vAlign w:val="bottom"/>
          </w:tcPr>
          <w:p>
            <w:pPr>
              <w:spacing w:after="0"/>
              <w:rPr>
                <w:sz w:val="13"/>
                <w:szCs w:val="13"/>
                <w:color w:val="auto"/>
              </w:rPr>
            </w:pPr>
          </w:p>
        </w:tc>
      </w:tr>
      <w:tr>
        <w:trPr>
          <w:trHeight w:val="20"/>
        </w:trPr>
        <w:tc>
          <w:tcPr>
            <w:tcW w:w="6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2" w:lineRule="exact"/>
        <w:rPr>
          <w:sz w:val="20"/>
          <w:szCs w:val="20"/>
          <w:color w:val="auto"/>
        </w:rPr>
      </w:pPr>
    </w:p>
    <w:p>
      <w:pPr>
        <w:ind w:left="100" w:hanging="94"/>
        <w:spacing w:after="0"/>
        <w:tabs>
          <w:tab w:leader="none" w:pos="100" w:val="left"/>
        </w:tabs>
        <w:numPr>
          <w:ilvl w:val="0"/>
          <w:numId w:val="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No management or incentive fees are payable by PSLF.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6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23"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 -term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30"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During the three months ended December 31, 2024, we declared distributions of $0.24 per share, for total distributions of $15.7 million. During the three months ended December 31, 2023, we declared distributions of $0.21 per share, for total distributions of $13.7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0"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Effective October 2023, we changed from a quarterly distribution to a monthly distribution. We intend to continue to make monthly distributions to our stockholders. Our monthly distributions, if any, are determined by our board of directors.</w:t>
      </w:r>
    </w:p>
    <w:p>
      <w:pPr>
        <w:spacing w:after="0" w:line="112" w:lineRule="exact"/>
        <w:rPr>
          <w:sz w:val="20"/>
          <w:szCs w:val="20"/>
          <w:color w:val="auto"/>
        </w:rPr>
      </w:pPr>
    </w:p>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three months ended December 31, 2024, the effect of which was not material to the consolidated financial statements.</w:t>
      </w:r>
    </w:p>
    <w:p>
      <w:pPr>
        <w:spacing w:after="0" w:line="130"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4" w:right="640" w:bottom="1440" w:gutter="0" w:footer="0" w:header="0"/>
        </w:sectPr>
      </w:pPr>
    </w:p>
    <w:bookmarkStart w:id="65" w:name="page66"/>
    <w:bookmarkEnd w:id="65"/>
    <w:p>
      <w:pPr>
        <w:spacing w:after="0" w:line="31" w:lineRule="exact"/>
        <w:rPr>
          <w:sz w:val="20"/>
          <w:szCs w:val="20"/>
          <w:color w:val="auto"/>
        </w:rPr>
      </w:pPr>
    </w:p>
    <w:p>
      <w:pPr>
        <w:jc w:val="both"/>
        <w:ind w:right="100" w:firstLine="420"/>
        <w:spacing w:after="0" w:line="259" w:lineRule="auto"/>
        <w:rPr>
          <w:sz w:val="20"/>
          <w:szCs w:val="20"/>
          <w:color w:val="auto"/>
        </w:rPr>
      </w:pPr>
      <w:r>
        <w:rPr>
          <w:rFonts w:ascii="Times New Roman" w:cs="Times New Roman" w:eastAsia="Times New Roman" w:hAnsi="Times New Roman"/>
          <w:sz w:val="13"/>
          <w:szCs w:val="13"/>
          <w:color w:val="auto"/>
        </w:rPr>
        <w:t>In June 2022, the FASB issued ASU 2022-03, Fair Value Measurement (Topic 820): Fair Value Measurement of Equity Securities Subject to Contractual Sale Restrictions ("ASU 2022-03"), which changed the fair value measurement disclosure requirements of ASC Topic 820, Fair Value Measurements and Disclosures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was not material to the the consolidated financial statements.</w:t>
      </w:r>
    </w:p>
    <w:p>
      <w:pPr>
        <w:spacing w:after="0" w:line="130" w:lineRule="exact"/>
        <w:rPr>
          <w:sz w:val="20"/>
          <w:szCs w:val="20"/>
          <w:color w:val="auto"/>
        </w:rPr>
      </w:pPr>
    </w:p>
    <w:p>
      <w:pPr>
        <w:ind w:right="200" w:firstLine="420"/>
        <w:spacing w:after="0" w:line="257"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w:t>
      </w:r>
    </w:p>
    <w:p>
      <w:pPr>
        <w:spacing w:after="0" w:line="132" w:lineRule="exact"/>
        <w:rPr>
          <w:sz w:val="20"/>
          <w:szCs w:val="20"/>
          <w:color w:val="auto"/>
        </w:rPr>
      </w:pPr>
    </w:p>
    <w:p>
      <w:pPr>
        <w:jc w:val="both"/>
        <w:ind w:right="44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December 31, 2024, our debt portfolio consisted of 92% variable-rate investments and 8% fixed rate investments. The variable-rate loans are usually based on a SOFR (or an alternative risk -free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0"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326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r>
      <w:tr>
        <w:trPr>
          <w:trHeight w:val="156"/>
        </w:trPr>
        <w:tc>
          <w:tcPr>
            <w:tcW w:w="3000" w:type="dxa"/>
            <w:vAlign w:val="bottom"/>
          </w:tcPr>
          <w:p>
            <w:pPr>
              <w:spacing w:after="0"/>
              <w:rPr>
                <w:sz w:val="13"/>
                <w:szCs w:val="13"/>
                <w:color w:val="auto"/>
              </w:rPr>
            </w:pP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Net of Interest</w:t>
            </w:r>
          </w:p>
        </w:tc>
      </w:tr>
      <w:tr>
        <w:trPr>
          <w:trHeight w:val="170"/>
        </w:trPr>
        <w:tc>
          <w:tcPr>
            <w:tcW w:w="3000" w:type="dxa"/>
            <w:vAlign w:val="bottom"/>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32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Expense Per Share</w:t>
            </w:r>
          </w:p>
        </w:tc>
      </w:tr>
      <w:tr>
        <w:trPr>
          <w:trHeight w:val="156"/>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Down 1%</w:t>
            </w:r>
          </w:p>
        </w:tc>
        <w:tc>
          <w:tcPr>
            <w:tcW w:w="3260" w:type="dxa"/>
            <w:vAlign w:val="bottom"/>
            <w:shd w:val="clear" w:color="auto" w:fill="CCECFF"/>
          </w:tcPr>
          <w:p>
            <w:pPr>
              <w:jc w:val="right"/>
              <w:ind w:right="25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(3,033 )</w:t>
            </w:r>
          </w:p>
        </w:tc>
        <w:tc>
          <w:tcPr>
            <w:tcW w:w="600" w:type="dxa"/>
            <w:vAlign w:val="bottom"/>
            <w:shd w:val="clear" w:color="auto" w:fill="CCECFF"/>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(0.05 )</w:t>
            </w:r>
          </w:p>
        </w:tc>
      </w:tr>
      <w:tr>
        <w:trPr>
          <w:trHeight w:val="156"/>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Up 1%</w:t>
            </w:r>
          </w:p>
        </w:tc>
        <w:tc>
          <w:tcPr>
            <w:tcW w:w="3260" w:type="dxa"/>
            <w:vAlign w:val="bottom"/>
          </w:tcPr>
          <w:p>
            <w:pPr>
              <w:spacing w:after="0"/>
              <w:rPr>
                <w:sz w:val="13"/>
                <w:szCs w:val="13"/>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3,033</w:t>
            </w:r>
          </w:p>
        </w:tc>
        <w:tc>
          <w:tcPr>
            <w:tcW w:w="600" w:type="dxa"/>
            <w:vAlign w:val="bottom"/>
          </w:tcPr>
          <w:p>
            <w:pPr>
              <w:spacing w:after="0"/>
              <w:rPr>
                <w:sz w:val="13"/>
                <w:szCs w:val="13"/>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0.05</w:t>
            </w:r>
          </w:p>
        </w:tc>
      </w:tr>
      <w:tr>
        <w:trPr>
          <w:trHeight w:val="156"/>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Up 2%</w:t>
            </w:r>
          </w:p>
        </w:tc>
        <w:tc>
          <w:tcPr>
            <w:tcW w:w="3260" w:type="dxa"/>
            <w:vAlign w:val="bottom"/>
            <w:shd w:val="clear" w:color="auto" w:fill="CCECFF"/>
          </w:tcPr>
          <w:p>
            <w:pPr>
              <w:spacing w:after="0"/>
              <w:rPr>
                <w:sz w:val="13"/>
                <w:szCs w:val="13"/>
                <w:color w:val="auto"/>
              </w:rPr>
            </w:pPr>
          </w:p>
        </w:tc>
        <w:tc>
          <w:tcPr>
            <w:tcW w:w="82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6,066</w:t>
            </w:r>
          </w:p>
        </w:tc>
        <w:tc>
          <w:tcPr>
            <w:tcW w:w="600" w:type="dxa"/>
            <w:vAlign w:val="bottom"/>
            <w:shd w:val="clear" w:color="auto" w:fill="CCECFF"/>
          </w:tcPr>
          <w:p>
            <w:pPr>
              <w:spacing w:after="0"/>
              <w:rPr>
                <w:sz w:val="13"/>
                <w:szCs w:val="13"/>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0.09</w:t>
            </w:r>
          </w:p>
        </w:tc>
      </w:tr>
      <w:tr>
        <w:trPr>
          <w:trHeight w:val="156"/>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Up 3%</w:t>
            </w:r>
          </w:p>
        </w:tc>
        <w:tc>
          <w:tcPr>
            <w:tcW w:w="3260" w:type="dxa"/>
            <w:vAlign w:val="bottom"/>
          </w:tcPr>
          <w:p>
            <w:pPr>
              <w:spacing w:after="0"/>
              <w:rPr>
                <w:sz w:val="13"/>
                <w:szCs w:val="13"/>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9,100</w:t>
            </w:r>
          </w:p>
        </w:tc>
        <w:tc>
          <w:tcPr>
            <w:tcW w:w="600" w:type="dxa"/>
            <w:vAlign w:val="bottom"/>
          </w:tcPr>
          <w:p>
            <w:pPr>
              <w:spacing w:after="0"/>
              <w:rPr>
                <w:sz w:val="13"/>
                <w:szCs w:val="13"/>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0.14</w:t>
            </w:r>
          </w:p>
        </w:tc>
      </w:tr>
      <w:tr>
        <w:trPr>
          <w:trHeight w:val="156"/>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Up 4%</w:t>
            </w:r>
          </w:p>
        </w:tc>
        <w:tc>
          <w:tcPr>
            <w:tcW w:w="3260" w:type="dxa"/>
            <w:vAlign w:val="bottom"/>
            <w:shd w:val="clear" w:color="auto" w:fill="CCECFF"/>
          </w:tcPr>
          <w:p>
            <w:pPr>
              <w:spacing w:after="0"/>
              <w:rPr>
                <w:sz w:val="13"/>
                <w:szCs w:val="13"/>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12,155</w:t>
            </w:r>
          </w:p>
        </w:tc>
        <w:tc>
          <w:tcPr>
            <w:tcW w:w="600" w:type="dxa"/>
            <w:vAlign w:val="bottom"/>
            <w:shd w:val="clear" w:color="auto" w:fill="CCECFF"/>
          </w:tcPr>
          <w:p>
            <w:pPr>
              <w:spacing w:after="0"/>
              <w:rPr>
                <w:sz w:val="13"/>
                <w:szCs w:val="13"/>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0.19</w:t>
            </w:r>
          </w:p>
        </w:tc>
      </w:tr>
    </w:tbl>
    <w:p>
      <w:pPr>
        <w:spacing w:after="0" w:line="144" w:lineRule="exact"/>
        <w:rPr>
          <w:sz w:val="20"/>
          <w:szCs w:val="20"/>
          <w:color w:val="auto"/>
        </w:rPr>
      </w:pPr>
    </w:p>
    <w:p>
      <w:pPr>
        <w:ind w:right="280" w:firstLine="420"/>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23"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23"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the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6" w:name="page67"/>
    <w:bookmarkEnd w:id="66"/>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65" w:lineRule="exact"/>
        <w:rPr>
          <w:sz w:val="20"/>
          <w:szCs w:val="20"/>
          <w:color w:val="auto"/>
        </w:rPr>
      </w:pPr>
    </w:p>
    <w:p>
      <w:pPr>
        <w:ind w:right="140" w:firstLine="420"/>
        <w:spacing w:after="0" w:line="256" w:lineRule="auto"/>
        <w:rPr>
          <w:sz w:val="20"/>
          <w:szCs w:val="20"/>
          <w:color w:val="auto"/>
        </w:rPr>
      </w:pPr>
      <w:r>
        <w:rPr>
          <w:rFonts w:ascii="Times New Roman" w:cs="Times New Roman" w:eastAsia="Times New Roman" w:hAnsi="Times New Roman"/>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2"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There have been no changes in our internal control over financial reporting that occurred during the quarter ended December 31, 2024 that have materially affected, or are reasonably likely to materially affect, our internal control over financial reporting.</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65" w:lineRule="exact"/>
        <w:rPr>
          <w:sz w:val="20"/>
          <w:szCs w:val="20"/>
          <w:color w:val="auto"/>
        </w:rPr>
      </w:pPr>
    </w:p>
    <w:p>
      <w:pPr>
        <w:jc w:val="both"/>
        <w:ind w:firstLine="420"/>
        <w:spacing w:after="0" w:line="262"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2024, filed on November 26, 2024, which could materially affect our business, financial condition and/or operating results. The risks as in our Annual Report on Form 10-K, are not the only risks facing PennantPark Investment Corp. Additional risks and uncertainties not currently known to us or that we currently deem to be immaterial also may materially and adversely affect our business, financial condition and/or operating results.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10b5-1 Disclosure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 of the officers or directors of the Company has adopted or terminated any Rule 10b5-1 trading arrangements applicable to them (if any) or the Company.</w:t>
      </w: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2" w:right="76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560" w:type="dxa"/>
            <w:vAlign w:val="bottom"/>
            <w:gridSpan w:val="14"/>
          </w:tcPr>
          <w:p>
            <w:pPr>
              <w:ind w:left="420"/>
              <w:spacing w:after="0"/>
              <w:rPr>
                <w:sz w:val="20"/>
                <w:szCs w:val="20"/>
                <w:color w:val="auto"/>
              </w:rPr>
            </w:pPr>
            <w:r>
              <w:rPr>
                <w:rFonts w:ascii="Times New Roman" w:cs="Times New Roman" w:eastAsia="Times New Roman" w:hAnsi="Times New Roman"/>
                <w:sz w:val="13"/>
                <w:szCs w:val="13"/>
                <w:color w:val="auto"/>
              </w:rPr>
              <w:t>Unless specifically indicated otherwise, the following exhibits are incorporated by reference to exhibits previously filed with the SEC:</w:t>
            </w:r>
          </w:p>
        </w:tc>
      </w:tr>
      <w:tr>
        <w:trPr>
          <w:trHeight w:val="308"/>
        </w:trPr>
        <w:tc>
          <w:tcPr>
            <w:tcW w:w="1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3.1</w:t>
            </w:r>
          </w:p>
        </w:tc>
        <w:tc>
          <w:tcPr>
            <w:tcW w:w="9120" w:type="dxa"/>
            <w:vAlign w:val="bottom"/>
            <w:tcBorders>
              <w:bottom w:val="single" w:sz="8" w:color="0000EE"/>
            </w:tcBorders>
            <w:gridSpan w:val="12"/>
          </w:tcPr>
          <w:p>
            <w:pPr>
              <w:spacing w:after="0"/>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Articles of Incorporation (Incorporated by reference to Exhibit 99(a) to the Registrant’s Pre-Effective Amendment No. 3 to the Registration Statement on Form N-2/A (File</w:t>
              </w:r>
            </w:hyperlink>
          </w:p>
        </w:tc>
        <w:tc>
          <w:tcPr>
            <w:tcW w:w="40" w:type="dxa"/>
            <w:vAlign w:val="bottom"/>
          </w:tcPr>
          <w:p>
            <w:pPr>
              <w:spacing w:after="0"/>
              <w:rPr>
                <w:sz w:val="24"/>
                <w:szCs w:val="24"/>
                <w:color w:val="auto"/>
              </w:rPr>
            </w:pPr>
          </w:p>
        </w:tc>
      </w:tr>
      <w:tr>
        <w:trPr>
          <w:trHeight w:val="136"/>
        </w:trPr>
        <w:tc>
          <w:tcPr>
            <w:tcW w:w="1400" w:type="dxa"/>
            <w:vAlign w:val="bottom"/>
          </w:tcPr>
          <w:p>
            <w:pPr>
              <w:spacing w:after="0"/>
              <w:rPr>
                <w:sz w:val="11"/>
                <w:szCs w:val="11"/>
                <w:color w:val="auto"/>
              </w:rPr>
            </w:pPr>
          </w:p>
        </w:tc>
        <w:tc>
          <w:tcPr>
            <w:tcW w:w="2200" w:type="dxa"/>
            <w:vAlign w:val="bottom"/>
            <w:tcBorders>
              <w:bottom w:val="single" w:sz="8" w:color="0000EE"/>
            </w:tcBorders>
            <w:gridSpan w:val="4"/>
          </w:tcPr>
          <w:p>
            <w:pPr>
              <w:spacing w:after="0" w:line="136"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No. 333-140092), filed on April 5, 2007).</w:t>
              </w:r>
            </w:hyperlink>
          </w:p>
        </w:tc>
        <w:tc>
          <w:tcPr>
            <w:tcW w:w="6960" w:type="dxa"/>
            <w:vAlign w:val="bottom"/>
            <w:gridSpan w:val="9"/>
          </w:tcPr>
          <w:p>
            <w:pPr>
              <w:spacing w:after="0"/>
              <w:rPr>
                <w:sz w:val="11"/>
                <w:szCs w:val="11"/>
                <w:color w:val="auto"/>
              </w:rPr>
            </w:pPr>
          </w:p>
        </w:tc>
      </w:tr>
      <w:tr>
        <w:trPr>
          <w:trHeight w:val="292"/>
        </w:trPr>
        <w:tc>
          <w:tcPr>
            <w:tcW w:w="1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3.2</w:t>
            </w:r>
          </w:p>
        </w:tc>
        <w:tc>
          <w:tcPr>
            <w:tcW w:w="9100" w:type="dxa"/>
            <w:vAlign w:val="bottom"/>
            <w:tcBorders>
              <w:bottom w:val="single" w:sz="8" w:color="0000EE"/>
            </w:tcBorders>
            <w:gridSpan w:val="11"/>
          </w:tcPr>
          <w:p>
            <w:pPr>
              <w:spacing w:after="0"/>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Articles of Amendment to Articles of Incorporation of the Registrant (Incorporated by reference to Exhibit 3.2 to the Registrant’s Quarterly Report on Form 10-Q (File No.</w:t>
              </w:r>
            </w:hyperlink>
          </w:p>
        </w:tc>
        <w:tc>
          <w:tcPr>
            <w:tcW w:w="60" w:type="dxa"/>
            <w:vAlign w:val="bottom"/>
            <w:gridSpan w:val="2"/>
          </w:tcPr>
          <w:p>
            <w:pPr>
              <w:spacing w:after="0"/>
              <w:rPr>
                <w:sz w:val="24"/>
                <w:szCs w:val="24"/>
                <w:color w:val="auto"/>
              </w:rPr>
            </w:pPr>
          </w:p>
        </w:tc>
      </w:tr>
      <w:tr>
        <w:trPr>
          <w:trHeight w:val="136"/>
        </w:trPr>
        <w:tc>
          <w:tcPr>
            <w:tcW w:w="1400" w:type="dxa"/>
            <w:vAlign w:val="bottom"/>
          </w:tcPr>
          <w:p>
            <w:pPr>
              <w:spacing w:after="0"/>
              <w:rPr>
                <w:sz w:val="11"/>
                <w:szCs w:val="11"/>
                <w:color w:val="auto"/>
              </w:rPr>
            </w:pPr>
          </w:p>
        </w:tc>
        <w:tc>
          <w:tcPr>
            <w:tcW w:w="9160" w:type="dxa"/>
            <w:vAlign w:val="bottom"/>
            <w:gridSpan w:val="13"/>
          </w:tcPr>
          <w:p>
            <w:pPr>
              <w:spacing w:after="0" w:line="136" w:lineRule="exact"/>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814-00736), filed on August 7, 2024).</w:t>
              </w:r>
            </w:hyperlink>
          </w:p>
        </w:tc>
      </w:tr>
      <w:tr>
        <w:trPr>
          <w:trHeight w:val="20"/>
        </w:trPr>
        <w:tc>
          <w:tcPr>
            <w:tcW w:w="1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92"/>
        </w:trPr>
        <w:tc>
          <w:tcPr>
            <w:tcW w:w="1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3.3</w:t>
            </w:r>
          </w:p>
        </w:tc>
        <w:tc>
          <w:tcPr>
            <w:tcW w:w="9100" w:type="dxa"/>
            <w:vAlign w:val="bottom"/>
            <w:tcBorders>
              <w:bottom w:val="single" w:sz="8" w:color="0000EE"/>
            </w:tcBorders>
            <w:gridSpan w:val="11"/>
          </w:tcPr>
          <w:p>
            <w:pPr>
              <w:spacing w:after="0"/>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814-00736),</w:t>
              </w:r>
            </w:hyperlink>
          </w:p>
        </w:tc>
        <w:tc>
          <w:tcPr>
            <w:tcW w:w="60" w:type="dxa"/>
            <w:vAlign w:val="bottom"/>
            <w:gridSpan w:val="2"/>
          </w:tcPr>
          <w:p>
            <w:pPr>
              <w:spacing w:after="0"/>
              <w:rPr>
                <w:sz w:val="24"/>
                <w:szCs w:val="24"/>
                <w:color w:val="auto"/>
              </w:rPr>
            </w:pPr>
          </w:p>
        </w:tc>
      </w:tr>
      <w:tr>
        <w:trPr>
          <w:trHeight w:val="136"/>
        </w:trPr>
        <w:tc>
          <w:tcPr>
            <w:tcW w:w="1400" w:type="dxa"/>
            <w:vAlign w:val="bottom"/>
          </w:tcPr>
          <w:p>
            <w:pPr>
              <w:spacing w:after="0"/>
              <w:rPr>
                <w:sz w:val="11"/>
                <w:szCs w:val="11"/>
                <w:color w:val="auto"/>
              </w:rPr>
            </w:pPr>
          </w:p>
        </w:tc>
        <w:tc>
          <w:tcPr>
            <w:tcW w:w="9160" w:type="dxa"/>
            <w:vAlign w:val="bottom"/>
            <w:gridSpan w:val="13"/>
          </w:tcPr>
          <w:p>
            <w:pPr>
              <w:spacing w:after="0" w:line="136" w:lineRule="exact"/>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filed on May 11, 2020).</w:t>
              </w:r>
            </w:hyperlink>
          </w:p>
        </w:tc>
      </w:tr>
      <w:tr>
        <w:trPr>
          <w:trHeight w:val="20"/>
        </w:trPr>
        <w:tc>
          <w:tcPr>
            <w:tcW w:w="1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92"/>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9160" w:type="dxa"/>
            <w:vAlign w:val="bottom"/>
            <w:gridSpan w:val="13"/>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Notice of Commitment Increase Request, dated as of February 7, 2025, from PennantPark Investment Corporation to Truist Bank, as Administrative Agent.</w:t>
              </w:r>
            </w:hyperlink>
          </w:p>
        </w:tc>
      </w:tr>
      <w:tr>
        <w:trPr>
          <w:trHeight w:val="292"/>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62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1980" w:type="dxa"/>
            <w:vAlign w:val="bottom"/>
            <w:tcBorders>
              <w:top w:val="single" w:sz="8" w:color="0000EE"/>
            </w:tcBorders>
          </w:tcPr>
          <w:p>
            <w:pPr>
              <w:spacing w:after="0"/>
              <w:rPr>
                <w:sz w:val="24"/>
                <w:szCs w:val="24"/>
                <w:color w:val="auto"/>
              </w:rPr>
            </w:pPr>
          </w:p>
        </w:tc>
        <w:tc>
          <w:tcPr>
            <w:tcW w:w="940" w:type="dxa"/>
            <w:vAlign w:val="bottom"/>
            <w:gridSpan w:val="4"/>
          </w:tcPr>
          <w:p>
            <w:pPr>
              <w:spacing w:after="0"/>
              <w:rPr>
                <w:sz w:val="24"/>
                <w:szCs w:val="24"/>
                <w:color w:val="auto"/>
              </w:rPr>
            </w:pPr>
          </w:p>
        </w:tc>
      </w:tr>
      <w:tr>
        <w:trPr>
          <w:trHeight w:val="292"/>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6200" w:type="dxa"/>
            <w:vAlign w:val="bottom"/>
            <w:tcBorders>
              <w:bottom w:val="single" w:sz="8" w:color="0000EE"/>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c>
          <w:tcPr>
            <w:tcW w:w="2960" w:type="dxa"/>
            <w:vAlign w:val="bottom"/>
            <w:gridSpan w:val="6"/>
          </w:tcPr>
          <w:p>
            <w:pPr>
              <w:spacing w:after="0"/>
              <w:rPr>
                <w:sz w:val="24"/>
                <w:szCs w:val="24"/>
                <w:color w:val="auto"/>
              </w:rPr>
            </w:pPr>
          </w:p>
        </w:tc>
      </w:tr>
      <w:tr>
        <w:trPr>
          <w:trHeight w:val="292"/>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5300" w:type="dxa"/>
            <w:vAlign w:val="bottom"/>
            <w:tcBorders>
              <w:bottom w:val="single" w:sz="8" w:color="0000EE"/>
            </w:tcBorders>
            <w:gridSpan w:val="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3860" w:type="dxa"/>
            <w:vAlign w:val="bottom"/>
            <w:gridSpan w:val="7"/>
          </w:tcPr>
          <w:p>
            <w:pPr>
              <w:spacing w:after="0"/>
              <w:rPr>
                <w:sz w:val="24"/>
                <w:szCs w:val="24"/>
                <w:color w:val="auto"/>
              </w:rPr>
            </w:pPr>
          </w:p>
        </w:tc>
      </w:tr>
      <w:tr>
        <w:trPr>
          <w:trHeight w:val="292"/>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9160" w:type="dxa"/>
            <w:vAlign w:val="bottom"/>
            <w:gridSpan w:val="13"/>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r>
      <w:tr>
        <w:trPr>
          <w:trHeight w:val="20"/>
        </w:trPr>
        <w:tc>
          <w:tcPr>
            <w:tcW w:w="1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920" w:type="dxa"/>
            <w:vAlign w:val="bottom"/>
            <w:gridSpan w:val="4"/>
            <w:shd w:val="clear" w:color="auto" w:fill="0000EE"/>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92"/>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99.1</w:t>
            </w:r>
          </w:p>
        </w:tc>
        <w:tc>
          <w:tcPr>
            <w:tcW w:w="9160" w:type="dxa"/>
            <w:vAlign w:val="bottom"/>
            <w:gridSpan w:val="13"/>
          </w:tcPr>
          <w:p>
            <w:pPr>
              <w:spacing w:after="0"/>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814-00736), filed on November 16,</w:t>
              </w:r>
            </w:hyperlink>
          </w:p>
        </w:tc>
      </w:tr>
      <w:tr>
        <w:trPr>
          <w:trHeight w:val="136"/>
        </w:trPr>
        <w:tc>
          <w:tcPr>
            <w:tcW w:w="1400" w:type="dxa"/>
            <w:vAlign w:val="bottom"/>
          </w:tcPr>
          <w:p>
            <w:pPr>
              <w:spacing w:after="0"/>
              <w:rPr>
                <w:sz w:val="11"/>
                <w:szCs w:val="11"/>
                <w:color w:val="auto"/>
              </w:rPr>
            </w:pPr>
          </w:p>
        </w:tc>
        <w:tc>
          <w:tcPr>
            <w:tcW w:w="340" w:type="dxa"/>
            <w:vAlign w:val="bottom"/>
            <w:tcBorders>
              <w:top w:val="single" w:sz="8" w:color="0000EE"/>
              <w:bottom w:val="single" w:sz="8" w:color="0000EE"/>
            </w:tcBorders>
          </w:tcPr>
          <w:p>
            <w:pPr>
              <w:spacing w:after="0" w:line="136" w:lineRule="exact"/>
              <w:rPr>
                <w:rFonts w:ascii="Times New Roman" w:cs="Times New Roman" w:eastAsia="Times New Roman" w:hAnsi="Times New Roman"/>
                <w:sz w:val="13"/>
                <w:szCs w:val="13"/>
                <w:color w:val="0000FF"/>
                <w:w w:val="95"/>
              </w:rPr>
            </w:pPr>
            <w:hyperlink r:id="rId85">
              <w:r>
                <w:rPr>
                  <w:rFonts w:ascii="Times New Roman" w:cs="Times New Roman" w:eastAsia="Times New Roman" w:hAnsi="Times New Roman"/>
                  <w:sz w:val="13"/>
                  <w:szCs w:val="13"/>
                  <w:color w:val="0000FF"/>
                  <w:w w:val="95"/>
                </w:rPr>
                <w:t>2011).</w:t>
              </w:r>
            </w:hyperlink>
          </w:p>
        </w:tc>
        <w:tc>
          <w:tcPr>
            <w:tcW w:w="90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980" w:type="dxa"/>
            <w:vAlign w:val="bottom"/>
            <w:tcBorders>
              <w:top w:val="single" w:sz="8" w:color="0000EE"/>
            </w:tcBorders>
          </w:tcPr>
          <w:p>
            <w:pPr>
              <w:spacing w:after="0"/>
              <w:rPr>
                <w:sz w:val="11"/>
                <w:szCs w:val="11"/>
                <w:color w:val="auto"/>
              </w:rPr>
            </w:pPr>
          </w:p>
        </w:tc>
        <w:tc>
          <w:tcPr>
            <w:tcW w:w="78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320"/>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Instance Document-the instance document does not appear in the Interactive Data File as its XBRL tags are embedded within the Inline XBRL document</w:t>
            </w:r>
          </w:p>
        </w:tc>
      </w:tr>
      <w:tr>
        <w:trPr>
          <w:trHeight w:val="288"/>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w:t>
            </w:r>
          </w:p>
        </w:tc>
      </w:tr>
      <w:tr>
        <w:trPr>
          <w:trHeight w:val="288"/>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288"/>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288"/>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288"/>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r>
        <w:trPr>
          <w:trHeight w:val="288"/>
        </w:trPr>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Cover Page formatted as Inline XBRL and contained in Exhibit 101</w:t>
            </w:r>
          </w:p>
        </w:tc>
      </w:tr>
      <w:tr>
        <w:trPr>
          <w:trHeight w:val="348"/>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 Filed herewith.</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5260" w:type="dxa"/>
            <w:vAlign w:val="bottom"/>
            <w:gridSpan w:val="5"/>
          </w:tcPr>
          <w:p>
            <w:pPr>
              <w:ind w:left="3800"/>
              <w:spacing w:after="0"/>
              <w:rPr>
                <w:sz w:val="20"/>
                <w:szCs w:val="20"/>
                <w:color w:val="auto"/>
              </w:rPr>
            </w:pPr>
            <w:r>
              <w:rPr>
                <w:rFonts w:ascii="Times New Roman" w:cs="Times New Roman" w:eastAsia="Times New Roman" w:hAnsi="Times New Roman"/>
                <w:sz w:val="16"/>
                <w:szCs w:val="16"/>
                <w:color w:val="auto"/>
              </w:rPr>
              <w:t>69</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4"/>
        </w:trPr>
        <w:tc>
          <w:tcPr>
            <w:tcW w:w="14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0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9" w:name="page70"/>
    <w:bookmarkEnd w:id="69"/>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7"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10300"/>
          </w:cols>
          <w:pgMar w:left="660" w:top="1312" w:right="9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February 10,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February 10, 2025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spacing w:after="0"/>
              <w:rPr>
                <w:sz w:val="14"/>
                <w:szCs w:val="1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PENNANTPARK INVESTMENT CORPORATION</w:t>
            </w:r>
          </w:p>
        </w:tc>
      </w:tr>
      <w:tr>
        <w:trPr>
          <w:trHeight w:val="34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60" w:type="dxa"/>
            <w:vAlign w:val="bottom"/>
          </w:tcPr>
          <w:p>
            <w:pPr>
              <w:jc w:val="center"/>
              <w:ind w:left="374"/>
              <w:spacing w:after="0"/>
              <w:rPr>
                <w:sz w:val="20"/>
                <w:szCs w:val="20"/>
                <w:color w:val="auto"/>
              </w:rPr>
            </w:pPr>
            <w:r>
              <w:rPr>
                <w:rFonts w:ascii="Times New Roman" w:cs="Times New Roman" w:eastAsia="Times New Roman" w:hAnsi="Times New Roman"/>
                <w:sz w:val="13"/>
                <w:szCs w:val="13"/>
                <w:color w:val="auto"/>
              </w:rPr>
              <w:t>/s/ Arthur H. Penn</w:t>
            </w:r>
          </w:p>
        </w:tc>
      </w:tr>
      <w:tr>
        <w:trPr>
          <w:trHeight w:val="156"/>
        </w:trPr>
        <w:tc>
          <w:tcPr>
            <w:tcW w:w="640" w:type="dxa"/>
            <w:vAlign w:val="bottom"/>
          </w:tcPr>
          <w:p>
            <w:pPr>
              <w:spacing w:after="0"/>
              <w:rPr>
                <w:sz w:val="13"/>
                <w:szCs w:val="13"/>
                <w:color w:val="auto"/>
              </w:rPr>
            </w:pPr>
          </w:p>
        </w:tc>
        <w:tc>
          <w:tcPr>
            <w:tcW w:w="4060" w:type="dxa"/>
            <w:vAlign w:val="bottom"/>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Arthur H. Penn</w:t>
            </w:r>
          </w:p>
        </w:tc>
      </w:tr>
      <w:tr>
        <w:trPr>
          <w:trHeight w:val="156"/>
        </w:trPr>
        <w:tc>
          <w:tcPr>
            <w:tcW w:w="640" w:type="dxa"/>
            <w:vAlign w:val="bottom"/>
          </w:tcPr>
          <w:p>
            <w:pPr>
              <w:spacing w:after="0"/>
              <w:rPr>
                <w:sz w:val="13"/>
                <w:szCs w:val="13"/>
                <w:color w:val="auto"/>
              </w:rPr>
            </w:pPr>
          </w:p>
        </w:tc>
        <w:tc>
          <w:tcPr>
            <w:tcW w:w="4060" w:type="dxa"/>
            <w:vAlign w:val="bottom"/>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 Directors</w:t>
            </w:r>
          </w:p>
        </w:tc>
      </w:tr>
      <w:tr>
        <w:trPr>
          <w:trHeight w:val="174"/>
        </w:trPr>
        <w:tc>
          <w:tcPr>
            <w:tcW w:w="640" w:type="dxa"/>
            <w:vAlign w:val="bottom"/>
          </w:tcPr>
          <w:p>
            <w:pPr>
              <w:spacing w:after="0"/>
              <w:rPr>
                <w:sz w:val="15"/>
                <w:szCs w:val="15"/>
                <w:color w:val="auto"/>
              </w:rPr>
            </w:pPr>
          </w:p>
        </w:tc>
        <w:tc>
          <w:tcPr>
            <w:tcW w:w="4060" w:type="dxa"/>
            <w:vAlign w:val="bottom"/>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tc>
      </w:tr>
      <w:tr>
        <w:trPr>
          <w:trHeight w:val="34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60" w:type="dxa"/>
            <w:vAlign w:val="bottom"/>
          </w:tcPr>
          <w:p>
            <w:pPr>
              <w:jc w:val="center"/>
              <w:ind w:left="374"/>
              <w:spacing w:after="0"/>
              <w:rPr>
                <w:sz w:val="20"/>
                <w:szCs w:val="20"/>
                <w:color w:val="auto"/>
              </w:rPr>
            </w:pPr>
            <w:r>
              <w:rPr>
                <w:rFonts w:ascii="Times New Roman" w:cs="Times New Roman" w:eastAsia="Times New Roman" w:hAnsi="Times New Roman"/>
                <w:sz w:val="13"/>
                <w:szCs w:val="13"/>
                <w:color w:val="auto"/>
              </w:rPr>
              <w:t>/s/ Richard T. Allorto, Jr.</w:t>
            </w:r>
          </w:p>
        </w:tc>
      </w:tr>
      <w:tr>
        <w:trPr>
          <w:trHeight w:val="174"/>
        </w:trPr>
        <w:tc>
          <w:tcPr>
            <w:tcW w:w="640" w:type="dxa"/>
            <w:vAlign w:val="bottom"/>
          </w:tcPr>
          <w:p>
            <w:pPr>
              <w:spacing w:after="0"/>
              <w:rPr>
                <w:sz w:val="15"/>
                <w:szCs w:val="15"/>
                <w:color w:val="auto"/>
              </w:rPr>
            </w:pPr>
          </w:p>
        </w:tc>
        <w:tc>
          <w:tcPr>
            <w:tcW w:w="4060" w:type="dxa"/>
            <w:vAlign w:val="bottom"/>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Richard T. Allorto, Jr.</w:t>
            </w:r>
          </w:p>
        </w:tc>
      </w:tr>
      <w:tr>
        <w:trPr>
          <w:trHeight w:val="162"/>
        </w:trPr>
        <w:tc>
          <w:tcPr>
            <w:tcW w:w="640" w:type="dxa"/>
            <w:vAlign w:val="bottom"/>
          </w:tcPr>
          <w:p>
            <w:pPr>
              <w:spacing w:after="0"/>
              <w:rPr>
                <w:sz w:val="14"/>
                <w:szCs w:val="14"/>
                <w:color w:val="auto"/>
              </w:rPr>
            </w:pPr>
          </w:p>
        </w:tc>
        <w:tc>
          <w:tcPr>
            <w:tcW w:w="4060" w:type="dxa"/>
            <w:vAlign w:val="bottom"/>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Chief Financial Officer and Treasurer</w:t>
            </w:r>
          </w:p>
        </w:tc>
      </w:tr>
      <w:tr>
        <w:trPr>
          <w:trHeight w:val="174"/>
        </w:trPr>
        <w:tc>
          <w:tcPr>
            <w:tcW w:w="640" w:type="dxa"/>
            <w:vAlign w:val="bottom"/>
          </w:tcPr>
          <w:p>
            <w:pPr>
              <w:spacing w:after="0"/>
              <w:rPr>
                <w:sz w:val="15"/>
                <w:szCs w:val="15"/>
                <w:color w:val="auto"/>
              </w:rPr>
            </w:pPr>
          </w:p>
        </w:tc>
        <w:tc>
          <w:tcPr>
            <w:tcW w:w="4060" w:type="dxa"/>
            <w:vAlign w:val="bottom"/>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(Principal Financial and Accounting Officer)</w:t>
            </w:r>
          </w:p>
        </w:tc>
      </w:tr>
    </w:tbl>
    <w:p>
      <w:pPr>
        <w:spacing w:after="0" w:line="200" w:lineRule="exact"/>
        <w:rPr>
          <w:sz w:val="20"/>
          <w:szCs w:val="20"/>
          <w:color w:val="auto"/>
        </w:rPr>
      </w:pPr>
    </w:p>
    <w:p>
      <w:pPr>
        <w:sectPr>
          <w:pgSz w:w="11900" w:h="16840" w:orient="portrait"/>
          <w:cols w:equalWidth="0" w:num="2">
            <w:col w:w="4480" w:space="720"/>
            <w:col w:w="5100"/>
          </w:cols>
          <w:pgMar w:left="660" w:top="1312" w:right="940" w:bottom="1440" w:gutter="0" w:footer="0" w:header="0"/>
          <w:type w:val="continuous"/>
        </w:sectPr>
      </w:pP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312" w:right="940"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3"/>
          <w:szCs w:val="13"/>
          <w:color w:val="auto"/>
        </w:rPr>
        <w:t>Exhibit 10.1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NOTICE OF COMMITMENT INCREASE REQUEST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Truist Bank, as Administrative Agent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3333 Peachtree Road, 7th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Atlanta, Georgia 30326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Hays Wood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Telecopy Number: (404) 836-5879</w:t>
      </w:r>
    </w:p>
    <w:p>
      <w:pPr>
        <w:spacing w:after="0" w:line="180"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9"/>
          <w:szCs w:val="19"/>
          <w:color w:val="auto"/>
        </w:rPr>
        <w:t>February 7,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180"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9"/>
          <w:szCs w:val="19"/>
          <w:color w:val="auto"/>
        </w:rPr>
        <w:t>This Commitment Increase Request (this “Commitment Increase Request”) is delivered pursuant to Section 2.08(e) of the Second Amended and Restated Senior Secured Revolving Credit Agreement, dated as of June 25, 2014 (as amended by that certain First Omnibus Amendment to Second Amended and Restated Senior Secured Revolving Credit Agreement and Second Amended and Restated Guarantee and Security Agreement, dated as of May 25, 2017, that certain Second Amendment to Second Amended and Restated Senior Secured Revolving Credit Agreement, dated as of September 4, 2019, that certain Third Amendment to Second Amended and Restated Senior Secured Revolving Credit Agreement, dated as of December 10, 2021, that certain Fourth Amendment to Second Amended and Restated Senior Secured Revolving Credit Agreement, dated as of February 23, 2022, that certain Fifth Amendment to Second Amended and Restated Senior Secured Revolving Credit Agreement, dated as of July 29, 2022, that certain Sixth Amendment to Second Amended and Restated Senior Secured Revolving Credit Agreement, dated as of June 25, 2024, and as further amended, amended and restated, supplemented or otherwise modified from time to time, the “Credit Agreement”), by and among PennantPark Investment Corporation (the “Company”), the Lenders from time to time party thereto and Truist Bank, as Administrative Agent. Capitalized terms used herein and not otherwise defined herein shall have the respective meanings given to them in the Credit Agreement.</w:t>
      </w:r>
    </w:p>
    <w:p>
      <w:pPr>
        <w:spacing w:after="0" w:line="393" w:lineRule="exact"/>
        <w:rPr>
          <w:sz w:val="20"/>
          <w:szCs w:val="20"/>
          <w:color w:val="auto"/>
        </w:rPr>
      </w:pPr>
    </w:p>
    <w:p>
      <w:pPr>
        <w:ind w:right="140" w:firstLine="696"/>
        <w:spacing w:after="0" w:line="268" w:lineRule="auto"/>
        <w:rPr>
          <w:sz w:val="20"/>
          <w:szCs w:val="20"/>
          <w:color w:val="auto"/>
        </w:rPr>
      </w:pPr>
      <w:r>
        <w:rPr>
          <w:rFonts w:ascii="Times New Roman" w:cs="Times New Roman" w:eastAsia="Times New Roman" w:hAnsi="Times New Roman"/>
          <w:sz w:val="19"/>
          <w:szCs w:val="19"/>
          <w:color w:val="auto"/>
        </w:rPr>
        <w:t>Pursuant to Section 2.08(e) of the Credit Agreement, the Company hereby requests that the Multicurrency Commitment be increased from $390,000,000 to $415,000,000 (the “Commitment Increase”) . The Company intends to effectuate the Commitment Increase by increasing the Multicurrency Commitment of Truist Bank under the Credit Agreement from $100,000,000 to $125,000,000.</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4" w:right="660" w:bottom="1440" w:gutter="0" w:footer="0" w:header="0"/>
        </w:sectPr>
      </w:pPr>
    </w:p>
    <w:bookmarkStart w:id="71" w:name="page72"/>
    <w:bookmarkEnd w:id="71"/>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 WITNESS WHEREOF, the undersigned has executed this Notice of Commitment Increase Request as of the date first above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written.</w:t>
      </w:r>
    </w:p>
    <w:p>
      <w:pPr>
        <w:spacing w:after="0" w:line="17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b w:val="1"/>
          <w:bCs w:val="1"/>
          <w:color w:val="auto"/>
        </w:rPr>
        <w:t>PENNANTPARK INVESTMENT CORPORATION</w:t>
      </w:r>
    </w:p>
    <w:p>
      <w:pPr>
        <w:spacing w:after="0" w:line="30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By: /s/ Jeffrey S. Sion</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Name: Jeffrey S. Sion</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Truist-PNNT - Notice of Commitment Increase Request (Truist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658495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of PennantPark Investment Corporation, certify that:</w:t>
      </w:r>
    </w:p>
    <w:p>
      <w:pPr>
        <w:spacing w:after="0" w:line="163" w:lineRule="exact"/>
        <w:rPr>
          <w:sz w:val="20"/>
          <w:szCs w:val="20"/>
          <w:color w:val="auto"/>
        </w:rPr>
      </w:pPr>
    </w:p>
    <w:p>
      <w:pPr>
        <w:ind w:left="580" w:hanging="142"/>
        <w:spacing w:after="0"/>
        <w:tabs>
          <w:tab w:leader="none" w:pos="5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Investment Corporation;</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sz w:val="20"/>
          <w:szCs w:val="20"/>
          <w:color w:val="auto"/>
        </w:rPr>
      </w:pPr>
    </w:p>
    <w:p>
      <w:pPr>
        <w:ind w:right="300" w:firstLine="438"/>
        <w:spacing w:after="0" w:line="286" w:lineRule="auto"/>
        <w:tabs>
          <w:tab w:leader="none" w:pos="56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February 10, 2025</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19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Investment Corporation, certify that:</w:t>
      </w:r>
    </w:p>
    <w:p>
      <w:pPr>
        <w:spacing w:after="0" w:line="163" w:lineRule="exact"/>
        <w:rPr>
          <w:sz w:val="20"/>
          <w:szCs w:val="20"/>
          <w:color w:val="auto"/>
        </w:rPr>
      </w:pPr>
    </w:p>
    <w:p>
      <w:pPr>
        <w:ind w:left="580" w:hanging="142"/>
        <w:spacing w:after="0"/>
        <w:tabs>
          <w:tab w:leader="none" w:pos="5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Investment Corporation;</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left="580" w:hanging="130"/>
        <w:spacing w:after="0"/>
        <w:tabs>
          <w:tab w:leader="none" w:pos="58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w:t>
      </w:r>
    </w:p>
    <w:p>
      <w:pPr>
        <w:spacing w:after="0" w:line="20"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February 10, 2025</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01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4" w:name="page75"/>
    <w:bookmarkEnd w:id="74"/>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months ended December 31, 2024 (the “Report”) of PennantPark Investment Corporation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Arthur H. Penn, Chief Executive Officer of the Registrant, hereby certify, to the best of my knowledge, that:</w:t>
      </w:r>
    </w:p>
    <w:p>
      <w:pPr>
        <w:spacing w:after="0" w:line="113" w:lineRule="exact"/>
        <w:rPr>
          <w:sz w:val="20"/>
          <w:szCs w:val="20"/>
          <w:color w:val="auto"/>
        </w:rPr>
      </w:pPr>
    </w:p>
    <w:p>
      <w:pPr>
        <w:ind w:left="720" w:hanging="258"/>
        <w:spacing w:after="0"/>
        <w:tabs>
          <w:tab w:leader="none" w:pos="7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26"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56"/>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February 10, 2025</w:t>
            </w:r>
          </w:p>
        </w:tc>
      </w:tr>
      <w:tr>
        <w:trPr>
          <w:trHeight w:val="101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5" w:name="page76"/>
    <w:bookmarkEnd w:id="75"/>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months ended December 31, 2024 (the “Report”) of PennantPark Investment Corporation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Richard T. Allorto, Jr., Chief Financial Officer of the Registrant, hereby certify, to the best of my knowledge, that:</w:t>
      </w:r>
    </w:p>
    <w:p>
      <w:pPr>
        <w:spacing w:after="0" w:line="113" w:lineRule="exact"/>
        <w:rPr>
          <w:sz w:val="20"/>
          <w:szCs w:val="20"/>
          <w:color w:val="auto"/>
        </w:rPr>
      </w:pPr>
    </w:p>
    <w:p>
      <w:pPr>
        <w:ind w:left="720" w:hanging="258"/>
        <w:spacing w:after="0"/>
        <w:tabs>
          <w:tab w:leader="none" w:pos="7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26"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56"/>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February 10, 2025</w:t>
            </w:r>
          </w:p>
        </w:tc>
      </w:tr>
      <w:tr>
        <w:trPr>
          <w:trHeight w:val="101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76" w:name="page77"/>
    <w:bookmarkEnd w:id="7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8"/>
    </w:lvl>
  </w:abstractNum>
  <w:abstractNum w:abstractNumId="3">
    <w:nsid w:val="216231B"/>
    <w:multiLevelType w:val="hybridMultilevel"/>
    <w:lvl w:ilvl="0">
      <w:lvlJc w:val="left"/>
      <w:lvlText w:val="%1."/>
      <w:numFmt w:val="decimal"/>
      <w:start w:val="3"/>
    </w:lvl>
    <w:lvl w:ilvl="1">
      <w:lvlJc w:val="left"/>
      <w:lvlText w:val="(%2)"/>
      <w:numFmt w:val="lowerLetter"/>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lvl w:ilvl="1">
      <w:lvlJc w:val="left"/>
      <w:lvlText w:val="%2."/>
      <w:numFmt w:val="decimal"/>
      <w:start w:val="2"/>
    </w:lvl>
  </w:abstractNum>
  <w:abstractNum w:abstractNumId="9">
    <w:nsid w:val="109CF92E"/>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0">
    <w:nsid w:val="DED726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1">
    <w:nsid w:val="7FDCC23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12">
    <w:nsid w:val="1BEFD79F"/>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13">
    <w:nsid w:val="41A7C4C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4">
    <w:nsid w:val="6B68079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82" Type="http://schemas.openxmlformats.org/officeDocument/2006/relationships/hyperlink" Target="https://www.sec.gov/Archives/edgar/data/1383414/000119312507075646/dex99a.htm" TargetMode="External"/><Relationship Id="rId83" Type="http://schemas.openxmlformats.org/officeDocument/2006/relationships/hyperlink" Target="https://www.sec.gov/Archives/edgar/data/1383414/000095017024092751/pnnt-ex3_2.htm" TargetMode="External"/><Relationship Id="rId84" Type="http://schemas.openxmlformats.org/officeDocument/2006/relationships/hyperlink" Target="https://www.sec.gov/Archives/edgar/data/1383414/000156459020024172/pnnt-ex32_163.htm" TargetMode="External"/><Relationship Id="rId85"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2025-02-10T15:32:17Z</dcterms:created>
  <dcterms:modified xsi:type="dcterms:W3CDTF">2025-02-10T15:32:17Z</dcterms:modified>
</cp:coreProperties>
</file>