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22,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PENNANTPARK INVESTMENT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814-00736</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197" w:lineRule="exact"/>
        <w:rPr>
          <w:sz w:val="24"/>
          <w:szCs w:val="24"/>
          <w:color w:val="auto"/>
        </w:rPr>
      </w:pPr>
    </w:p>
    <w:p>
      <w:pPr>
        <w:ind w:left="760" w:hanging="54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760" w:right="120" w:hanging="544"/>
        <w:spacing w:after="0" w:line="259"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9, 2023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760" w:hanging="544"/>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420"/>
        <w:spacing w:after="0" w:line="263"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$1,493 was paid for the period May 31, 2023 through May 31, 2024.</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/s/ Richard T. Allorto,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Richard T. Allorto, Jr.</w:t>
      </w:r>
    </w:p>
    <w:p>
      <w:pPr>
        <w:spacing w:after="0" w:line="23"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PennantPark Investment Corporation</w:t>
      </w:r>
    </w:p>
    <w:p>
      <w:pPr>
        <w:sectPr>
          <w:pgSz w:w="11900" w:h="16838" w:orient="portrait"/>
          <w:cols w:equalWidth="0" w:num="1">
            <w:col w:w="10960"/>
          </w:cols>
          <w:pgMar w:left="440" w:top="233" w:right="49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Certificate of the Secretary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undersigned, Thomas J. Friedmann, Secretary of PennantPark Investment Corporation, a Maryland corporation (the “Corporation”), does hereby certify that:</w:t>
      </w:r>
    </w:p>
    <w:p>
      <w:pPr>
        <w:spacing w:after="0" w:line="197" w:lineRule="exact"/>
        <w:rPr>
          <w:sz w:val="20"/>
          <w:szCs w:val="20"/>
          <w:color w:val="auto"/>
        </w:rPr>
      </w:pPr>
    </w:p>
    <w:p>
      <w:pPr>
        <w:jc w:val="both"/>
        <w:ind w:left="760" w:hanging="544"/>
        <w:spacing w:after="0" w:line="263"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9" w:lineRule="exact"/>
        <w:rPr>
          <w:rFonts w:ascii="Arial" w:cs="Arial" w:eastAsia="Arial" w:hAnsi="Arial"/>
          <w:sz w:val="18"/>
          <w:szCs w:val="18"/>
          <w:color w:val="auto"/>
        </w:rPr>
      </w:pPr>
    </w:p>
    <w:p>
      <w:pPr>
        <w:ind w:left="760" w:right="500" w:hanging="544"/>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760" w:hanging="544"/>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760" w:hanging="54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2023 through May 31,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22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June 2023.</w:t>
      </w:r>
    </w:p>
    <w:p>
      <w:pPr>
        <w:spacing w:after="0" w:line="16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00"/>
          </w:cols>
          <w:pgMar w:left="440" w:top="486" w:right="5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0561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 Box 2950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Hartford, CT 06104-2950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20,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ind w:left="4" w:right="9120" w:hanging="4"/>
        <w:spacing w:after="0" w:line="250" w:lineRule="auto"/>
        <w:tabs>
          <w:tab w:leader="none" w:pos="319" w:val="left"/>
        </w:tabs>
        <w:numPr>
          <w:ilvl w:val="0"/>
          <w:numId w:val="3"/>
        </w:numPr>
        <w:rPr>
          <w:rFonts w:ascii="Arial" w:cs="Arial" w:eastAsia="Arial" w:hAnsi="Arial"/>
          <w:sz w:val="18"/>
          <w:szCs w:val="18"/>
          <w:color w:val="auto"/>
        </w:rPr>
      </w:pPr>
      <w:r>
        <w:rPr>
          <w:rFonts w:ascii="Arial" w:cs="Arial" w:eastAsia="Arial" w:hAnsi="Arial"/>
          <w:sz w:val="18"/>
          <w:szCs w:val="18"/>
          <w:color w:val="auto"/>
        </w:rPr>
        <w:t>MADISON AVENUE 15th Floor</w:t>
      </w:r>
    </w:p>
    <w:p>
      <w:pPr>
        <w:ind w:left="4"/>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PENNANTPARK INVESTMENT CORPORATION</w:t>
      </w:r>
    </w:p>
    <w:p>
      <w:pPr>
        <w:spacing w:after="0" w:line="221"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84" w:hanging="433"/>
        <w:spacing w:after="0"/>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7" w:lineRule="exact"/>
        <w:rPr>
          <w:sz w:val="20"/>
          <w:szCs w:val="20"/>
          <w:color w:val="auto"/>
        </w:rPr>
      </w:pPr>
    </w:p>
    <w:p>
      <w:pPr>
        <w:ind w:left="4" w:right="8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97"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LTR-4035 Ed. 06-09</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2009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486"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 Box 2950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Hartford, CT 06104-2950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05/23/2023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211" w:lineRule="exact"/>
        <w:rPr>
          <w:sz w:val="20"/>
          <w:szCs w:val="20"/>
          <w:color w:val="auto"/>
        </w:rPr>
      </w:pPr>
    </w:p>
    <w:p>
      <w:pPr>
        <w:ind w:left="4" w:right="9120" w:hanging="4"/>
        <w:spacing w:after="0" w:line="258"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MADISON AVENUE 15th Floor</w:t>
      </w:r>
    </w:p>
    <w:p>
      <w:pPr>
        <w:spacing w:after="0" w:line="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 Risk Management PLUS+ Online </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from Travelers Bond &amp; Specialty Insurance </w:t>
      </w:r>
      <w:r>
        <w:rPr>
          <w:rFonts w:ascii="Arial" w:cs="Arial" w:eastAsia="Arial" w:hAnsi="Arial"/>
          <w:sz w:val="18"/>
          <w:szCs w:val="18"/>
          <w:color w:val="auto"/>
        </w:rPr>
        <w:t>(www.rmplusonline.com)</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Highlights of Risk Management PLUS+ Online include:</w:t>
      </w:r>
    </w:p>
    <w:p>
      <w:pPr>
        <w:spacing w:after="0" w:line="131" w:lineRule="exact"/>
        <w:rPr>
          <w:sz w:val="20"/>
          <w:szCs w:val="20"/>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Thousands of articles on a variety of risk management topics</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Topical webinars and podcasts on current issues</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Checklists to assist in managing risk</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Web based training</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left="4" w:right="260"/>
        <w:spacing w:after="0" w:line="308" w:lineRule="auto"/>
        <w:rPr>
          <w:sz w:val="20"/>
          <w:szCs w:val="20"/>
          <w:color w:val="auto"/>
        </w:rPr>
      </w:pPr>
      <w:r>
        <w:rPr>
          <w:rFonts w:ascii="Arial" w:cs="Arial" w:eastAsia="Arial" w:hAnsi="Arial"/>
          <w:sz w:val="17"/>
          <w:szCs w:val="17"/>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46"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26"/>
          <w:szCs w:val="26"/>
          <w:u w:val="single" w:color="auto"/>
          <w:color w:val="auto"/>
          <w:vertAlign w:val="superscript"/>
        </w:rPr>
        <w:t>®</w:t>
      </w:r>
    </w:p>
    <w:p>
      <w:pPr>
        <w:spacing w:after="0" w:line="4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0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89" w:lineRule="exact"/>
        <w:rPr>
          <w:sz w:val="20"/>
          <w:szCs w:val="20"/>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Go to www.rmplusonline.com.</w:t>
      </w:r>
    </w:p>
    <w:p>
      <w:pPr>
        <w:spacing w:after="0" w:line="23" w:lineRule="exact"/>
        <w:rPr>
          <w:rFonts w:ascii="Arial" w:cs="Arial" w:eastAsia="Arial" w:hAnsi="Arial"/>
          <w:sz w:val="18"/>
          <w:szCs w:val="18"/>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r>
        <w:rPr>
          <w:rFonts w:ascii="Arial" w:cs="Arial" w:eastAsia="Arial" w:hAnsi="Arial"/>
          <w:sz w:val="18"/>
          <w:szCs w:val="18"/>
          <w:i w:val="1"/>
          <w:iCs w:val="1"/>
          <w:color w:val="auto"/>
        </w:rPr>
        <w:t>.</w:t>
      </w:r>
    </w:p>
    <w:p>
      <w:pPr>
        <w:spacing w:after="0" w:line="9" w:lineRule="exact"/>
        <w:rPr>
          <w:rFonts w:ascii="Arial" w:cs="Arial" w:eastAsia="Arial" w:hAnsi="Arial"/>
          <w:sz w:val="18"/>
          <w:szCs w:val="18"/>
          <w:color w:val="auto"/>
        </w:rPr>
      </w:pPr>
    </w:p>
    <w:p>
      <w:pPr>
        <w:ind w:left="444" w:right="400" w:hanging="444"/>
        <w:spacing w:after="0" w:line="250"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the password/passcode: &lt;TRVP300100 for Insurance Companies&gt; &lt;TRVP300400 for Banks and Diversified&gt; &lt;TRVP300300 for Asset Management&gt;</w:t>
      </w: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r>
        <w:rPr>
          <w:rFonts w:ascii="Arial" w:cs="Arial" w:eastAsia="Arial" w:hAnsi="Arial"/>
          <w:sz w:val="18"/>
          <w:szCs w:val="18"/>
          <w:i w:val="1"/>
          <w:iCs w:val="1"/>
          <w:color w:val="auto"/>
        </w:rPr>
        <w:t>.</w:t>
      </w:r>
    </w:p>
    <w:p>
      <w:pPr>
        <w:spacing w:after="0" w:line="9" w:lineRule="exact"/>
        <w:rPr>
          <w:rFonts w:ascii="Arial" w:cs="Arial" w:eastAsia="Arial" w:hAnsi="Arial"/>
          <w:sz w:val="18"/>
          <w:szCs w:val="18"/>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Learning to Navigate the Site:</w:t>
      </w:r>
    </w:p>
    <w:p>
      <w:pPr>
        <w:spacing w:after="0" w:line="131" w:lineRule="exact"/>
        <w:rPr>
          <w:sz w:val="20"/>
          <w:szCs w:val="20"/>
          <w:color w:val="auto"/>
        </w:rPr>
      </w:pPr>
    </w:p>
    <w:p>
      <w:pPr>
        <w:ind w:left="444" w:hanging="444"/>
        <w:spacing w:after="0"/>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23" w:lineRule="exact"/>
        <w:rPr>
          <w:rFonts w:ascii="Arial" w:cs="Arial" w:eastAsia="Arial" w:hAnsi="Arial"/>
          <w:sz w:val="18"/>
          <w:szCs w:val="18"/>
          <w:color w:val="auto"/>
        </w:rPr>
      </w:pPr>
    </w:p>
    <w:p>
      <w:pPr>
        <w:ind w:left="444" w:right="320" w:hanging="444"/>
        <w:spacing w:after="0" w:line="250"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w:t>
      </w:r>
      <w:r>
        <w:rPr>
          <w:rFonts w:ascii="Arial" w:cs="Arial" w:eastAsia="Arial" w:hAnsi="Arial"/>
          <w:sz w:val="18"/>
          <w:szCs w:val="18"/>
          <w:i w:val="1"/>
          <w:iCs w:val="1"/>
          <w:color w:val="auto"/>
        </w:rPr>
        <w:t>.</w:t>
      </w:r>
      <w:r>
        <w:rPr>
          <w:rFonts w:ascii="Arial" w:cs="Arial" w:eastAsia="Arial" w:hAnsi="Arial"/>
          <w:sz w:val="18"/>
          <w:szCs w:val="18"/>
          <w:color w:val="auto"/>
        </w:rPr>
        <w:t xml:space="preserve"> Enter your question in the form provided, and the System Administrator will get back to you quickly with the answer.</w:t>
      </w:r>
    </w:p>
    <w:p>
      <w:pPr>
        <w:ind w:left="444" w:hanging="444"/>
        <w:spacing w:after="0"/>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LTR-4107 Rev. 06-18</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2018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1228" w:right="439" w:bottom="1440" w:gutter="0" w:footer="0" w:header="0"/>
        </w:sectPr>
      </w:pPr>
    </w:p>
    <w:bookmarkStart w:id="4" w:name="page5"/>
    <w:bookmarkEnd w:id="4"/>
    <w:p>
      <w:pPr>
        <w:ind w:right="25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notice provides no coverage, nor does it change any policy terms. To determine the scope of coverage and the insured’s rights and duties under the policy, read the entire policy carefully. For more information about the content of this notice, the insured should contact their agent or broker. If there is any conflict between the policy and this notice, the terms of the policy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Independent Agent And Broker</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Compensation Notice</w:t>
      </w:r>
    </w:p>
    <w:p>
      <w:pPr>
        <w:spacing w:after="0" w:line="231" w:lineRule="exact"/>
        <w:rPr>
          <w:sz w:val="20"/>
          <w:szCs w:val="20"/>
          <w:color w:val="auto"/>
        </w:rPr>
      </w:pPr>
    </w:p>
    <w:p>
      <w:pPr>
        <w:sectPr>
          <w:pgSz w:w="11900" w:h="16838" w:orient="portrait"/>
          <w:cols w:equalWidth="0" w:num="2">
            <w:col w:w="7880" w:space="720"/>
            <w:col w:w="2420"/>
          </w:cols>
          <w:pgMar w:left="440" w:top="490" w:right="43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www.travelers.com/w3c/legal/Producer_Compensation_Disclosure.html.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write or call:</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Travelers, Agency Compensation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P.O. Box 2950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Hartford, Connecticut 06104-2950</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(866) 904.8348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NTC-19036 Rev. 01-19</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2019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INSURED:</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PENNANTPARK INVESTMENT CORPORATION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980" w:right="8120" w:firstLine="7"/>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MADISON AVENUE 15th Floor</w:t>
      </w:r>
    </w:p>
    <w:p>
      <w:pPr>
        <w:ind w:left="980"/>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(hereinafter,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520" w:type="dxa"/>
            <w:vAlign w:val="bottom"/>
            <w:gridSpan w:val="3"/>
          </w:tcPr>
          <w:p>
            <w:pPr>
              <w:ind w:left="180"/>
              <w:spacing w:after="0"/>
              <w:rPr>
                <w:sz w:val="20"/>
                <w:szCs w:val="20"/>
                <w:color w:val="auto"/>
              </w:rPr>
            </w:pPr>
            <w:r>
              <w:rPr>
                <w:rFonts w:ascii="Arial" w:cs="Arial" w:eastAsia="Arial" w:hAnsi="Arial"/>
                <w:sz w:val="18"/>
                <w:szCs w:val="18"/>
                <w:b w:val="1"/>
                <w:bCs w:val="1"/>
                <w:color w:val="auto"/>
              </w:rPr>
              <w:t>POLICY PERIOD:</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0"/>
        </w:trPr>
        <w:tc>
          <w:tcPr>
            <w:tcW w:w="800" w:type="dxa"/>
            <w:vAlign w:val="bottom"/>
          </w:tcPr>
          <w:p>
            <w:pPr>
              <w:spacing w:after="0"/>
              <w:rPr>
                <w:sz w:val="24"/>
                <w:szCs w:val="24"/>
                <w:color w:val="auto"/>
              </w:rPr>
            </w:pPr>
          </w:p>
        </w:tc>
        <w:tc>
          <w:tcPr>
            <w:tcW w:w="3520" w:type="dxa"/>
            <w:vAlign w:val="bottom"/>
            <w:gridSpan w:val="3"/>
          </w:tcPr>
          <w:p>
            <w:pPr>
              <w:ind w:left="180"/>
              <w:spacing w:after="0"/>
              <w:rPr>
                <w:sz w:val="20"/>
                <w:szCs w:val="20"/>
                <w:color w:val="auto"/>
              </w:rPr>
            </w:pPr>
            <w:r>
              <w:rPr>
                <w:rFonts w:ascii="Arial" w:cs="Arial" w:eastAsia="Arial" w:hAnsi="Arial"/>
                <w:sz w:val="18"/>
                <w:szCs w:val="18"/>
                <w:color w:val="auto"/>
              </w:rPr>
              <w:t>Inception Date: May 31, 2023</w:t>
            </w:r>
          </w:p>
        </w:tc>
        <w:tc>
          <w:tcPr>
            <w:tcW w:w="4260" w:type="dxa"/>
            <w:vAlign w:val="bottom"/>
          </w:tcPr>
          <w:p>
            <w:pPr>
              <w:ind w:left="140"/>
              <w:spacing w:after="0"/>
              <w:rPr>
                <w:sz w:val="20"/>
                <w:szCs w:val="20"/>
                <w:color w:val="auto"/>
              </w:rPr>
            </w:pPr>
            <w:r>
              <w:rPr>
                <w:rFonts w:ascii="Arial" w:cs="Arial" w:eastAsia="Arial" w:hAnsi="Arial"/>
                <w:sz w:val="18"/>
                <w:szCs w:val="18"/>
                <w:color w:val="auto"/>
              </w:rPr>
              <w:t>Expiration Date: May 31, 2024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7780" w:type="dxa"/>
            <w:vAlign w:val="bottom"/>
            <w:gridSpan w:val="4"/>
          </w:tcPr>
          <w:p>
            <w:pPr>
              <w:ind w:left="180"/>
              <w:spacing w:after="0"/>
              <w:rPr>
                <w:sz w:val="20"/>
                <w:szCs w:val="20"/>
                <w:color w:val="auto"/>
              </w:rPr>
            </w:pPr>
            <w:r>
              <w:rPr>
                <w:rFonts w:ascii="Arial" w:cs="Arial" w:eastAsia="Arial" w:hAnsi="Arial"/>
                <w:sz w:val="18"/>
                <w:szCs w:val="18"/>
                <w:color w:val="auto"/>
              </w:rPr>
              <w:t>12:01 A.M. local time as to both dates at the Principal Address stated in ITEM 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8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6860" w:type="dxa"/>
            <w:vAlign w:val="bottom"/>
            <w:tcBorders>
              <w:bottom w:val="single" w:sz="8" w:color="auto"/>
            </w:tcBorders>
            <w:gridSpan w:val="4"/>
          </w:tcPr>
          <w:p>
            <w:pPr>
              <w:spacing w:after="0"/>
              <w:rPr>
                <w:sz w:val="23"/>
                <w:szCs w:val="23"/>
                <w:color w:val="auto"/>
              </w:rPr>
            </w:pPr>
          </w:p>
        </w:tc>
        <w:tc>
          <w:tcPr>
            <w:tcW w:w="240" w:type="dxa"/>
            <w:vAlign w:val="bottom"/>
            <w:tcBorders>
              <w:bottom w:val="single" w:sz="8" w:color="auto"/>
            </w:tcBorders>
            <w:gridSpan w:val="2"/>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218"/>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20" w:type="dxa"/>
            <w:vAlign w:val="bottom"/>
            <w:gridSpan w:val="11"/>
          </w:tcPr>
          <w:p>
            <w:pPr>
              <w:ind w:left="180"/>
              <w:spacing w:after="0"/>
              <w:rPr>
                <w:sz w:val="20"/>
                <w:szCs w:val="20"/>
                <w:color w:val="auto"/>
              </w:rPr>
            </w:pPr>
            <w:r>
              <w:rPr>
                <w:rFonts w:ascii="Arial" w:cs="Arial" w:eastAsia="Arial" w:hAnsi="Arial"/>
                <w:sz w:val="18"/>
                <w:szCs w:val="18"/>
                <w:b w:val="1"/>
                <w:bCs w:val="1"/>
                <w:color w:val="auto"/>
              </w:rPr>
              <w:t>ALL NOTICES OF CLAIM OR LOSS MUST BE SENT TO THE COMPANY BY EMAIL, FACSIMILE, OR MAIL AS SET</w:t>
            </w:r>
          </w:p>
        </w:tc>
      </w:tr>
      <w:tr>
        <w:trPr>
          <w:trHeight w:val="234"/>
        </w:trPr>
        <w:tc>
          <w:tcPr>
            <w:tcW w:w="800" w:type="dxa"/>
            <w:vAlign w:val="bottom"/>
          </w:tcPr>
          <w:p>
            <w:pPr>
              <w:spacing w:after="0"/>
              <w:rPr>
                <w:sz w:val="20"/>
                <w:szCs w:val="20"/>
                <w:color w:val="auto"/>
              </w:rPr>
            </w:pPr>
          </w:p>
        </w:tc>
        <w:tc>
          <w:tcPr>
            <w:tcW w:w="3520" w:type="dxa"/>
            <w:vAlign w:val="bottom"/>
            <w:gridSpan w:val="3"/>
          </w:tcPr>
          <w:p>
            <w:pPr>
              <w:ind w:left="180"/>
              <w:spacing w:after="0"/>
              <w:rPr>
                <w:sz w:val="20"/>
                <w:szCs w:val="20"/>
                <w:color w:val="auto"/>
              </w:rPr>
            </w:pPr>
            <w:r>
              <w:rPr>
                <w:rFonts w:ascii="Arial" w:cs="Arial" w:eastAsia="Arial" w:hAnsi="Arial"/>
                <w:sz w:val="18"/>
                <w:szCs w:val="18"/>
                <w:b w:val="1"/>
                <w:bCs w:val="1"/>
                <w:color w:val="auto"/>
              </w:rPr>
              <w:t>FORTH BELOW:</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0"/>
        </w:trPr>
        <w:tc>
          <w:tcPr>
            <w:tcW w:w="800" w:type="dxa"/>
            <w:vAlign w:val="bottom"/>
          </w:tcPr>
          <w:p>
            <w:pPr>
              <w:spacing w:after="0"/>
              <w:rPr>
                <w:sz w:val="24"/>
                <w:szCs w:val="24"/>
                <w:color w:val="auto"/>
              </w:rPr>
            </w:pPr>
          </w:p>
        </w:tc>
        <w:tc>
          <w:tcPr>
            <w:tcW w:w="3520" w:type="dxa"/>
            <w:vAlign w:val="bottom"/>
            <w:gridSpan w:val="3"/>
          </w:tcPr>
          <w:p>
            <w:pPr>
              <w:ind w:left="180"/>
              <w:spacing w:after="0"/>
              <w:rPr>
                <w:sz w:val="20"/>
                <w:szCs w:val="20"/>
                <w:color w:val="auto"/>
              </w:rPr>
            </w:pPr>
            <w:r>
              <w:rPr>
                <w:rFonts w:ascii="Arial" w:cs="Arial" w:eastAsia="Arial" w:hAnsi="Arial"/>
                <w:sz w:val="18"/>
                <w:szCs w:val="18"/>
                <w:color w:val="auto"/>
              </w:rPr>
              <w:t>Email: BSIclaims@travelers.com</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3520" w:type="dxa"/>
            <w:vAlign w:val="bottom"/>
            <w:gridSpan w:val="3"/>
          </w:tcPr>
          <w:p>
            <w:pPr>
              <w:ind w:left="180"/>
              <w:spacing w:after="0"/>
              <w:rPr>
                <w:sz w:val="20"/>
                <w:szCs w:val="20"/>
                <w:color w:val="auto"/>
              </w:rPr>
            </w:pPr>
            <w:r>
              <w:rPr>
                <w:rFonts w:ascii="Arial" w:cs="Arial" w:eastAsia="Arial" w:hAnsi="Arial"/>
                <w:sz w:val="18"/>
                <w:szCs w:val="18"/>
                <w:color w:val="auto"/>
              </w:rPr>
              <w:t>Fax: 1-888-460-6622</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0"/>
        </w:trPr>
        <w:tc>
          <w:tcPr>
            <w:tcW w:w="800" w:type="dxa"/>
            <w:vAlign w:val="bottom"/>
          </w:tcPr>
          <w:p>
            <w:pPr>
              <w:spacing w:after="0"/>
              <w:rPr>
                <w:sz w:val="24"/>
                <w:szCs w:val="24"/>
                <w:color w:val="auto"/>
              </w:rPr>
            </w:pPr>
          </w:p>
        </w:tc>
        <w:tc>
          <w:tcPr>
            <w:tcW w:w="7780" w:type="dxa"/>
            <w:vAlign w:val="bottom"/>
            <w:gridSpan w:val="4"/>
          </w:tcPr>
          <w:p>
            <w:pPr>
              <w:ind w:left="180"/>
              <w:spacing w:after="0"/>
              <w:rPr>
                <w:sz w:val="20"/>
                <w:szCs w:val="20"/>
                <w:color w:val="auto"/>
              </w:rPr>
            </w:pPr>
            <w:r>
              <w:rPr>
                <w:rFonts w:ascii="Arial" w:cs="Arial" w:eastAsia="Arial" w:hAnsi="Arial"/>
                <w:sz w:val="18"/>
                <w:szCs w:val="18"/>
                <w:color w:val="auto"/>
              </w:rPr>
              <w:t>Mail: Travelers Bond &amp; Specialty Insurance Claim</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2"/>
          </w:tcPr>
          <w:p>
            <w:pPr>
              <w:ind w:left="340"/>
              <w:spacing w:after="0"/>
              <w:rPr>
                <w:sz w:val="20"/>
                <w:szCs w:val="20"/>
                <w:color w:val="auto"/>
              </w:rPr>
            </w:pPr>
            <w:r>
              <w:rPr>
                <w:rFonts w:ascii="Arial" w:cs="Arial" w:eastAsia="Arial" w:hAnsi="Arial"/>
                <w:sz w:val="18"/>
                <w:szCs w:val="18"/>
                <w:color w:val="auto"/>
              </w:rPr>
              <w:t>P.O. Box 2989</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2"/>
          </w:tcPr>
          <w:p>
            <w:pPr>
              <w:ind w:left="340"/>
              <w:spacing w:after="0"/>
              <w:rPr>
                <w:sz w:val="20"/>
                <w:szCs w:val="20"/>
                <w:color w:val="auto"/>
              </w:rPr>
            </w:pPr>
            <w:r>
              <w:rPr>
                <w:rFonts w:ascii="Arial" w:cs="Arial" w:eastAsia="Arial" w:hAnsi="Arial"/>
                <w:sz w:val="18"/>
                <w:szCs w:val="18"/>
                <w:color w:val="auto"/>
              </w:rPr>
              <w:t>Hartford, CT 06104-2989</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0"/>
        </w:trPr>
        <w:tc>
          <w:tcPr>
            <w:tcW w:w="800" w:type="dxa"/>
            <w:vAlign w:val="bottom"/>
          </w:tcPr>
          <w:p>
            <w:pPr>
              <w:spacing w:after="0"/>
              <w:rPr>
                <w:sz w:val="24"/>
                <w:szCs w:val="24"/>
                <w:color w:val="auto"/>
              </w:rPr>
            </w:pPr>
          </w:p>
        </w:tc>
        <w:tc>
          <w:tcPr>
            <w:tcW w:w="7780" w:type="dxa"/>
            <w:vAlign w:val="bottom"/>
            <w:gridSpan w:val="4"/>
          </w:tcPr>
          <w:p>
            <w:pPr>
              <w:ind w:left="180"/>
              <w:spacing w:after="0"/>
              <w:rPr>
                <w:sz w:val="20"/>
                <w:szCs w:val="20"/>
                <w:color w:val="auto"/>
              </w:rPr>
            </w:pPr>
            <w:r>
              <w:rPr>
                <w:rFonts w:ascii="Arial" w:cs="Arial" w:eastAsia="Arial" w:hAnsi="Arial"/>
                <w:sz w:val="18"/>
                <w:szCs w:val="18"/>
                <w:color w:val="auto"/>
              </w:rPr>
              <w:t>Overnight Mail: Travelers Bond &amp; Specialty Insurance Claim</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2"/>
          </w:tcPr>
          <w:p>
            <w:pPr>
              <w:ind w:left="1140"/>
              <w:spacing w:after="0"/>
              <w:rPr>
                <w:sz w:val="20"/>
                <w:szCs w:val="20"/>
                <w:color w:val="auto"/>
              </w:rPr>
            </w:pPr>
            <w:r>
              <w:rPr>
                <w:rFonts w:ascii="Arial" w:cs="Arial" w:eastAsia="Arial" w:hAnsi="Arial"/>
                <w:sz w:val="18"/>
                <w:szCs w:val="18"/>
                <w:color w:val="auto"/>
                <w:w w:val="95"/>
              </w:rPr>
              <w:t>One Tower Square, S202A</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2"/>
          </w:tcPr>
          <w:p>
            <w:pPr>
              <w:ind w:left="1140"/>
              <w:spacing w:after="0"/>
              <w:rPr>
                <w:sz w:val="20"/>
                <w:szCs w:val="20"/>
                <w:color w:val="auto"/>
              </w:rPr>
            </w:pPr>
            <w:r>
              <w:rPr>
                <w:rFonts w:ascii="Arial" w:cs="Arial" w:eastAsia="Arial" w:hAnsi="Arial"/>
                <w:sz w:val="18"/>
                <w:szCs w:val="18"/>
                <w:color w:val="auto"/>
              </w:rPr>
              <w:t>Hartford, CT 06183</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800" w:type="dxa"/>
            <w:vAlign w:val="bottom"/>
          </w:tcPr>
          <w:p>
            <w:pPr>
              <w:spacing w:after="0"/>
              <w:rPr>
                <w:sz w:val="24"/>
                <w:szCs w:val="24"/>
                <w:color w:val="auto"/>
              </w:rPr>
            </w:pPr>
          </w:p>
        </w:tc>
        <w:tc>
          <w:tcPr>
            <w:tcW w:w="7780" w:type="dxa"/>
            <w:vAlign w:val="bottom"/>
            <w:gridSpan w:val="4"/>
          </w:tcPr>
          <w:p>
            <w:pPr>
              <w:ind w:left="180"/>
              <w:spacing w:after="0"/>
              <w:rPr>
                <w:sz w:val="20"/>
                <w:szCs w:val="20"/>
                <w:color w:val="auto"/>
              </w:rPr>
            </w:pPr>
            <w:r>
              <w:rPr>
                <w:rFonts w:ascii="Arial" w:cs="Arial" w:eastAsia="Arial" w:hAnsi="Arial"/>
                <w:sz w:val="18"/>
                <w:szCs w:val="18"/>
                <w:color w:val="auto"/>
              </w:rPr>
              <w:t>For questions related to claim reporting or handling, please call 1-800-842-8496.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8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6860" w:type="dxa"/>
            <w:vAlign w:val="bottom"/>
            <w:tcBorders>
              <w:bottom w:val="single" w:sz="8" w:color="auto"/>
            </w:tcBorders>
            <w:gridSpan w:val="4"/>
          </w:tcPr>
          <w:p>
            <w:pPr>
              <w:spacing w:after="0"/>
              <w:rPr>
                <w:sz w:val="23"/>
                <w:szCs w:val="23"/>
                <w:color w:val="auto"/>
              </w:rPr>
            </w:pPr>
          </w:p>
        </w:tc>
        <w:tc>
          <w:tcPr>
            <w:tcW w:w="240" w:type="dxa"/>
            <w:vAlign w:val="bottom"/>
            <w:tcBorders>
              <w:bottom w:val="single" w:sz="8" w:color="auto"/>
            </w:tcBorders>
            <w:gridSpan w:val="2"/>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color w:val="auto"/>
              </w:rPr>
              <w:t>4</w:t>
            </w:r>
          </w:p>
        </w:tc>
        <w:tc>
          <w:tcPr>
            <w:tcW w:w="10220" w:type="dxa"/>
            <w:vAlign w:val="bottom"/>
            <w:gridSpan w:val="11"/>
          </w:tcPr>
          <w:p>
            <w:pPr>
              <w:ind w:left="180"/>
              <w:spacing w:after="0"/>
              <w:rPr>
                <w:sz w:val="20"/>
                <w:szCs w:val="20"/>
                <w:color w:val="auto"/>
              </w:rPr>
            </w:pPr>
            <w:r>
              <w:rPr>
                <w:rFonts w:ascii="Arial" w:cs="Arial" w:eastAsia="Arial" w:hAnsi="Arial"/>
                <w:sz w:val="18"/>
                <w:szCs w:val="18"/>
                <w:color w:val="auto"/>
                <w:w w:val="96"/>
              </w:rPr>
              <w:t>If “</w:t>
            </w:r>
            <w:r>
              <w:rPr>
                <w:rFonts w:ascii="Arial" w:cs="Arial" w:eastAsia="Arial" w:hAnsi="Arial"/>
                <w:sz w:val="18"/>
                <w:szCs w:val="18"/>
                <w:i w:val="1"/>
                <w:iCs w:val="1"/>
                <w:color w:val="auto"/>
                <w:w w:val="96"/>
              </w:rPr>
              <w:t>Not Covered</w:t>
            </w:r>
            <w:r>
              <w:rPr>
                <w:rFonts w:ascii="Arial" w:cs="Arial" w:eastAsia="Arial" w:hAnsi="Arial"/>
                <w:sz w:val="18"/>
                <w:szCs w:val="18"/>
                <w:color w:val="auto"/>
                <w:w w:val="96"/>
              </w:rPr>
              <w:t>” is inserted opposite any specified Insuring Agreement below, or if no amount is included in the Single Loss Limit of</w:t>
            </w:r>
          </w:p>
        </w:tc>
      </w:tr>
      <w:tr>
        <w:trPr>
          <w:trHeight w:val="230"/>
        </w:trPr>
        <w:tc>
          <w:tcPr>
            <w:tcW w:w="800" w:type="dxa"/>
            <w:vAlign w:val="bottom"/>
          </w:tcPr>
          <w:p>
            <w:pPr>
              <w:spacing w:after="0"/>
              <w:rPr>
                <w:sz w:val="20"/>
                <w:szCs w:val="20"/>
                <w:color w:val="auto"/>
              </w:rPr>
            </w:pPr>
          </w:p>
        </w:tc>
        <w:tc>
          <w:tcPr>
            <w:tcW w:w="8980" w:type="dxa"/>
            <w:vAlign w:val="bottom"/>
            <w:gridSpan w:val="7"/>
          </w:tcPr>
          <w:p>
            <w:pPr>
              <w:ind w:left="180"/>
              <w:spacing w:after="0"/>
              <w:rPr>
                <w:sz w:val="20"/>
                <w:szCs w:val="20"/>
                <w:color w:val="auto"/>
              </w:rPr>
            </w:pPr>
            <w:r>
              <w:rPr>
                <w:rFonts w:ascii="Arial" w:cs="Arial" w:eastAsia="Arial" w:hAnsi="Arial"/>
                <w:sz w:val="18"/>
                <w:szCs w:val="18"/>
                <w:color w:val="auto"/>
              </w:rPr>
              <w:t>Insurance, such Insuring Agreement and any other reference thereto is deemed to be deleted from this bond.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26"/>
        </w:trPr>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4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right="120"/>
              <w:spacing w:after="0" w:line="126" w:lineRule="exact"/>
              <w:rPr>
                <w:sz w:val="20"/>
                <w:szCs w:val="20"/>
                <w:color w:val="auto"/>
              </w:rPr>
            </w:pPr>
            <w:r>
              <w:rPr>
                <w:rFonts w:ascii="Arial" w:cs="Arial" w:eastAsia="Arial" w:hAnsi="Arial"/>
                <w:sz w:val="14"/>
                <w:szCs w:val="14"/>
                <w:b w:val="1"/>
                <w:bCs w:val="1"/>
                <w:color w:val="auto"/>
                <w:w w:val="99"/>
              </w:rPr>
              <w:t>SINGLE LOSS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60"/>
              <w:spacing w:after="0" w:line="126" w:lineRule="exact"/>
              <w:rPr>
                <w:sz w:val="20"/>
                <w:szCs w:val="20"/>
                <w:color w:val="auto"/>
              </w:rPr>
            </w:pPr>
            <w:r>
              <w:rPr>
                <w:rFonts w:ascii="Arial" w:cs="Arial" w:eastAsia="Arial" w:hAnsi="Arial"/>
                <w:sz w:val="14"/>
                <w:szCs w:val="14"/>
                <w:b w:val="1"/>
                <w:bCs w:val="1"/>
                <w:color w:val="auto"/>
                <w:w w:val="99"/>
              </w:rPr>
              <w:t>SINGLE LOSS</w:t>
            </w:r>
          </w:p>
        </w:tc>
      </w:tr>
      <w:tr>
        <w:trPr>
          <w:trHeight w:val="148"/>
        </w:trPr>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rPr>
              <w:t>LIMIT OF</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DEDUCTIBLE</w:t>
            </w:r>
          </w:p>
        </w:tc>
      </w:tr>
      <w:tr>
        <w:trPr>
          <w:trHeight w:val="205"/>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INSURING AGREEMENT</w:t>
            </w:r>
          </w:p>
        </w:tc>
        <w:tc>
          <w:tcPr>
            <w:tcW w:w="152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INSURANCE</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A.   FIDELITY</w:t>
            </w:r>
          </w:p>
        </w:tc>
        <w:tc>
          <w:tcPr>
            <w:tcW w:w="4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Coverage A.1.   Larceny or Embezzlement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80" w:type="dxa"/>
            <w:vAlign w:val="bottom"/>
            <w:gridSpan w:val="3"/>
          </w:tcPr>
          <w:p>
            <w:pPr>
              <w:ind w:left="520"/>
              <w:spacing w:after="0"/>
              <w:rPr>
                <w:sz w:val="20"/>
                <w:szCs w:val="20"/>
                <w:color w:val="auto"/>
              </w:rPr>
            </w:pPr>
            <w:r>
              <w:rPr>
                <w:rFonts w:ascii="Arial" w:cs="Arial" w:eastAsia="Arial" w:hAnsi="Arial"/>
                <w:sz w:val="18"/>
                <w:szCs w:val="18"/>
                <w:color w:val="auto"/>
              </w:rPr>
              <w:t>Coverage A.2.   Restoration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p>
        </w:tc>
      </w:tr>
      <w:tr>
        <w:trPr>
          <w:trHeight w:val="141"/>
        </w:trPr>
        <w:tc>
          <w:tcPr>
            <w:tcW w:w="4320" w:type="dxa"/>
            <w:vAlign w:val="bottom"/>
            <w:tcBorders>
              <w:bottom w:val="single" w:sz="8" w:color="auto"/>
            </w:tcBorders>
            <w:gridSpan w:val="4"/>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r>
      <w:tr>
        <w:trPr>
          <w:trHeight w:val="162"/>
        </w:trPr>
        <w:tc>
          <w:tcPr>
            <w:tcW w:w="4320" w:type="dxa"/>
            <w:vAlign w:val="bottom"/>
            <w:gridSpan w:val="4"/>
          </w:tcPr>
          <w:p>
            <w:pPr>
              <w:spacing w:after="0"/>
              <w:rPr>
                <w:sz w:val="20"/>
                <w:szCs w:val="20"/>
                <w:color w:val="auto"/>
              </w:rPr>
            </w:pPr>
            <w:r>
              <w:rPr>
                <w:rFonts w:ascii="Arial" w:cs="Arial" w:eastAsia="Arial" w:hAnsi="Arial"/>
                <w:sz w:val="14"/>
                <w:szCs w:val="14"/>
                <w:color w:val="auto"/>
              </w:rPr>
              <w:t>IVBB-15001 Ed. 01-16</w:t>
            </w: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20"/>
              <w:spacing w:after="0" w:line="162" w:lineRule="exact"/>
              <w:rPr>
                <w:sz w:val="20"/>
                <w:szCs w:val="20"/>
                <w:color w:val="auto"/>
              </w:rPr>
            </w:pPr>
            <w:r>
              <w:rPr>
                <w:rFonts w:ascii="Arial" w:cs="Arial" w:eastAsia="Arial" w:hAnsi="Arial"/>
                <w:sz w:val="18"/>
                <w:szCs w:val="18"/>
                <w:color w:val="auto"/>
                <w:w w:val="86"/>
              </w:rPr>
              <w:t>Page 1 of 3</w:t>
            </w:r>
          </w:p>
        </w:tc>
      </w:tr>
      <w:tr>
        <w:trPr>
          <w:trHeight w:val="182"/>
        </w:trPr>
        <w:tc>
          <w:tcPr>
            <w:tcW w:w="4320" w:type="dxa"/>
            <w:vAlign w:val="bottom"/>
            <w:gridSpan w:val="4"/>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ectPr>
          <w:pgSz w:w="11900" w:h="16838" w:orient="portrait"/>
          <w:cols w:equalWidth="0" w:num="1">
            <w:col w:w="11020"/>
          </w:cols>
          <w:pgMar w:left="440" w:top="1016"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w:t>
            </w: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ON PREMISES</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2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C.</w:t>
            </w:r>
          </w:p>
        </w:tc>
        <w:tc>
          <w:tcPr>
            <w:tcW w:w="6520" w:type="dxa"/>
            <w:vAlign w:val="bottom"/>
          </w:tcPr>
          <w:p>
            <w:pPr>
              <w:ind w:left="80"/>
              <w:spacing w:after="0"/>
              <w:rPr>
                <w:sz w:val="20"/>
                <w:szCs w:val="20"/>
                <w:color w:val="auto"/>
              </w:rPr>
            </w:pPr>
            <w:r>
              <w:rPr>
                <w:rFonts w:ascii="Arial" w:cs="Arial" w:eastAsia="Arial" w:hAnsi="Arial"/>
                <w:sz w:val="18"/>
                <w:szCs w:val="18"/>
                <w:b w:val="1"/>
                <w:bCs w:val="1"/>
                <w:color w:val="auto"/>
              </w:rPr>
              <w:t>IN TRANSIT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w:t>
            </w: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FORGERY OR ALTERATION</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2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E.</w:t>
            </w:r>
          </w:p>
        </w:tc>
        <w:tc>
          <w:tcPr>
            <w:tcW w:w="6520" w:type="dxa"/>
            <w:vAlign w:val="bottom"/>
          </w:tcPr>
          <w:p>
            <w:pPr>
              <w:ind w:left="80"/>
              <w:spacing w:after="0"/>
              <w:rPr>
                <w:sz w:val="20"/>
                <w:szCs w:val="20"/>
                <w:color w:val="auto"/>
              </w:rPr>
            </w:pPr>
            <w:r>
              <w:rPr>
                <w:rFonts w:ascii="Arial" w:cs="Arial" w:eastAsia="Arial" w:hAnsi="Arial"/>
                <w:sz w:val="18"/>
                <w:szCs w:val="18"/>
                <w:b w:val="1"/>
                <w:bCs w:val="1"/>
                <w:color w:val="auto"/>
              </w:rPr>
              <w:t>SECURITIES</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w:t>
            </w: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2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G.</w:t>
            </w:r>
          </w:p>
        </w:tc>
        <w:tc>
          <w:tcPr>
            <w:tcW w:w="6520" w:type="dxa"/>
            <w:vAlign w:val="bottom"/>
          </w:tcPr>
          <w:p>
            <w:pPr>
              <w:ind w:left="80"/>
              <w:spacing w:after="0"/>
              <w:rPr>
                <w:sz w:val="20"/>
                <w:szCs w:val="20"/>
                <w:color w:val="auto"/>
              </w:rPr>
            </w:pPr>
            <w:r>
              <w:rPr>
                <w:rFonts w:ascii="Arial" w:cs="Arial" w:eastAsia="Arial" w:hAnsi="Arial"/>
                <w:sz w:val="18"/>
                <w:szCs w:val="18"/>
                <w:b w:val="1"/>
                <w:bCs w:val="1"/>
                <w:color w:val="auto"/>
              </w:rPr>
              <w:t>CLAIM EXPENSE</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w:t>
            </w: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40" w:hanging="342"/>
        <w:spacing w:after="0"/>
        <w:tabs>
          <w:tab w:leader="none" w:pos="1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COMPUTER SYSTEMS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Coverage I.1.</w:t>
            </w: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Fraud</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Coverage I.2.</w:t>
            </w:r>
          </w:p>
        </w:tc>
        <w:tc>
          <w:tcPr>
            <w:tcW w:w="3420" w:type="dxa"/>
            <w:vAlign w:val="bottom"/>
          </w:tcPr>
          <w:p>
            <w:pPr>
              <w:ind w:left="180"/>
              <w:spacing w:after="0"/>
              <w:rPr>
                <w:sz w:val="20"/>
                <w:szCs w:val="20"/>
                <w:color w:val="auto"/>
              </w:rPr>
            </w:pPr>
            <w:r>
              <w:rPr>
                <w:rFonts w:ascii="Arial" w:cs="Arial" w:eastAsia="Arial" w:hAnsi="Arial"/>
                <w:sz w:val="18"/>
                <w:szCs w:val="18"/>
                <w:color w:val="auto"/>
              </w:rPr>
              <w:t>Fraudulent Instructions</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Coverage I.3.</w:t>
            </w: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Restoration Expense</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800" w:type="dxa"/>
            <w:vAlign w:val="bottom"/>
          </w:tcPr>
          <w:p>
            <w:pPr>
              <w:spacing w:after="0"/>
              <w:rPr>
                <w:sz w:val="24"/>
                <w:szCs w:val="24"/>
                <w:color w:val="auto"/>
              </w:rPr>
            </w:pPr>
          </w:p>
        </w:tc>
        <w:tc>
          <w:tcPr>
            <w:tcW w:w="5220" w:type="dxa"/>
            <w:vAlign w:val="bottom"/>
            <w:gridSpan w:val="3"/>
          </w:tcPr>
          <w:p>
            <w:pPr>
              <w:ind w:left="300"/>
              <w:spacing w:after="0"/>
              <w:rPr>
                <w:sz w:val="20"/>
                <w:szCs w:val="20"/>
                <w:color w:val="auto"/>
              </w:rPr>
            </w:pPr>
            <w:r>
              <w:rPr>
                <w:rFonts w:ascii="Arial" w:cs="Arial" w:eastAsia="Arial" w:hAnsi="Arial"/>
                <w:sz w:val="18"/>
                <w:szCs w:val="18"/>
                <w:b w:val="1"/>
                <w:bCs w:val="1"/>
                <w:color w:val="auto"/>
              </w:rPr>
              <w:t>J.  UNCOLLECTIBLE ITEMS OF DEPOSIT</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57"/>
        </w:trPr>
        <w:tc>
          <w:tcPr>
            <w:tcW w:w="80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gridSpan w:val="3"/>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5220" w:type="dxa"/>
            <w:vAlign w:val="bottom"/>
            <w:gridSpan w:val="3"/>
          </w:tcPr>
          <w:p>
            <w:pPr>
              <w:ind w:left="180"/>
              <w:spacing w:after="0"/>
              <w:rPr>
                <w:sz w:val="20"/>
                <w:szCs w:val="20"/>
                <w:color w:val="auto"/>
              </w:rPr>
            </w:pPr>
            <w:r>
              <w:rPr>
                <w:rFonts w:ascii="Arial" w:cs="Arial" w:eastAsia="Arial" w:hAnsi="Arial"/>
                <w:sz w:val="18"/>
                <w:szCs w:val="18"/>
                <w:b w:val="1"/>
                <w:bCs w:val="1"/>
                <w:color w:val="auto"/>
              </w:rPr>
              <w:t>PREVIOUS BONDS OR POLICIES:</w:t>
            </w:r>
          </w:p>
        </w:tc>
        <w:tc>
          <w:tcPr>
            <w:tcW w:w="2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24"/>
        </w:trPr>
        <w:tc>
          <w:tcPr>
            <w:tcW w:w="800" w:type="dxa"/>
            <w:vAlign w:val="bottom"/>
          </w:tcPr>
          <w:p>
            <w:pPr>
              <w:spacing w:after="0"/>
              <w:rPr>
                <w:sz w:val="24"/>
                <w:szCs w:val="24"/>
                <w:color w:val="auto"/>
              </w:rPr>
            </w:pPr>
          </w:p>
        </w:tc>
        <w:tc>
          <w:tcPr>
            <w:tcW w:w="9440" w:type="dxa"/>
            <w:vAlign w:val="bottom"/>
            <w:gridSpan w:val="6"/>
          </w:tcPr>
          <w:p>
            <w:pPr>
              <w:ind w:left="180"/>
              <w:spacing w:after="0"/>
              <w:rPr>
                <w:sz w:val="20"/>
                <w:szCs w:val="20"/>
                <w:color w:val="auto"/>
              </w:rPr>
            </w:pPr>
            <w:r>
              <w:rPr>
                <w:rFonts w:ascii="Arial" w:cs="Arial" w:eastAsia="Arial" w:hAnsi="Arial"/>
                <w:sz w:val="18"/>
                <w:szCs w:val="18"/>
                <w:color w:val="auto"/>
                <w:w w:val="93"/>
              </w:rPr>
              <w:t>The Insured, by acceptance of this bond, gives notice to the Company canceling or terminating prior bond or policy numbers:</w:t>
            </w:r>
          </w:p>
        </w:tc>
        <w:tc>
          <w:tcPr>
            <w:tcW w:w="78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3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8020" w:type="dxa"/>
            <w:vAlign w:val="bottom"/>
            <w:gridSpan w:val="4"/>
          </w:tcPr>
          <w:p>
            <w:pPr>
              <w:ind w:left="18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80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gridSpan w:val="3"/>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220" w:type="dxa"/>
            <w:vAlign w:val="bottom"/>
            <w:gridSpan w:val="3"/>
          </w:tcPr>
          <w:p>
            <w:pPr>
              <w:ind w:left="180"/>
              <w:spacing w:after="0"/>
              <w:rPr>
                <w:sz w:val="20"/>
                <w:szCs w:val="20"/>
                <w:color w:val="auto"/>
              </w:rPr>
            </w:pPr>
            <w:r>
              <w:rPr>
                <w:rFonts w:ascii="Arial" w:cs="Arial" w:eastAsia="Arial" w:hAnsi="Arial"/>
                <w:sz w:val="18"/>
                <w:szCs w:val="18"/>
                <w:b w:val="1"/>
                <w:bCs w:val="1"/>
                <w:color w:val="auto"/>
              </w:rPr>
              <w:t>DISCOVERY PERIOD:</w:t>
            </w:r>
          </w:p>
        </w:tc>
        <w:tc>
          <w:tcPr>
            <w:tcW w:w="2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38"/>
        </w:trPr>
        <w:tc>
          <w:tcPr>
            <w:tcW w:w="800" w:type="dxa"/>
            <w:vAlign w:val="bottom"/>
          </w:tcPr>
          <w:p>
            <w:pPr>
              <w:spacing w:after="0"/>
              <w:rPr>
                <w:sz w:val="24"/>
                <w:szCs w:val="24"/>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Additional Premium Percentage:</w:t>
            </w:r>
          </w:p>
        </w:tc>
        <w:tc>
          <w:tcPr>
            <w:tcW w:w="2800" w:type="dxa"/>
            <w:vAlign w:val="bottom"/>
          </w:tcPr>
          <w:p>
            <w:pPr>
              <w:ind w:left="80"/>
              <w:spacing w:after="0"/>
              <w:rPr>
                <w:sz w:val="20"/>
                <w:szCs w:val="20"/>
                <w:color w:val="auto"/>
              </w:rPr>
            </w:pPr>
            <w:r>
              <w:rPr>
                <w:rFonts w:ascii="Arial" w:cs="Arial" w:eastAsia="Arial" w:hAnsi="Arial"/>
                <w:sz w:val="18"/>
                <w:szCs w:val="18"/>
                <w:color w:val="auto"/>
              </w:rPr>
              <w:t>100% of the annualized premium</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Additional Months:</w:t>
            </w:r>
          </w:p>
        </w:tc>
        <w:tc>
          <w:tcPr>
            <w:tcW w:w="3420" w:type="dxa"/>
            <w:vAlign w:val="bottom"/>
          </w:tcPr>
          <w:p>
            <w:pPr>
              <w:spacing w:after="0"/>
              <w:rPr>
                <w:sz w:val="24"/>
                <w:szCs w:val="24"/>
                <w:color w:val="auto"/>
              </w:rPr>
            </w:pPr>
          </w:p>
        </w:tc>
        <w:tc>
          <w:tcPr>
            <w:tcW w:w="2800" w:type="dxa"/>
            <w:vAlign w:val="bottom"/>
          </w:tcPr>
          <w:p>
            <w:pPr>
              <w:ind w:left="80"/>
              <w:spacing w:after="0"/>
              <w:rPr>
                <w:sz w:val="20"/>
                <w:szCs w:val="20"/>
                <w:color w:val="auto"/>
              </w:rPr>
            </w:pPr>
            <w:r>
              <w:rPr>
                <w:rFonts w:ascii="Arial" w:cs="Arial" w:eastAsia="Arial" w:hAnsi="Arial"/>
                <w:sz w:val="18"/>
                <w:szCs w:val="18"/>
                <w:color w:val="auto"/>
              </w:rPr>
              <w:t>12 months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8020" w:type="dxa"/>
            <w:vAlign w:val="bottom"/>
            <w:gridSpan w:val="4"/>
          </w:tcPr>
          <w:p>
            <w:pPr>
              <w:ind w:left="180"/>
              <w:spacing w:after="0"/>
              <w:rPr>
                <w:sz w:val="20"/>
                <w:szCs w:val="20"/>
                <w:color w:val="auto"/>
              </w:rPr>
            </w:pPr>
            <w:r>
              <w:rPr>
                <w:rFonts w:ascii="Arial" w:cs="Arial" w:eastAsia="Arial" w:hAnsi="Arial"/>
                <w:sz w:val="18"/>
                <w:szCs w:val="18"/>
                <w:color w:val="auto"/>
              </w:rPr>
              <w:t>(If exercised in accordance with section VI. CONDITIONS, S. DISCOVERY PERIOD)</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80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gridSpan w:val="3"/>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5220" w:type="dxa"/>
            <w:vAlign w:val="bottom"/>
            <w:gridSpan w:val="3"/>
          </w:tcPr>
          <w:p>
            <w:pPr>
              <w:ind w:left="180"/>
              <w:spacing w:after="0"/>
              <w:rPr>
                <w:sz w:val="20"/>
                <w:szCs w:val="20"/>
                <w:color w:val="auto"/>
              </w:rPr>
            </w:pPr>
            <w:r>
              <w:rPr>
                <w:rFonts w:ascii="Arial" w:cs="Arial" w:eastAsia="Arial" w:hAnsi="Arial"/>
                <w:sz w:val="18"/>
                <w:szCs w:val="18"/>
                <w:b w:val="1"/>
                <w:bCs w:val="1"/>
                <w:color w:val="auto"/>
                <w:w w:val="99"/>
              </w:rPr>
              <w:t>FORMS AND ENDORSEMENTS ATTACHED AT ISSUANCE:</w:t>
            </w:r>
          </w:p>
        </w:tc>
        <w:tc>
          <w:tcPr>
            <w:tcW w:w="2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10"/>
        </w:trPr>
        <w:tc>
          <w:tcPr>
            <w:tcW w:w="800" w:type="dxa"/>
            <w:vAlign w:val="bottom"/>
          </w:tcPr>
          <w:p>
            <w:pPr>
              <w:spacing w:after="0"/>
              <w:rPr>
                <w:sz w:val="24"/>
                <w:szCs w:val="24"/>
                <w:color w:val="auto"/>
              </w:rPr>
            </w:pPr>
          </w:p>
        </w:tc>
        <w:tc>
          <w:tcPr>
            <w:tcW w:w="10220" w:type="dxa"/>
            <w:vAlign w:val="bottom"/>
            <w:gridSpan w:val="7"/>
          </w:tcPr>
          <w:p>
            <w:pPr>
              <w:ind w:left="180"/>
              <w:spacing w:after="0"/>
              <w:rPr>
                <w:sz w:val="20"/>
                <w:szCs w:val="20"/>
                <w:color w:val="auto"/>
              </w:rPr>
            </w:pPr>
            <w:r>
              <w:rPr>
                <w:rFonts w:ascii="Arial" w:cs="Arial" w:eastAsia="Arial" w:hAnsi="Arial"/>
                <w:sz w:val="18"/>
                <w:szCs w:val="18"/>
                <w:color w:val="auto"/>
                <w:w w:val="98"/>
              </w:rPr>
              <w:t>IVBB-16001-0116; IVBB-19004-0116; IVBB-19010-0116; IVBB-19044-0518; IVBB-19045-0319; IVBB-19038-0422; IVBB-18023-</w:t>
            </w:r>
          </w:p>
        </w:tc>
      </w:tr>
      <w:tr>
        <w:trPr>
          <w:trHeight w:val="230"/>
        </w:trPr>
        <w:tc>
          <w:tcPr>
            <w:tcW w:w="800" w:type="dxa"/>
            <w:vAlign w:val="bottom"/>
          </w:tcPr>
          <w:p>
            <w:pPr>
              <w:spacing w:after="0"/>
              <w:rPr>
                <w:sz w:val="20"/>
                <w:szCs w:val="20"/>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1217; IVBB-17022-1019</w:t>
            </w:r>
          </w:p>
        </w:tc>
        <w:tc>
          <w:tcPr>
            <w:tcW w:w="2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WTW NORTHEAST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IVBB-15001 Ed. 01-16</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2 of 3</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50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457200</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36334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3345" cy="53149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168910</wp:posOffset>
            </wp:positionV>
            <wp:extent cx="2631440" cy="762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144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0"/>
        <w:spacing w:after="0"/>
        <w:tabs>
          <w:tab w:leader="none" w:pos="7620" w:val="left"/>
        </w:tabs>
        <w:rPr>
          <w:sz w:val="20"/>
          <w:szCs w:val="20"/>
          <w:color w:val="auto"/>
        </w:rPr>
      </w:pPr>
      <w:r>
        <w:rPr>
          <w:rFonts w:ascii="Arial" w:cs="Arial" w:eastAsia="Arial" w:hAnsi="Arial"/>
          <w:sz w:val="18"/>
          <w:szCs w:val="18"/>
          <w:color w:val="auto"/>
        </w:rPr>
        <w:t>President</w:t>
      </w:r>
      <w:r>
        <w:rPr>
          <w:sz w:val="20"/>
          <w:szCs w:val="20"/>
          <w:color w:val="auto"/>
        </w:rPr>
        <w:tab/>
      </w: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IVBB-15001 Ed. 01-16</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3 of 3</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733"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3"/>
              </w:rPr>
              <w:t>Investment Company Bond</w:t>
            </w:r>
          </w:p>
        </w:tc>
      </w:tr>
      <w:tr>
        <w:trPr>
          <w:trHeight w:val="230"/>
        </w:trPr>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Table of Contents</w:t>
            </w:r>
          </w:p>
        </w:tc>
      </w:tr>
      <w:tr>
        <w:trPr>
          <w:trHeight w:val="102"/>
        </w:trPr>
        <w:tc>
          <w:tcPr>
            <w:tcW w:w="460" w:type="dxa"/>
            <w:vAlign w:val="bottom"/>
            <w:tcBorders>
              <w:bottom w:val="single" w:sz="8" w:color="auto"/>
            </w:tcBorders>
          </w:tcPr>
          <w:p>
            <w:pPr>
              <w:spacing w:after="0"/>
              <w:rPr>
                <w:sz w:val="8"/>
                <w:szCs w:val="8"/>
                <w:color w:val="auto"/>
              </w:rPr>
            </w:pPr>
          </w:p>
        </w:tc>
        <w:tc>
          <w:tcPr>
            <w:tcW w:w="8360" w:type="dxa"/>
            <w:vAlign w:val="bottom"/>
            <w:tcBorders>
              <w:bottom w:val="single" w:sz="8" w:color="auto"/>
            </w:tcBorders>
            <w:gridSpan w:val="2"/>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r>
      <w:tr>
        <w:trPr>
          <w:trHeight w:val="216"/>
        </w:trPr>
        <w:tc>
          <w:tcPr>
            <w:tcW w:w="460" w:type="dxa"/>
            <w:vAlign w:val="bottom"/>
            <w:shd w:val="clear" w:color="auto" w:fill="CCCCCC"/>
          </w:tcPr>
          <w:p>
            <w:pPr>
              <w:spacing w:after="0"/>
              <w:rPr>
                <w:sz w:val="18"/>
                <w:szCs w:val="18"/>
                <w:color w:val="auto"/>
              </w:rPr>
            </w:pPr>
          </w:p>
        </w:tc>
        <w:tc>
          <w:tcPr>
            <w:tcW w:w="1780" w:type="dxa"/>
            <w:vAlign w:val="bottom"/>
            <w:shd w:val="clear" w:color="auto" w:fill="CCCCCC"/>
          </w:tcPr>
          <w:p>
            <w:pPr>
              <w:spacing w:after="0"/>
              <w:rPr>
                <w:sz w:val="18"/>
                <w:szCs w:val="18"/>
                <w:color w:val="auto"/>
              </w:rPr>
            </w:pPr>
          </w:p>
        </w:tc>
        <w:tc>
          <w:tcPr>
            <w:tcW w:w="6580" w:type="dxa"/>
            <w:vAlign w:val="bottom"/>
            <w:shd w:val="clear" w:color="auto" w:fill="CCCCCC"/>
          </w:tcPr>
          <w:p>
            <w:pPr>
              <w:spacing w:after="0"/>
              <w:rPr>
                <w:sz w:val="18"/>
                <w:szCs w:val="18"/>
                <w:color w:val="auto"/>
              </w:rPr>
            </w:pPr>
          </w:p>
        </w:tc>
        <w:tc>
          <w:tcPr>
            <w:tcW w:w="2200" w:type="dxa"/>
            <w:vAlign w:val="bottom"/>
            <w:shd w:val="clear" w:color="auto" w:fill="CCCCCC"/>
          </w:tcPr>
          <w:p>
            <w:pPr>
              <w:spacing w:after="0"/>
              <w:rPr>
                <w:sz w:val="18"/>
                <w:szCs w:val="18"/>
                <w:color w:val="auto"/>
              </w:rPr>
            </w:pPr>
          </w:p>
        </w:tc>
      </w:tr>
      <w:tr>
        <w:trPr>
          <w:trHeight w:val="459"/>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I.</w:t>
            </w: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CONSIDERATION CLAUSE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II.</w:t>
            </w: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INSURING AGREEMENTS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A. FIDELITY</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500"/>
              <w:spacing w:after="0"/>
              <w:rPr>
                <w:sz w:val="20"/>
                <w:szCs w:val="20"/>
                <w:color w:val="auto"/>
              </w:rPr>
            </w:pPr>
            <w:r>
              <w:rPr>
                <w:rFonts w:ascii="Arial" w:cs="Arial" w:eastAsia="Arial" w:hAnsi="Arial"/>
                <w:sz w:val="18"/>
                <w:szCs w:val="18"/>
                <w:b w:val="1"/>
                <w:bCs w:val="1"/>
                <w:color w:val="auto"/>
              </w:rPr>
              <w:t>Coverage A.1.   Larceny or Embezzlement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rPr>
              <w:t>Coverage A.2.</w:t>
            </w:r>
          </w:p>
        </w:tc>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Restoration Expenses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B.  ON PREMISES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C. IN TRANSIT</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D. FORGERY OR ALTERATION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E.  SECURITIES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F.  COUNTERFEIT MONEY AND COUNTERFEIT MONEY ORDERS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G. CLAIM EXPENSE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H. STOP PAYMENT ORDERS OR WRONGFUL DISHONOR OF CHECKS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I.  COMPUTER SYSTEMS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rPr>
              <w:t>Coverage I.1.</w:t>
            </w:r>
          </w:p>
        </w:tc>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Computer Fraud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rPr>
              <w:t>Coverage I.2.</w:t>
            </w:r>
          </w:p>
        </w:tc>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Fraudulent Instructions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rPr>
              <w:t>Coverage I.3.</w:t>
            </w:r>
          </w:p>
        </w:tc>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Restoration Expenses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J.  UNCOLLECTIBLE ITEMS OF DEPOSIT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III.</w:t>
            </w: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GENERAL AGREEMENTS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A. ORGANIC GROWTH</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B.  CONSOLIDATION - MERGER - PURCHASE OR ACQUISITION OF ASSETS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C. REPRESENTATION OF INSURED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D. JOINT INSURED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E.  COURT COSTS AND ATTORNEY’S FEES - LEGAL PROCEEDINGS - ELECTION TO DEFEND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IV.</w:t>
            </w:r>
          </w:p>
        </w:tc>
        <w:tc>
          <w:tcPr>
            <w:tcW w:w="17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DEFINITIONS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V.</w:t>
            </w:r>
          </w:p>
        </w:tc>
        <w:tc>
          <w:tcPr>
            <w:tcW w:w="17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EXCLUSIONS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VI.</w:t>
            </w:r>
          </w:p>
        </w:tc>
        <w:tc>
          <w:tcPr>
            <w:tcW w:w="17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CONDITIONS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A. ADDITIONAL COMPANIES INCLUDED AS INSURED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B.  DISCOVERY</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C. BOND PERIOD</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D. SINGLE LOSS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E.  SINGLE LOSS LIMIT OF INSURANCE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F.  DEDUCTIBLE</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G. NON-ACCUMULATION OF LIMITS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H. NOTICE - PROOF OF LOSS - LEGAL PROCEEDINGS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55"/>
        </w:trPr>
        <w:tc>
          <w:tcPr>
            <w:tcW w:w="2240" w:type="dxa"/>
            <w:vAlign w:val="bottom"/>
            <w:tcBorders>
              <w:bottom w:val="single" w:sz="8" w:color="auto"/>
            </w:tcBorders>
            <w:gridSpan w:val="2"/>
          </w:tcPr>
          <w:p>
            <w:pPr>
              <w:spacing w:after="0"/>
              <w:rPr>
                <w:sz w:val="13"/>
                <w:szCs w:val="13"/>
                <w:color w:val="auto"/>
              </w:rPr>
            </w:pPr>
          </w:p>
        </w:tc>
        <w:tc>
          <w:tcPr>
            <w:tcW w:w="65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r>
      <w:tr>
        <w:trPr>
          <w:trHeight w:val="162"/>
        </w:trPr>
        <w:tc>
          <w:tcPr>
            <w:tcW w:w="2240" w:type="dxa"/>
            <w:vAlign w:val="bottom"/>
            <w:gridSpan w:val="2"/>
          </w:tcPr>
          <w:p>
            <w:pPr>
              <w:spacing w:after="0"/>
              <w:rPr>
                <w:sz w:val="20"/>
                <w:szCs w:val="20"/>
                <w:color w:val="auto"/>
              </w:rPr>
            </w:pPr>
            <w:r>
              <w:rPr>
                <w:rFonts w:ascii="Arial" w:cs="Arial" w:eastAsia="Arial" w:hAnsi="Arial"/>
                <w:sz w:val="14"/>
                <w:szCs w:val="14"/>
                <w:color w:val="auto"/>
              </w:rPr>
              <w:t>IVBB-16001 Ed. 01-16</w:t>
            </w:r>
          </w:p>
        </w:tc>
        <w:tc>
          <w:tcPr>
            <w:tcW w:w="6580" w:type="dxa"/>
            <w:vAlign w:val="bottom"/>
          </w:tcPr>
          <w:p>
            <w:pPr>
              <w:spacing w:after="0"/>
              <w:rPr>
                <w:sz w:val="14"/>
                <w:szCs w:val="14"/>
                <w:color w:val="auto"/>
              </w:rPr>
            </w:pPr>
          </w:p>
        </w:tc>
        <w:tc>
          <w:tcPr>
            <w:tcW w:w="2200" w:type="dxa"/>
            <w:vAlign w:val="bottom"/>
          </w:tcPr>
          <w:p>
            <w:pPr>
              <w:jc w:val="right"/>
              <w:spacing w:after="0" w:line="162" w:lineRule="exact"/>
              <w:rPr>
                <w:sz w:val="20"/>
                <w:szCs w:val="20"/>
                <w:color w:val="auto"/>
              </w:rPr>
            </w:pPr>
            <w:r>
              <w:rPr>
                <w:rFonts w:ascii="Arial" w:cs="Arial" w:eastAsia="Arial" w:hAnsi="Arial"/>
                <w:sz w:val="18"/>
                <w:szCs w:val="18"/>
                <w:color w:val="auto"/>
              </w:rPr>
              <w:t>Page 1 of 25</w:t>
            </w:r>
          </w:p>
        </w:tc>
      </w:tr>
      <w:tr>
        <w:trPr>
          <w:trHeight w:val="182"/>
        </w:trPr>
        <w:tc>
          <w:tcPr>
            <w:tcW w:w="8820" w:type="dxa"/>
            <w:vAlign w:val="bottom"/>
            <w:gridSpan w:val="3"/>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2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I.</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VALUATION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J.</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ASSIGNMENT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K.</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SUBROGATION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L.</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RECOVERIES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M.</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COOPERATION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N.</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ANTI-BUNDLING</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O.</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P.</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OTHER INSURANCE OR INDEMNITY</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Q.</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COVERED PROPERTY</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R.</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S.</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DISCOVERY PERIOD</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T.</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HEADINGS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56"/>
        </w:trPr>
        <w:tc>
          <w:tcPr>
            <w:tcW w:w="8460" w:type="dxa"/>
            <w:vAlign w:val="bottom"/>
            <w:tcBorders>
              <w:bottom w:val="single" w:sz="8" w:color="auto"/>
            </w:tcBorders>
            <w:gridSpan w:val="2"/>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r>
      <w:tr>
        <w:trPr>
          <w:trHeight w:val="162"/>
        </w:trPr>
        <w:tc>
          <w:tcPr>
            <w:tcW w:w="8460" w:type="dxa"/>
            <w:vAlign w:val="bottom"/>
            <w:gridSpan w:val="2"/>
          </w:tcPr>
          <w:p>
            <w:pPr>
              <w:spacing w:after="0"/>
              <w:rPr>
                <w:sz w:val="20"/>
                <w:szCs w:val="20"/>
                <w:color w:val="auto"/>
              </w:rPr>
            </w:pPr>
            <w:r>
              <w:rPr>
                <w:rFonts w:ascii="Arial" w:cs="Arial" w:eastAsia="Arial" w:hAnsi="Arial"/>
                <w:sz w:val="14"/>
                <w:szCs w:val="14"/>
                <w:color w:val="auto"/>
              </w:rPr>
              <w:t>IVBB-16001 Ed. 01-16</w:t>
            </w:r>
          </w:p>
        </w:tc>
        <w:tc>
          <w:tcPr>
            <w:tcW w:w="2560" w:type="dxa"/>
            <w:vAlign w:val="bottom"/>
          </w:tcPr>
          <w:p>
            <w:pPr>
              <w:jc w:val="right"/>
              <w:spacing w:after="0" w:line="162" w:lineRule="exact"/>
              <w:rPr>
                <w:sz w:val="20"/>
                <w:szCs w:val="20"/>
                <w:color w:val="auto"/>
              </w:rPr>
            </w:pPr>
            <w:r>
              <w:rPr>
                <w:rFonts w:ascii="Arial" w:cs="Arial" w:eastAsia="Arial" w:hAnsi="Arial"/>
                <w:sz w:val="18"/>
                <w:szCs w:val="18"/>
                <w:color w:val="auto"/>
              </w:rPr>
              <w:t>Page 2 of 25</w:t>
            </w:r>
          </w:p>
        </w:tc>
      </w:tr>
      <w:tr>
        <w:trPr>
          <w:trHeight w:val="182"/>
        </w:trPr>
        <w:tc>
          <w:tcPr>
            <w:tcW w:w="8460" w:type="dxa"/>
            <w:vAlign w:val="bottom"/>
            <w:gridSpan w:val="2"/>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2560" w:type="dxa"/>
            <w:vAlign w:val="bottom"/>
          </w:tcPr>
          <w:p>
            <w:pPr>
              <w:spacing w:after="0"/>
              <w:rPr>
                <w:sz w:val="15"/>
                <w:szCs w:val="15"/>
                <w:color w:val="auto"/>
              </w:rPr>
            </w:pPr>
          </w:p>
        </w:tc>
      </w:tr>
    </w:tbl>
    <w:p>
      <w:pPr>
        <w:sectPr>
          <w:pgSz w:w="11900" w:h="16838" w:orient="portrait"/>
          <w:cols w:equalWidth="0" w:num="1">
            <w:col w:w="11020"/>
          </w:cols>
          <w:pgMar w:left="440" w:top="594"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 w:hanging="444"/>
        <w:spacing w:after="0"/>
        <w:tabs>
          <w:tab w:leader="none" w:pos="444"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40" w:lineRule="exact"/>
        <w:rPr>
          <w:rFonts w:ascii="Arial" w:cs="Arial" w:eastAsia="Arial" w:hAnsi="Arial"/>
          <w:sz w:val="18"/>
          <w:szCs w:val="18"/>
          <w:b w:val="1"/>
          <w:bCs w:val="1"/>
          <w:i w:val="1"/>
          <w:iCs w:val="1"/>
          <w:color w:val="auto"/>
        </w:rPr>
      </w:pPr>
    </w:p>
    <w:p>
      <w:pPr>
        <w:ind w:left="444" w:right="20"/>
        <w:spacing w:after="0" w:line="347"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IN CONSIDERATION </w:t>
      </w:r>
      <w:r>
        <w:rPr>
          <w:rFonts w:ascii="Arial" w:cs="Arial" w:eastAsia="Arial" w:hAnsi="Arial"/>
          <w:sz w:val="16"/>
          <w:szCs w:val="16"/>
          <w:color w:val="auto"/>
        </w:rPr>
        <w:t>of the payment of an agreed premium and subject to the Declarations and pursuant to all the terms, conditions, exclusions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p>
      <w:pPr>
        <w:ind w:left="444" w:hanging="444"/>
        <w:spacing w:after="0"/>
        <w:tabs>
          <w:tab w:leader="none" w:pos="444"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194" w:lineRule="exact"/>
        <w:rPr>
          <w:rFonts w:ascii="Arial" w:cs="Arial" w:eastAsia="Arial" w:hAnsi="Arial"/>
          <w:sz w:val="18"/>
          <w:szCs w:val="18"/>
          <w:b w:val="1"/>
          <w:bCs w:val="1"/>
          <w:i w:val="1"/>
          <w:iCs w:val="1"/>
          <w:color w:val="auto"/>
        </w:rPr>
      </w:pPr>
    </w:p>
    <w:p>
      <w:pPr>
        <w:ind w:left="984" w:hanging="544"/>
        <w:spacing w:after="0"/>
        <w:tabs>
          <w:tab w:leader="none" w:pos="98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Coverage A.1. Larceny or Embezzlement</w:t>
      </w:r>
    </w:p>
    <w:p>
      <w:pPr>
        <w:spacing w:after="0" w:line="113" w:lineRule="exact"/>
        <w:rPr>
          <w:rFonts w:ascii="Arial" w:cs="Arial" w:eastAsia="Arial" w:hAnsi="Arial"/>
          <w:sz w:val="18"/>
          <w:szCs w:val="18"/>
          <w:b w:val="1"/>
          <w:bCs w:val="1"/>
          <w:color w:val="auto"/>
        </w:rPr>
      </w:pPr>
    </w:p>
    <w:p>
      <w:pPr>
        <w:ind w:left="984" w:right="560" w:firstLine="441"/>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 Coverage A.2. Restoration Expenses</w:t>
      </w:r>
    </w:p>
    <w:p>
      <w:pPr>
        <w:spacing w:after="0" w:line="1" w:lineRule="exact"/>
        <w:rPr>
          <w:rFonts w:ascii="Arial" w:cs="Arial" w:eastAsia="Arial" w:hAnsi="Arial"/>
          <w:sz w:val="18"/>
          <w:szCs w:val="18"/>
          <w:b w:val="1"/>
          <w:bCs w:val="1"/>
          <w:color w:val="auto"/>
        </w:rPr>
      </w:pPr>
    </w:p>
    <w:p>
      <w:pPr>
        <w:ind w:left="1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an</w:t>
      </w:r>
      <w:r>
        <w:rPr>
          <w:rFonts w:ascii="Arial" w:cs="Arial" w:eastAsia="Arial" w:hAnsi="Arial"/>
          <w:sz w:val="18"/>
          <w:szCs w:val="18"/>
          <w:b w:val="1"/>
          <w:bCs w:val="1"/>
          <w:color w:val="auto"/>
        </w:rPr>
        <w:t xml:space="preserve"> Employee</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984" w:hanging="544"/>
        <w:spacing w:after="0"/>
        <w:tabs>
          <w:tab w:leader="none" w:pos="98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1424" w:hanging="433"/>
        <w:spacing w:after="0"/>
        <w:tabs>
          <w:tab w:leader="none" w:pos="1424"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984" w:hanging="552"/>
        <w:spacing w:after="0"/>
        <w:tabs>
          <w:tab w:leader="none" w:pos="1984" w:val="left"/>
        </w:tabs>
        <w:numPr>
          <w:ilvl w:val="3"/>
          <w:numId w:val="12"/>
        </w:numPr>
        <w:rPr>
          <w:rFonts w:ascii="Arial" w:cs="Arial" w:eastAsia="Arial" w:hAnsi="Arial"/>
          <w:sz w:val="18"/>
          <w:szCs w:val="18"/>
          <w:color w:val="auto"/>
        </w:rPr>
      </w:pPr>
      <w:r>
        <w:rPr>
          <w:rFonts w:ascii="Arial" w:cs="Arial" w:eastAsia="Arial" w:hAnsi="Arial"/>
          <w:sz w:val="18"/>
          <w:szCs w:val="18"/>
          <w:color w:val="auto"/>
        </w:rPr>
        <w:t>robbery, burglary, mysterious unexplainable disappearance or misplacement and damage or destruction; or</w:t>
      </w:r>
    </w:p>
    <w:p>
      <w:pPr>
        <w:spacing w:after="0" w:line="130" w:lineRule="exact"/>
        <w:rPr>
          <w:rFonts w:ascii="Arial" w:cs="Arial" w:eastAsia="Arial" w:hAnsi="Arial"/>
          <w:sz w:val="18"/>
          <w:szCs w:val="18"/>
          <w:color w:val="auto"/>
        </w:rPr>
      </w:pPr>
    </w:p>
    <w:p>
      <w:pPr>
        <w:ind w:left="1984" w:right="40" w:hanging="552"/>
        <w:spacing w:after="0" w:line="277" w:lineRule="auto"/>
        <w:tabs>
          <w:tab w:leader="none" w:pos="1984" w:val="left"/>
        </w:tabs>
        <w:numPr>
          <w:ilvl w:val="3"/>
          <w:numId w:val="12"/>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 w:lineRule="exact"/>
        <w:rPr>
          <w:sz w:val="20"/>
          <w:szCs w:val="20"/>
          <w:color w:val="auto"/>
        </w:rPr>
      </w:pPr>
    </w:p>
    <w:p>
      <w:pPr>
        <w:ind w:left="1424" w:right="40"/>
        <w:spacing w:after="0" w:line="255" w:lineRule="auto"/>
        <w:rPr>
          <w:sz w:val="20"/>
          <w:szCs w:val="20"/>
          <w:color w:val="auto"/>
        </w:rPr>
      </w:pPr>
      <w:r>
        <w:rPr>
          <w:rFonts w:ascii="Arial" w:cs="Arial" w:eastAsia="Arial" w:hAnsi="Arial"/>
          <w:sz w:val="18"/>
          <w:szCs w:val="18"/>
          <w:color w:val="auto"/>
        </w:rPr>
        <w:t xml:space="preserve">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lodged or deposited within offices or premises located anywhere. The premises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will be deemed premises of the Insured, but solely as respects loss of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Coverage for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held by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is limited to the extent of the Insured’s interest therein as effected by the making of appropriate entries on the books and records of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unless the amount of such loss exceeds the amount recoverable or recovered under any bond or policy or participants’ fund insuring the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against such loss.</w:t>
      </w:r>
    </w:p>
    <w:p>
      <w:pPr>
        <w:spacing w:after="0" w:line="81" w:lineRule="exact"/>
        <w:rPr>
          <w:sz w:val="20"/>
          <w:szCs w:val="20"/>
          <w:color w:val="auto"/>
        </w:rPr>
      </w:pPr>
    </w:p>
    <w:p>
      <w:pPr>
        <w:ind w:left="1424" w:right="32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1424" w:right="220" w:hanging="433"/>
        <w:spacing w:after="0" w:line="258" w:lineRule="auto"/>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3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4"/>
          </w:cols>
          <w:pgMar w:left="436" w:top="490" w:right="439" w:bottom="1440" w:gutter="0" w:footer="0" w:header="0"/>
        </w:sectPr>
      </w:pPr>
    </w:p>
    <w:bookmarkStart w:id="11" w:name="page12"/>
    <w:bookmarkEnd w:id="11"/>
    <w:p>
      <w:pPr>
        <w:ind w:left="980" w:hanging="54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98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 the custody of any person or persons acting as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transporting person or persons, and to end immediately upon delivery thereof at destination, but only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being conveyed.</w:t>
      </w:r>
    </w:p>
    <w:p>
      <w:pPr>
        <w:spacing w:after="0" w:line="94" w:lineRule="exact"/>
        <w:rPr>
          <w:rFonts w:ascii="Arial" w:cs="Arial" w:eastAsia="Arial" w:hAnsi="Arial"/>
          <w:sz w:val="18"/>
          <w:szCs w:val="18"/>
          <w:b w:val="1"/>
          <w:bCs w:val="1"/>
          <w:color w:val="auto"/>
        </w:rPr>
      </w:pPr>
    </w:p>
    <w:p>
      <w:pPr>
        <w:ind w:left="980" w:hanging="54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7"/>
          <w:szCs w:val="17"/>
          <w:color w:val="auto"/>
        </w:rPr>
        <w:t xml:space="preserve">Loss resulting directly from the Insured having, in good faith, paid or transferred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 reliance on any </w:t>
      </w:r>
      <w:r>
        <w:rPr>
          <w:rFonts w:ascii="Arial" w:cs="Arial" w:eastAsia="Arial" w:hAnsi="Arial"/>
          <w:sz w:val="17"/>
          <w:szCs w:val="17"/>
          <w:b w:val="1"/>
          <w:bCs w:val="1"/>
          <w:color w:val="auto"/>
        </w:rPr>
        <w:t>Written, Original</w:t>
      </w:r>
      <w:r>
        <w:rPr>
          <w:rFonts w:ascii="Arial" w:cs="Arial" w:eastAsia="Arial" w:hAnsi="Arial"/>
          <w:sz w:val="17"/>
          <w:szCs w:val="17"/>
          <w:color w:val="auto"/>
        </w:rPr>
        <w:t>:</w:t>
      </w:r>
    </w:p>
    <w:p>
      <w:pPr>
        <w:spacing w:after="0" w:line="142" w:lineRule="exact"/>
        <w:rPr>
          <w:rFonts w:ascii="Arial" w:cs="Arial" w:eastAsia="Arial" w:hAnsi="Arial"/>
          <w:sz w:val="18"/>
          <w:szCs w:val="18"/>
          <w:b w:val="1"/>
          <w:bCs w:val="1"/>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60" w:hanging="433"/>
        <w:spacing w:after="0" w:line="282"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alteration causes the loss.</w:t>
      </w:r>
    </w:p>
    <w:p>
      <w:pPr>
        <w:spacing w:after="0" w:line="58"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72" w:lineRule="exact"/>
        <w:rPr>
          <w:sz w:val="20"/>
          <w:szCs w:val="20"/>
          <w:color w:val="auto"/>
        </w:rPr>
      </w:pPr>
    </w:p>
    <w:p>
      <w:pPr>
        <w:ind w:left="980" w:hanging="544"/>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1420" w:right="80" w:hanging="433"/>
        <w:spacing w:after="0" w:line="282"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4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2" w:name="page13"/>
    <w:bookmarkEnd w:id="12"/>
    <w:p>
      <w:pPr>
        <w:ind w:left="1980" w:hanging="552"/>
        <w:spacing w:after="0"/>
        <w:tabs>
          <w:tab w:leader="none" w:pos="198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that</w:t>
      </w:r>
    </w:p>
    <w:p>
      <w:pPr>
        <w:spacing w:after="0" w:line="126" w:lineRule="exact"/>
        <w:rPr>
          <w:rFonts w:ascii="Arial" w:cs="Arial" w:eastAsia="Arial" w:hAnsi="Arial"/>
          <w:sz w:val="18"/>
          <w:szCs w:val="18"/>
          <w:color w:val="auto"/>
        </w:rPr>
      </w:pPr>
    </w:p>
    <w:p>
      <w:pPr>
        <w:ind w:left="2420" w:right="400" w:hanging="441"/>
        <w:spacing w:after="0" w:line="282" w:lineRule="auto"/>
        <w:tabs>
          <w:tab w:leader="none" w:pos="24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but only to the extent the</w:t>
      </w:r>
      <w:r>
        <w:rPr>
          <w:rFonts w:ascii="Arial" w:cs="Arial" w:eastAsia="Arial" w:hAnsi="Arial"/>
          <w:sz w:val="18"/>
          <w:szCs w:val="18"/>
          <w:b w:val="1"/>
          <w:bCs w:val="1"/>
          <w:color w:val="auto"/>
        </w:rPr>
        <w:t xml:space="preserve"> Forgery </w:t>
      </w:r>
      <w:r>
        <w:rPr>
          <w:rFonts w:ascii="Arial" w:cs="Arial" w:eastAsia="Arial" w:hAnsi="Arial"/>
          <w:sz w:val="18"/>
          <w:szCs w:val="18"/>
          <w:color w:val="auto"/>
        </w:rPr>
        <w:t>causes the loss;</w:t>
      </w:r>
    </w:p>
    <w:p>
      <w:pPr>
        <w:spacing w:after="0" w:line="71" w:lineRule="exact"/>
        <w:rPr>
          <w:rFonts w:ascii="Arial" w:cs="Arial" w:eastAsia="Arial" w:hAnsi="Arial"/>
          <w:sz w:val="18"/>
          <w:szCs w:val="18"/>
          <w:color w:val="auto"/>
        </w:rPr>
      </w:pPr>
    </w:p>
    <w:p>
      <w:pPr>
        <w:ind w:left="2420" w:hanging="441"/>
        <w:spacing w:after="0"/>
        <w:tabs>
          <w:tab w:leader="none" w:pos="24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2420" w:hanging="441"/>
        <w:spacing w:after="0"/>
        <w:tabs>
          <w:tab w:leader="none" w:pos="24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1420" w:right="740" w:hanging="433"/>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1420" w:right="480" w:hanging="433"/>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jc w:val="both"/>
        <w:ind w:left="980" w:right="2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88" w:lineRule="exact"/>
        <w:rPr>
          <w:sz w:val="20"/>
          <w:szCs w:val="20"/>
          <w:color w:val="auto"/>
        </w:rPr>
      </w:pPr>
    </w:p>
    <w:p>
      <w:pPr>
        <w:ind w:left="980" w:hanging="544"/>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980" w:right="2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81" w:lineRule="exact"/>
        <w:rPr>
          <w:rFonts w:ascii="Arial" w:cs="Arial" w:eastAsia="Arial" w:hAnsi="Arial"/>
          <w:sz w:val="18"/>
          <w:szCs w:val="18"/>
          <w:b w:val="1"/>
          <w:bCs w:val="1"/>
          <w:color w:val="auto"/>
        </w:rPr>
      </w:pPr>
    </w:p>
    <w:p>
      <w:pPr>
        <w:ind w:left="980" w:hanging="544"/>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98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89" w:lineRule="exact"/>
        <w:rPr>
          <w:rFonts w:ascii="Arial" w:cs="Arial" w:eastAsia="Arial" w:hAnsi="Arial"/>
          <w:sz w:val="18"/>
          <w:szCs w:val="18"/>
          <w:b w:val="1"/>
          <w:bCs w:val="1"/>
          <w:color w:val="auto"/>
        </w:rPr>
      </w:pPr>
    </w:p>
    <w:p>
      <w:pPr>
        <w:ind w:left="980" w:hanging="544"/>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 xml:space="preserve">Damages that the Insured becomes legally liable to pay its customers resulting directly from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having:</w:t>
      </w:r>
    </w:p>
    <w:p>
      <w:pPr>
        <w:spacing w:after="0" w:line="157" w:lineRule="exact"/>
        <w:rPr>
          <w:rFonts w:ascii="Arial" w:cs="Arial" w:eastAsia="Arial" w:hAnsi="Arial"/>
          <w:sz w:val="18"/>
          <w:szCs w:val="18"/>
          <w:b w:val="1"/>
          <w:bCs w:val="1"/>
          <w:color w:val="auto"/>
        </w:rPr>
      </w:pPr>
    </w:p>
    <w:p>
      <w:pPr>
        <w:ind w:left="1420" w:right="180" w:hanging="433"/>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1420" w:right="540" w:hanging="433"/>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5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3" w:name="page14"/>
    <w:bookmarkEnd w:id="13"/>
    <w:p>
      <w:pPr>
        <w:ind w:left="984" w:right="7820" w:hanging="544"/>
        <w:spacing w:after="0" w:line="422" w:lineRule="auto"/>
        <w:tabs>
          <w:tab w:leader="none" w:pos="98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COMPUTER SYSTEMS </w:t>
      </w:r>
      <w:r>
        <w:rPr>
          <w:rFonts w:ascii="Arial" w:cs="Arial" w:eastAsia="Arial" w:hAnsi="Arial"/>
          <w:sz w:val="16"/>
          <w:szCs w:val="16"/>
          <w:color w:val="auto"/>
        </w:rPr>
        <w:t>Coverage I.1. Computer Fraud</w:t>
      </w:r>
    </w:p>
    <w:p>
      <w:pPr>
        <w:spacing w:after="0" w:line="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Coverage I.2. Fraudulent Instructions</w:t>
      </w:r>
    </w:p>
    <w:p>
      <w:pPr>
        <w:spacing w:after="0" w:line="113" w:lineRule="exact"/>
        <w:rPr>
          <w:sz w:val="20"/>
          <w:szCs w:val="20"/>
          <w:color w:val="auto"/>
        </w:rPr>
      </w:pPr>
    </w:p>
    <w:p>
      <w:pPr>
        <w:ind w:left="1424" w:right="12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when the Insured or an</w:t>
      </w:r>
      <w:r>
        <w:rPr>
          <w:rFonts w:ascii="Arial" w:cs="Arial" w:eastAsia="Arial" w:hAnsi="Arial"/>
          <w:sz w:val="18"/>
          <w:szCs w:val="18"/>
          <w:b w:val="1"/>
          <w:bCs w:val="1"/>
          <w:color w:val="auto"/>
        </w:rPr>
        <w:t xml:space="preserve"> Investment Adviser</w:t>
      </w:r>
      <w:r>
        <w:rPr>
          <w:rFonts w:ascii="Arial" w:cs="Arial" w:eastAsia="Arial" w:hAnsi="Arial"/>
          <w:sz w:val="18"/>
          <w:szCs w:val="18"/>
          <w:color w:val="auto"/>
        </w:rPr>
        <w:t>, prior to causing the transfer of the funds, used its best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5" w:lineRule="exact"/>
        <w:rPr>
          <w:sz w:val="20"/>
          <w:szCs w:val="20"/>
          <w:color w:val="auto"/>
        </w:rPr>
      </w:pPr>
    </w:p>
    <w:p>
      <w:pPr>
        <w:ind w:left="2424" w:hanging="441"/>
        <w:spacing w:after="0"/>
        <w:tabs>
          <w:tab w:leader="none" w:pos="2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2424" w:hanging="441"/>
        <w:spacing w:after="0"/>
        <w:tabs>
          <w:tab w:leader="none" w:pos="2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followed commercially reasonable </w:t>
      </w:r>
      <w:r>
        <w:rPr>
          <w:rFonts w:ascii="Arial" w:cs="Arial" w:eastAsia="Arial" w:hAnsi="Arial"/>
          <w:sz w:val="18"/>
          <w:szCs w:val="18"/>
          <w:b w:val="1"/>
          <w:bCs w:val="1"/>
          <w:color w:val="auto"/>
        </w:rPr>
        <w:t>Security Procedures</w:t>
      </w:r>
      <w:r>
        <w:rPr>
          <w:rFonts w:ascii="Arial" w:cs="Arial" w:eastAsia="Arial" w:hAnsi="Arial"/>
          <w:sz w:val="18"/>
          <w:szCs w:val="18"/>
          <w:color w:val="auto"/>
        </w:rPr>
        <w:t xml:space="preserve"> applicable to the transaction and instruction.</w:t>
      </w:r>
    </w:p>
    <w:p>
      <w:pPr>
        <w:spacing w:after="0" w:line="117" w:lineRule="exact"/>
        <w:rPr>
          <w:sz w:val="20"/>
          <w:szCs w:val="20"/>
          <w:color w:val="auto"/>
        </w:rPr>
      </w:pPr>
    </w:p>
    <w:p>
      <w:pPr>
        <w:ind w:left="1424" w:right="34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Coverage I.3. Restoration Expenses</w:t>
      </w:r>
    </w:p>
    <w:p>
      <w:pPr>
        <w:spacing w:after="0" w:line="113" w:lineRule="exact"/>
        <w:rPr>
          <w:sz w:val="20"/>
          <w:szCs w:val="20"/>
          <w:color w:val="auto"/>
        </w:rPr>
      </w:pPr>
    </w:p>
    <w:p>
      <w:pPr>
        <w:ind w:left="1424" w:right="28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someone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67" w:lineRule="exact"/>
        <w:rPr>
          <w:sz w:val="20"/>
          <w:szCs w:val="20"/>
          <w:color w:val="auto"/>
        </w:rPr>
      </w:pPr>
    </w:p>
    <w:p>
      <w:pPr>
        <w:ind w:left="984" w:hanging="544"/>
        <w:spacing w:after="0"/>
        <w:tabs>
          <w:tab w:leader="none" w:pos="98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rFonts w:ascii="Arial" w:cs="Arial" w:eastAsia="Arial" w:hAnsi="Arial"/>
          <w:sz w:val="18"/>
          <w:szCs w:val="18"/>
          <w:b w:val="1"/>
          <w:bCs w:val="1"/>
          <w:color w:val="auto"/>
        </w:rPr>
      </w:pPr>
    </w:p>
    <w:p>
      <w:pPr>
        <w:jc w:val="both"/>
        <w:ind w:left="984" w:right="10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Loss, including dividends and interest accrued not to exceed 15% of the value of each </w:t>
      </w:r>
      <w:r>
        <w:rPr>
          <w:rFonts w:ascii="Arial" w:cs="Arial" w:eastAsia="Arial" w:hAnsi="Arial"/>
          <w:sz w:val="17"/>
          <w:szCs w:val="17"/>
          <w:b w:val="1"/>
          <w:bCs w:val="1"/>
          <w:color w:val="auto"/>
        </w:rPr>
        <w:t>Item of Deposit</w:t>
      </w:r>
      <w:r>
        <w:rPr>
          <w:rFonts w:ascii="Arial" w:cs="Arial" w:eastAsia="Arial" w:hAnsi="Arial"/>
          <w:sz w:val="17"/>
          <w:szCs w:val="17"/>
          <w:color w:val="auto"/>
        </w:rPr>
        <w:t xml:space="preserve"> that is deposited, resulting directly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 credited an account of a customer, shareholder or subscriber on the faith of any </w:t>
      </w:r>
      <w:r>
        <w:rPr>
          <w:rFonts w:ascii="Arial" w:cs="Arial" w:eastAsia="Arial" w:hAnsi="Arial"/>
          <w:sz w:val="17"/>
          <w:szCs w:val="17"/>
          <w:b w:val="1"/>
          <w:bCs w:val="1"/>
          <w:color w:val="auto"/>
        </w:rPr>
        <w:t>Items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Deposit </w:t>
      </w:r>
      <w:r>
        <w:rPr>
          <w:rFonts w:ascii="Arial" w:cs="Arial" w:eastAsia="Arial" w:hAnsi="Arial"/>
          <w:sz w:val="17"/>
          <w:szCs w:val="17"/>
          <w:color w:val="auto"/>
        </w:rPr>
        <w:t>that prove to be uncollectible, provided that the crediting of such account causes:</w:t>
      </w:r>
    </w:p>
    <w:p>
      <w:pPr>
        <w:spacing w:after="0" w:line="67" w:lineRule="exact"/>
        <w:rPr>
          <w:rFonts w:ascii="Arial" w:cs="Arial" w:eastAsia="Arial" w:hAnsi="Arial"/>
          <w:sz w:val="18"/>
          <w:szCs w:val="18"/>
          <w:b w:val="1"/>
          <w:bCs w:val="1"/>
          <w:color w:val="auto"/>
        </w:rPr>
      </w:pPr>
    </w:p>
    <w:p>
      <w:pPr>
        <w:ind w:left="1984" w:hanging="552"/>
        <w:spacing w:after="0"/>
        <w:tabs>
          <w:tab w:leader="none" w:pos="1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1984" w:hanging="552"/>
        <w:spacing w:after="0"/>
        <w:tabs>
          <w:tab w:leader="none" w:pos="1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1984" w:hanging="552"/>
        <w:spacing w:after="0"/>
        <w:tabs>
          <w:tab w:leader="none" w:pos="1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984" w:right="100"/>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for the maximum number of days allowable under Regulation CC before permitting any redemptions or withdrawals,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issuing 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w:t>
      </w:r>
    </w:p>
    <w:p>
      <w:pPr>
        <w:spacing w:after="0" w:line="68" w:lineRule="exact"/>
        <w:rPr>
          <w:sz w:val="20"/>
          <w:szCs w:val="20"/>
          <w:color w:val="auto"/>
        </w:rPr>
      </w:pPr>
    </w:p>
    <w:p>
      <w:pPr>
        <w:ind w:left="984" w:right="16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failed.</w:t>
      </w:r>
    </w:p>
    <w:p>
      <w:pPr>
        <w:spacing w:after="0" w:line="58" w:lineRule="exact"/>
        <w:rPr>
          <w:sz w:val="20"/>
          <w:szCs w:val="20"/>
          <w:color w:val="auto"/>
        </w:rPr>
      </w:pPr>
    </w:p>
    <w:p>
      <w:pPr>
        <w:ind w:left="984" w:right="2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Uncollectible Items of Deposit</w:t>
      </w:r>
      <w:r>
        <w:rPr>
          <w:rFonts w:ascii="Arial" w:cs="Arial" w:eastAsia="Arial" w:hAnsi="Arial"/>
          <w:sz w:val="17"/>
          <w:szCs w:val="17"/>
          <w:color w:val="auto"/>
        </w:rPr>
        <w:t>. Regardless of the number of transactions between funds, the maximum number of days allowable under</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 CC begins from the date a deposit was first credited to any fund in the exchange program.</w:t>
      </w:r>
    </w:p>
    <w:p>
      <w:pPr>
        <w:spacing w:after="0" w:line="314" w:lineRule="exact"/>
        <w:rPr>
          <w:sz w:val="20"/>
          <w:szCs w:val="20"/>
          <w:color w:val="auto"/>
        </w:rPr>
      </w:pPr>
    </w:p>
    <w:p>
      <w:pPr>
        <w:ind w:left="444" w:hanging="444"/>
        <w:spacing w:after="0"/>
        <w:tabs>
          <w:tab w:leader="none" w:pos="444"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194" w:lineRule="exact"/>
        <w:rPr>
          <w:rFonts w:ascii="Arial" w:cs="Arial" w:eastAsia="Arial" w:hAnsi="Arial"/>
          <w:sz w:val="18"/>
          <w:szCs w:val="18"/>
          <w:b w:val="1"/>
          <w:bCs w:val="1"/>
          <w:i w:val="1"/>
          <w:iCs w:val="1"/>
          <w:color w:val="auto"/>
        </w:rPr>
      </w:pPr>
    </w:p>
    <w:p>
      <w:pPr>
        <w:ind w:left="984" w:hanging="544"/>
        <w:spacing w:after="0"/>
        <w:tabs>
          <w:tab w:leader="none" w:pos="984"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ORGANIC GROWTH</w:t>
      </w:r>
    </w:p>
    <w:p>
      <w:pPr>
        <w:spacing w:after="0" w:line="117" w:lineRule="exact"/>
        <w:rPr>
          <w:rFonts w:ascii="Arial" w:cs="Arial" w:eastAsia="Arial" w:hAnsi="Arial"/>
          <w:sz w:val="18"/>
          <w:szCs w:val="18"/>
          <w:b w:val="1"/>
          <w:bCs w:val="1"/>
          <w:color w:val="auto"/>
        </w:rPr>
      </w:pPr>
    </w:p>
    <w:p>
      <w:pPr>
        <w:ind w:left="984" w:right="20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2"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6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4"/>
          </w:cols>
          <w:pgMar w:left="436" w:top="486" w:right="439" w:bottom="1440" w:gutter="0" w:footer="0" w:header="0"/>
        </w:sectPr>
      </w:pPr>
    </w:p>
    <w:bookmarkStart w:id="14" w:name="page15"/>
    <w:bookmarkEnd w:id="14"/>
    <w:p>
      <w:pPr>
        <w:ind w:left="980" w:right="1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81" w:lineRule="exact"/>
        <w:rPr>
          <w:sz w:val="20"/>
          <w:szCs w:val="20"/>
          <w:color w:val="auto"/>
        </w:rPr>
      </w:pPr>
    </w:p>
    <w:p>
      <w:pPr>
        <w:ind w:left="980" w:hanging="544"/>
        <w:spacing w:after="0"/>
        <w:tabs>
          <w:tab w:leader="none" w:pos="9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 MERGER - PURCHASE OR ACQUISITION OF ASSETS</w:t>
      </w:r>
    </w:p>
    <w:p>
      <w:pPr>
        <w:spacing w:after="0" w:line="117" w:lineRule="exact"/>
        <w:rPr>
          <w:rFonts w:ascii="Arial" w:cs="Arial" w:eastAsia="Arial" w:hAnsi="Arial"/>
          <w:sz w:val="18"/>
          <w:szCs w:val="18"/>
          <w:b w:val="1"/>
          <w:bCs w:val="1"/>
          <w:color w:val="auto"/>
        </w:rPr>
      </w:pPr>
    </w:p>
    <w:p>
      <w:pPr>
        <w:ind w:left="98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1420" w:right="860" w:hanging="433"/>
        <w:spacing w:after="0" w:line="277"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1980" w:hanging="552"/>
        <w:spacing w:after="0"/>
        <w:tabs>
          <w:tab w:leader="none" w:pos="1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1980" w:right="40"/>
        <w:spacing w:after="0" w:line="272"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2" w:lineRule="exact"/>
        <w:rPr>
          <w:rFonts w:ascii="Arial" w:cs="Arial" w:eastAsia="Arial" w:hAnsi="Arial"/>
          <w:sz w:val="18"/>
          <w:szCs w:val="18"/>
          <w:color w:val="auto"/>
        </w:rPr>
      </w:pPr>
    </w:p>
    <w:p>
      <w:pPr>
        <w:ind w:left="1980" w:hanging="552"/>
        <w:spacing w:after="0"/>
        <w:tabs>
          <w:tab w:leader="none" w:pos="1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1980" w:right="80"/>
        <w:spacing w:after="0" w:line="275"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77" w:lineRule="exact"/>
        <w:rPr>
          <w:rFonts w:ascii="Arial" w:cs="Arial" w:eastAsia="Arial" w:hAnsi="Arial"/>
          <w:sz w:val="18"/>
          <w:szCs w:val="18"/>
          <w:color w:val="auto"/>
        </w:rPr>
      </w:pPr>
    </w:p>
    <w:p>
      <w:pPr>
        <w:ind w:left="980" w:hanging="544"/>
        <w:spacing w:after="0"/>
        <w:tabs>
          <w:tab w:leader="none" w:pos="9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98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71" w:lineRule="exact"/>
        <w:rPr>
          <w:rFonts w:ascii="Arial" w:cs="Arial" w:eastAsia="Arial" w:hAnsi="Arial"/>
          <w:sz w:val="18"/>
          <w:szCs w:val="18"/>
          <w:b w:val="1"/>
          <w:bCs w:val="1"/>
          <w:color w:val="auto"/>
        </w:rPr>
      </w:pPr>
    </w:p>
    <w:p>
      <w:pPr>
        <w:ind w:left="980" w:hanging="544"/>
        <w:spacing w:after="0"/>
        <w:tabs>
          <w:tab w:leader="none" w:pos="9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98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jc w:val="both"/>
        <w:ind w:left="980" w:right="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7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5" w:name="page16"/>
    <w:bookmarkEnd w:id="15"/>
    <w:p>
      <w:pPr>
        <w:ind w:left="980"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73" w:lineRule="exact"/>
        <w:rPr>
          <w:sz w:val="20"/>
          <w:szCs w:val="20"/>
          <w:color w:val="auto"/>
        </w:rPr>
      </w:pPr>
    </w:p>
    <w:p>
      <w:pPr>
        <w:ind w:left="980" w:hanging="544"/>
        <w:spacing w:after="0"/>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 - LEGAL PROCEEDINGS - ELECTION TO DEFEND</w:t>
      </w:r>
    </w:p>
    <w:p>
      <w:pPr>
        <w:spacing w:after="0" w:line="121" w:lineRule="exact"/>
        <w:rPr>
          <w:rFonts w:ascii="Arial" w:cs="Arial" w:eastAsia="Arial" w:hAnsi="Arial"/>
          <w:sz w:val="18"/>
          <w:szCs w:val="18"/>
          <w:b w:val="1"/>
          <w:bCs w:val="1"/>
          <w:color w:val="auto"/>
        </w:rPr>
      </w:pPr>
    </w:p>
    <w:p>
      <w:pPr>
        <w:ind w:left="980" w:right="1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58" w:lineRule="exact"/>
        <w:rPr>
          <w:rFonts w:ascii="Arial" w:cs="Arial" w:eastAsia="Arial" w:hAnsi="Arial"/>
          <w:sz w:val="18"/>
          <w:szCs w:val="18"/>
          <w:b w:val="1"/>
          <w:bCs w:val="1"/>
          <w:color w:val="auto"/>
        </w:rPr>
      </w:pPr>
    </w:p>
    <w:p>
      <w:pPr>
        <w:ind w:left="1980" w:hanging="552"/>
        <w:spacing w:after="0"/>
        <w:tabs>
          <w:tab w:leader="none" w:pos="1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80" w:right="100" w:hanging="552"/>
        <w:spacing w:after="0" w:line="282" w:lineRule="auto"/>
        <w:tabs>
          <w:tab w:leader="none" w:pos="1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in the absence of 1. or 2. above, an arbitration panel agrees, after a review of an agreed statement of facts,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would be found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if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80" w:right="4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0" w:lineRule="exact"/>
        <w:rPr>
          <w:sz w:val="20"/>
          <w:szCs w:val="20"/>
          <w:color w:val="auto"/>
        </w:rPr>
      </w:pPr>
    </w:p>
    <w:p>
      <w:pPr>
        <w:ind w:left="980" w:right="22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980" w:hanging="544"/>
        <w:spacing w:after="0"/>
        <w:tabs>
          <w:tab w:leader="none" w:pos="9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980" w:hanging="544"/>
        <w:spacing w:after="0"/>
        <w:tabs>
          <w:tab w:leader="none" w:pos="9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980" w:right="100" w:hanging="544"/>
        <w:spacing w:after="0" w:line="282" w:lineRule="auto"/>
        <w:tabs>
          <w:tab w:leader="none" w:pos="9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color w:val="auto"/>
        </w:rPr>
        <w:t>, to verify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8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16" w:name="page17"/>
    <w:bookmarkEnd w:id="16"/>
    <w:p>
      <w:pPr>
        <w:ind w:left="980" w:right="860" w:hanging="544"/>
        <w:spacing w:after="0" w:line="282"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980" w:right="640" w:hanging="544"/>
        <w:spacing w:after="0" w:line="282"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980" w:right="420" w:hanging="544"/>
        <w:spacing w:after="0" w:line="277"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1420" w:right="80" w:hanging="433"/>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42" w:lineRule="exact"/>
        <w:rPr>
          <w:rFonts w:ascii="Arial" w:cs="Arial" w:eastAsia="Arial" w:hAnsi="Arial"/>
          <w:sz w:val="17"/>
          <w:szCs w:val="17"/>
          <w:color w:val="auto"/>
        </w:rPr>
      </w:pPr>
    </w:p>
    <w:p>
      <w:pPr>
        <w:ind w:left="980" w:right="60" w:hanging="544"/>
        <w:spacing w:after="0" w:line="263"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provided that such entry or change causes:</w:t>
      </w:r>
    </w:p>
    <w:p>
      <w:pPr>
        <w:spacing w:after="0" w:line="85"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420" w:right="240" w:hanging="433"/>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6"/>
          <w:szCs w:val="16"/>
          <w:color w:val="auto"/>
        </w:rPr>
        <w:t xml:space="preserve">that is rented by, owned by, leased by, licensed to, or under the direct operational control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w:t>
      </w:r>
    </w:p>
    <w:p>
      <w:pPr>
        <w:spacing w:after="0" w:line="157" w:lineRule="exact"/>
        <w:rPr>
          <w:rFonts w:ascii="Arial" w:cs="Arial" w:eastAsia="Arial" w:hAnsi="Arial"/>
          <w:sz w:val="18"/>
          <w:szCs w:val="18"/>
          <w:color w:val="auto"/>
        </w:rPr>
      </w:pPr>
    </w:p>
    <w:p>
      <w:pPr>
        <w:ind w:left="980" w:hanging="544"/>
        <w:spacing w:after="0"/>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220" w:hanging="433"/>
        <w:spacing w:after="0" w:line="282"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1980" w:hanging="552"/>
        <w:spacing w:after="0"/>
        <w:tabs>
          <w:tab w:leader="none" w:pos="1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but uses such access to cause such damage or destruction.</w:t>
      </w:r>
    </w:p>
    <w:p>
      <w:pPr>
        <w:spacing w:after="0" w:line="134" w:lineRule="exact"/>
        <w:rPr>
          <w:rFonts w:ascii="Arial" w:cs="Arial" w:eastAsia="Arial" w:hAnsi="Arial"/>
          <w:sz w:val="18"/>
          <w:szCs w:val="18"/>
          <w:color w:val="auto"/>
        </w:rPr>
      </w:pPr>
    </w:p>
    <w:p>
      <w:pPr>
        <w:ind w:left="980" w:hanging="544"/>
        <w:spacing w:after="0"/>
        <w:tabs>
          <w:tab w:leader="none" w:pos="98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980" w:right="680" w:hanging="544"/>
        <w:spacing w:after="0" w:line="282"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9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7" w:name="page18"/>
    <w:bookmarkEnd w:id="17"/>
    <w:p>
      <w:pPr>
        <w:ind w:left="980" w:right="300" w:hanging="544"/>
        <w:spacing w:after="0" w:line="282" w:lineRule="auto"/>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w:t>
      </w:r>
    </w:p>
    <w:p>
      <w:pPr>
        <w:spacing w:after="0" w:line="67" w:lineRule="exact"/>
        <w:rPr>
          <w:rFonts w:ascii="Arial" w:cs="Arial" w:eastAsia="Arial" w:hAnsi="Arial"/>
          <w:sz w:val="18"/>
          <w:szCs w:val="18"/>
          <w:b w:val="1"/>
          <w:bCs w:val="1"/>
          <w:color w:val="auto"/>
        </w:rPr>
      </w:pPr>
    </w:p>
    <w:p>
      <w:pPr>
        <w:ind w:left="980" w:right="80" w:hanging="544"/>
        <w:spacing w:after="0" w:line="282" w:lineRule="auto"/>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80" w:hanging="544"/>
        <w:spacing w:after="0"/>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1420" w:right="80" w:hanging="433"/>
        <w:spacing w:after="0" w:line="277"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jc w:val="both"/>
        <w:ind w:left="1420" w:right="120" w:hanging="433"/>
        <w:spacing w:after="0" w:line="263"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5" w:lineRule="exact"/>
        <w:rPr>
          <w:rFonts w:ascii="Arial" w:cs="Arial" w:eastAsia="Arial" w:hAnsi="Arial"/>
          <w:sz w:val="18"/>
          <w:szCs w:val="18"/>
          <w:color w:val="auto"/>
        </w:rPr>
      </w:pPr>
    </w:p>
    <w:p>
      <w:pPr>
        <w:ind w:left="980" w:right="380" w:hanging="544"/>
        <w:spacing w:after="0" w:line="258" w:lineRule="auto"/>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8" w:lineRule="exact"/>
        <w:rPr>
          <w:rFonts w:ascii="Arial" w:cs="Arial" w:eastAsia="Arial" w:hAnsi="Arial"/>
          <w:sz w:val="18"/>
          <w:szCs w:val="18"/>
          <w:b w:val="1"/>
          <w:bCs w:val="1"/>
          <w:color w:val="auto"/>
        </w:rPr>
      </w:pPr>
    </w:p>
    <w:p>
      <w:pPr>
        <w:ind w:left="980" w:right="160" w:hanging="544"/>
        <w:spacing w:after="0" w:line="281" w:lineRule="auto"/>
        <w:tabs>
          <w:tab w:leader="none" w:pos="98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Electronic Data Processor </w:t>
      </w:r>
      <w:r>
        <w:rPr>
          <w:rFonts w:ascii="Arial" w:cs="Arial" w:eastAsia="Arial" w:hAnsi="Arial"/>
          <w:sz w:val="17"/>
          <w:szCs w:val="17"/>
          <w:color w:val="auto"/>
        </w:rPr>
        <w:t>means a natural person, partnership or corporation authorized in writing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to perform services as a data processor of checks presented to the Insured by a customer or</w:t>
      </w:r>
      <w:r>
        <w:rPr>
          <w:rFonts w:ascii="Arial" w:cs="Arial" w:eastAsia="Arial" w:hAnsi="Arial"/>
          <w:sz w:val="17"/>
          <w:szCs w:val="17"/>
          <w:b w:val="1"/>
          <w:bCs w:val="1"/>
          <w:color w:val="auto"/>
        </w:rPr>
        <w:t xml:space="preserve"> Financial Institution</w:t>
      </w:r>
      <w:r>
        <w:rPr>
          <w:rFonts w:ascii="Arial" w:cs="Arial" w:eastAsia="Arial" w:hAnsi="Arial"/>
          <w:sz w:val="17"/>
          <w:szCs w:val="17"/>
          <w:color w:val="auto"/>
        </w:rPr>
        <w:t>, but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7"/>
          <w:szCs w:val="17"/>
          <w:b w:val="1"/>
          <w:bCs w:val="1"/>
          <w:color w:val="auto"/>
        </w:rPr>
        <w:t>Electronic Data Processor</w:t>
      </w:r>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ind w:left="980" w:right="500" w:hanging="544"/>
        <w:spacing w:after="0" w:line="277" w:lineRule="auto"/>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980" w:hanging="544"/>
        <w:spacing w:after="0"/>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right="140" w:hanging="433"/>
        <w:spacing w:after="0" w:line="263"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5" w:lineRule="exact"/>
        <w:rPr>
          <w:rFonts w:ascii="Arial" w:cs="Arial" w:eastAsia="Arial" w:hAnsi="Arial"/>
          <w:sz w:val="18"/>
          <w:szCs w:val="18"/>
          <w:color w:val="auto"/>
        </w:rPr>
      </w:pPr>
    </w:p>
    <w:p>
      <w:pPr>
        <w:ind w:left="1420" w:right="220" w:hanging="433"/>
        <w:spacing w:after="0" w:line="282"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1420" w:right="80" w:hanging="433"/>
        <w:spacing w:after="0" w:line="282"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1420" w:right="20" w:hanging="433"/>
        <w:spacing w:after="0" w:line="255"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any natural person assigned to perform the usual duties of an employee within the premises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under the Insured’s supervision, by contract, including such persons provided by any employment agency furnishing temporary personnel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on a contingent or part-time basis, and including a natural person who is leased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8" w:lineRule="exact"/>
        <w:rPr>
          <w:rFonts w:ascii="Arial" w:cs="Arial" w:eastAsia="Arial" w:hAnsi="Arial"/>
          <w:sz w:val="18"/>
          <w:szCs w:val="18"/>
          <w:color w:val="auto"/>
        </w:rPr>
      </w:pPr>
    </w:p>
    <w:p>
      <w:pPr>
        <w:ind w:left="1420" w:right="160" w:hanging="433"/>
        <w:spacing w:after="0" w:line="259"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10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8" w:name="page19"/>
    <w:bookmarkEnd w:id="18"/>
    <w:p>
      <w:pPr>
        <w:ind w:left="1420" w:right="140" w:hanging="433"/>
        <w:spacing w:after="0" w:line="261"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(each such</w:t>
      </w:r>
      <w:r>
        <w:rPr>
          <w:rFonts w:ascii="Arial" w:cs="Arial" w:eastAsia="Arial" w:hAnsi="Arial"/>
          <w:sz w:val="18"/>
          <w:szCs w:val="18"/>
          <w:b w:val="1"/>
          <w:bCs w:val="1"/>
          <w:color w:val="auto"/>
        </w:rPr>
        <w:t xml:space="preserve"> Electronic Data Processor</w:t>
      </w:r>
      <w:r>
        <w:rPr>
          <w:rFonts w:ascii="Arial" w:cs="Arial" w:eastAsia="Arial" w:hAnsi="Arial"/>
          <w:sz w:val="18"/>
          <w:szCs w:val="18"/>
          <w:color w:val="auto"/>
        </w:rPr>
        <w:t>, and the partners, officers and employees of such</w:t>
      </w:r>
      <w:r>
        <w:rPr>
          <w:rFonts w:ascii="Arial" w:cs="Arial" w:eastAsia="Arial" w:hAnsi="Arial"/>
          <w:sz w:val="18"/>
          <w:szCs w:val="18"/>
          <w:b w:val="1"/>
          <w:bCs w:val="1"/>
          <w:color w:val="auto"/>
        </w:rPr>
        <w:t xml:space="preserve"> 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 respect to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R.2.);</w:t>
      </w:r>
    </w:p>
    <w:p>
      <w:pPr>
        <w:spacing w:after="0" w:line="85" w:lineRule="exact"/>
        <w:rPr>
          <w:rFonts w:ascii="Arial" w:cs="Arial" w:eastAsia="Arial" w:hAnsi="Arial"/>
          <w:sz w:val="18"/>
          <w:szCs w:val="18"/>
          <w:color w:val="auto"/>
        </w:rPr>
      </w:pPr>
    </w:p>
    <w:p>
      <w:pPr>
        <w:ind w:left="1420" w:right="240" w:hanging="433"/>
        <w:spacing w:after="0" w:line="303" w:lineRule="auto"/>
        <w:tabs>
          <w:tab w:leader="none" w:pos="1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any director or trustee of an Insured,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underwriter (distributor), transfer agent, shareholder accounting record keeper, or administrator authorized by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of the Insured;</w:t>
      </w:r>
    </w:p>
    <w:p>
      <w:pPr>
        <w:spacing w:after="0" w:line="60" w:lineRule="exact"/>
        <w:rPr>
          <w:rFonts w:ascii="Arial" w:cs="Arial" w:eastAsia="Arial" w:hAnsi="Arial"/>
          <w:sz w:val="16"/>
          <w:szCs w:val="16"/>
          <w:color w:val="auto"/>
        </w:rPr>
      </w:pPr>
    </w:p>
    <w:p>
      <w:pPr>
        <w:ind w:left="1420" w:right="140" w:hanging="433"/>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1420" w:right="220" w:hanging="433"/>
        <w:spacing w:after="0" w:line="308" w:lineRule="auto"/>
        <w:tabs>
          <w:tab w:leader="none" w:pos="1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51" w:lineRule="exact"/>
        <w:rPr>
          <w:rFonts w:ascii="Arial" w:cs="Arial" w:eastAsia="Arial" w:hAnsi="Arial"/>
          <w:sz w:val="17"/>
          <w:szCs w:val="17"/>
          <w:color w:val="auto"/>
        </w:rPr>
      </w:pPr>
    </w:p>
    <w:p>
      <w:pPr>
        <w:ind w:left="1420" w:hanging="433"/>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7" w:lineRule="exact"/>
        <w:rPr>
          <w:sz w:val="20"/>
          <w:szCs w:val="20"/>
          <w:color w:val="auto"/>
        </w:rPr>
      </w:pPr>
    </w:p>
    <w:p>
      <w:pPr>
        <w:ind w:left="1420" w:hanging="433"/>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80" w:hanging="552"/>
        <w:spacing w:after="0"/>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1420" w:right="60"/>
        <w:spacing w:after="0" w:line="255" w:lineRule="auto"/>
        <w:rPr>
          <w:sz w:val="20"/>
          <w:szCs w:val="20"/>
          <w:color w:val="auto"/>
        </w:rPr>
      </w:pPr>
      <w:r>
        <w:rPr>
          <w:rFonts w:ascii="Arial" w:cs="Arial" w:eastAsia="Arial" w:hAnsi="Arial"/>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of any such Insured, provided that only employees or partners of a transfer agent, shareholder accounting record-keeper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administrator that is an affiliated person, as defined in the Investment Company Act of 1940, of an Insured or is an affiliated person of the </w:t>
      </w:r>
      <w:r>
        <w:rPr>
          <w:rFonts w:ascii="Arial" w:cs="Arial" w:eastAsia="Arial" w:hAnsi="Arial"/>
          <w:sz w:val="18"/>
          <w:szCs w:val="18"/>
          <w:b w:val="1"/>
          <w:bCs w:val="1"/>
          <w:color w:val="auto"/>
        </w:rPr>
        <w:t>Investment Adviser</w:t>
      </w:r>
      <w:r>
        <w:rPr>
          <w:rFonts w:ascii="Arial" w:cs="Arial" w:eastAsia="Arial" w:hAnsi="Arial"/>
          <w:sz w:val="18"/>
          <w:szCs w:val="18"/>
          <w:color w:val="auto"/>
        </w:rPr>
        <w:t>, underwriter or administrator of such Insured, and that is not a bank, will be included within the definition of Employee.</w:t>
      </w:r>
    </w:p>
    <w:p>
      <w:pPr>
        <w:spacing w:after="0" w:line="80" w:lineRule="exact"/>
        <w:rPr>
          <w:sz w:val="20"/>
          <w:szCs w:val="20"/>
          <w:color w:val="auto"/>
        </w:rPr>
      </w:pPr>
    </w:p>
    <w:p>
      <w:pPr>
        <w:ind w:left="980" w:right="18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of the same general character not specified above.</w:t>
      </w:r>
    </w:p>
    <w:p>
      <w:pPr>
        <w:spacing w:after="0" w:line="67" w:lineRule="exact"/>
        <w:rPr>
          <w:sz w:val="20"/>
          <w:szCs w:val="20"/>
          <w:color w:val="auto"/>
        </w:rPr>
      </w:pPr>
    </w:p>
    <w:p>
      <w:pPr>
        <w:ind w:left="980" w:right="40" w:hanging="544"/>
        <w:spacing w:after="0" w:line="266" w:lineRule="auto"/>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 customer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980" w:hanging="544"/>
        <w:spacing w:after="0"/>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80" w:type="dxa"/>
            <w:vAlign w:val="bottom"/>
            <w:tcBorders>
              <w:top w:val="single" w:sz="8" w:color="auto"/>
            </w:tcBorders>
          </w:tcPr>
          <w:p>
            <w:pPr>
              <w:ind w:left="3180"/>
              <w:spacing w:after="0" w:line="189" w:lineRule="exact"/>
              <w:rPr>
                <w:sz w:val="20"/>
                <w:szCs w:val="20"/>
                <w:color w:val="auto"/>
              </w:rPr>
            </w:pPr>
            <w:r>
              <w:rPr>
                <w:rFonts w:ascii="Arial" w:cs="Arial" w:eastAsia="Arial" w:hAnsi="Arial"/>
                <w:sz w:val="18"/>
                <w:szCs w:val="18"/>
                <w:color w:val="auto"/>
                <w:w w:val="87"/>
              </w:rPr>
              <w:t>Page 11 of 25</w:t>
            </w:r>
          </w:p>
        </w:tc>
      </w:tr>
      <w:tr>
        <w:trPr>
          <w:trHeight w:val="182"/>
        </w:trPr>
        <w:tc>
          <w:tcPr>
            <w:tcW w:w="684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8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9" w:name="page20"/>
    <w:bookmarkEnd w:id="19"/>
    <w:p>
      <w:pPr>
        <w:ind w:left="980" w:right="5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67" w:lineRule="exact"/>
        <w:rPr>
          <w:sz w:val="20"/>
          <w:szCs w:val="20"/>
          <w:color w:val="auto"/>
        </w:rPr>
      </w:pPr>
    </w:p>
    <w:p>
      <w:pPr>
        <w:ind w:left="980" w:right="240" w:hanging="544"/>
        <w:spacing w:after="0" w:line="282" w:lineRule="auto"/>
        <w:tabs>
          <w:tab w:leader="none" w:pos="9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authority, and with the intent to deceive.</w:t>
      </w:r>
    </w:p>
    <w:p>
      <w:pPr>
        <w:spacing w:after="0" w:line="57" w:lineRule="exact"/>
        <w:rPr>
          <w:rFonts w:ascii="Arial" w:cs="Arial" w:eastAsia="Arial" w:hAnsi="Arial"/>
          <w:sz w:val="18"/>
          <w:szCs w:val="18"/>
          <w:b w:val="1"/>
          <w:bCs w:val="1"/>
          <w:color w:val="auto"/>
        </w:rPr>
      </w:pPr>
    </w:p>
    <w:p>
      <w:pPr>
        <w:ind w:left="98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71" w:lineRule="exact"/>
        <w:rPr>
          <w:rFonts w:ascii="Arial" w:cs="Arial" w:eastAsia="Arial" w:hAnsi="Arial"/>
          <w:sz w:val="18"/>
          <w:szCs w:val="18"/>
          <w:b w:val="1"/>
          <w:bCs w:val="1"/>
          <w:color w:val="auto"/>
        </w:rPr>
      </w:pPr>
    </w:p>
    <w:p>
      <w:pPr>
        <w:ind w:left="980"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w:t>
      </w:r>
    </w:p>
    <w:p>
      <w:pPr>
        <w:spacing w:after="0" w:line="67" w:lineRule="exact"/>
        <w:rPr>
          <w:rFonts w:ascii="Arial" w:cs="Arial" w:eastAsia="Arial" w:hAnsi="Arial"/>
          <w:sz w:val="18"/>
          <w:szCs w:val="18"/>
          <w:b w:val="1"/>
          <w:bCs w:val="1"/>
          <w:color w:val="auto"/>
        </w:rPr>
      </w:pPr>
    </w:p>
    <w:p>
      <w:pPr>
        <w:ind w:left="980" w:right="180" w:hanging="544"/>
        <w:spacing w:after="0" w:line="282" w:lineRule="auto"/>
        <w:tabs>
          <w:tab w:leader="none" w:pos="9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1420" w:hanging="433"/>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1980" w:hanging="552"/>
        <w:spacing w:after="0"/>
        <w:tabs>
          <w:tab w:leader="none" w:pos="1980" w:val="left"/>
        </w:tabs>
        <w:numPr>
          <w:ilvl w:val="2"/>
          <w:numId w:val="33"/>
        </w:numPr>
        <w:rPr>
          <w:rFonts w:ascii="Arial" w:cs="Arial" w:eastAsia="Arial" w:hAnsi="Arial"/>
          <w:sz w:val="17"/>
          <w:szCs w:val="17"/>
          <w:color w:val="auto"/>
        </w:rPr>
      </w:pPr>
      <w:r>
        <w:rPr>
          <w:rFonts w:ascii="Arial" w:cs="Arial" w:eastAsia="Arial" w:hAnsi="Arial"/>
          <w:sz w:val="17"/>
          <w:szCs w:val="17"/>
          <w:color w:val="auto"/>
        </w:rPr>
        <w:t xml:space="preserve">purports and reasonably appears to be from a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a </w:t>
      </w:r>
      <w:r>
        <w:rPr>
          <w:rFonts w:ascii="Arial" w:cs="Arial" w:eastAsia="Arial" w:hAnsi="Arial"/>
          <w:sz w:val="17"/>
          <w:szCs w:val="17"/>
          <w:b w:val="1"/>
          <w:bCs w:val="1"/>
          <w:color w:val="auto"/>
        </w:rPr>
        <w:t>Financial Institution</w:t>
      </w:r>
      <w:r>
        <w:rPr>
          <w:rFonts w:ascii="Arial" w:cs="Arial" w:eastAsia="Arial" w:hAnsi="Arial"/>
          <w:sz w:val="17"/>
          <w:szCs w:val="17"/>
          <w:color w:val="auto"/>
        </w:rPr>
        <w:t>, or another office of the Insured;</w:t>
      </w:r>
    </w:p>
    <w:p>
      <w:pPr>
        <w:spacing w:after="0" w:line="142" w:lineRule="exact"/>
        <w:rPr>
          <w:rFonts w:ascii="Arial" w:cs="Arial" w:eastAsia="Arial" w:hAnsi="Arial"/>
          <w:sz w:val="17"/>
          <w:szCs w:val="17"/>
          <w:color w:val="auto"/>
        </w:rPr>
      </w:pPr>
    </w:p>
    <w:p>
      <w:pPr>
        <w:ind w:left="1980" w:hanging="552"/>
        <w:spacing w:after="0"/>
        <w:tabs>
          <w:tab w:leader="none" w:pos="1980" w:val="left"/>
        </w:tabs>
        <w:numPr>
          <w:ilvl w:val="2"/>
          <w:numId w:val="33"/>
        </w:numPr>
        <w:rPr>
          <w:rFonts w:ascii="Arial" w:cs="Arial" w:eastAsia="Arial" w:hAnsi="Arial"/>
          <w:sz w:val="16"/>
          <w:szCs w:val="16"/>
          <w:color w:val="auto"/>
        </w:rPr>
      </w:pPr>
      <w:r>
        <w:rPr>
          <w:rFonts w:ascii="Arial" w:cs="Arial" w:eastAsia="Arial" w:hAnsi="Arial"/>
          <w:sz w:val="16"/>
          <w:szCs w:val="16"/>
          <w:color w:val="auto"/>
        </w:rPr>
        <w:t xml:space="preserve">was in fact transmitted by someone other than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 </w:t>
      </w:r>
      <w:r>
        <w:rPr>
          <w:rFonts w:ascii="Arial" w:cs="Arial" w:eastAsia="Arial" w:hAnsi="Arial"/>
          <w:sz w:val="16"/>
          <w:szCs w:val="16"/>
          <w:b w:val="1"/>
          <w:bCs w:val="1"/>
          <w:color w:val="auto"/>
        </w:rPr>
        <w:t>Financial Institution</w:t>
      </w:r>
      <w:r>
        <w:rPr>
          <w:rFonts w:ascii="Arial" w:cs="Arial" w:eastAsia="Arial" w:hAnsi="Arial"/>
          <w:sz w:val="16"/>
          <w:szCs w:val="16"/>
          <w:color w:val="auto"/>
        </w:rPr>
        <w:t>, or another office of the Insured; and</w:t>
      </w:r>
    </w:p>
    <w:p>
      <w:pPr>
        <w:spacing w:after="0" w:line="157" w:lineRule="exact"/>
        <w:rPr>
          <w:rFonts w:ascii="Arial" w:cs="Arial" w:eastAsia="Arial" w:hAnsi="Arial"/>
          <w:sz w:val="16"/>
          <w:szCs w:val="16"/>
          <w:color w:val="auto"/>
        </w:rPr>
      </w:pPr>
    </w:p>
    <w:p>
      <w:pPr>
        <w:ind w:left="1980" w:right="420" w:hanging="552"/>
        <w:spacing w:after="0" w:line="277" w:lineRule="auto"/>
        <w:tabs>
          <w:tab w:leader="none" w:pos="1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1980" w:right="360" w:hanging="552"/>
        <w:spacing w:after="0" w:line="282" w:lineRule="auto"/>
        <w:tabs>
          <w:tab w:leader="none" w:pos="1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to make such a transfer;</w:t>
      </w:r>
    </w:p>
    <w:p>
      <w:pPr>
        <w:spacing w:after="0" w:line="67" w:lineRule="exact"/>
        <w:rPr>
          <w:rFonts w:ascii="Arial" w:cs="Arial" w:eastAsia="Arial" w:hAnsi="Arial"/>
          <w:sz w:val="18"/>
          <w:szCs w:val="18"/>
          <w:color w:val="auto"/>
        </w:rPr>
      </w:pPr>
    </w:p>
    <w:p>
      <w:pPr>
        <w:ind w:left="1980" w:hanging="552"/>
        <w:spacing w:after="0"/>
        <w:tabs>
          <w:tab w:leader="none" w:pos="1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ind w:left="1980" w:right="20" w:hanging="552"/>
        <w:spacing w:after="0" w:line="266" w:lineRule="auto"/>
        <w:tabs>
          <w:tab w:leader="none" w:pos="1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1420" w:right="820" w:hanging="433"/>
        <w:spacing w:after="0" w:line="282"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980" w:right="28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67" w:lineRule="exact"/>
        <w:rPr>
          <w:sz w:val="20"/>
          <w:szCs w:val="20"/>
          <w:color w:val="auto"/>
        </w:rPr>
      </w:pPr>
    </w:p>
    <w:p>
      <w:pPr>
        <w:ind w:left="980" w:hanging="544"/>
        <w:spacing w:after="0"/>
        <w:tabs>
          <w:tab w:leader="none" w:pos="9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b w:val="1"/>
          <w:bCs w:val="1"/>
          <w:color w:val="auto"/>
        </w:rPr>
      </w:pPr>
    </w:p>
    <w:p>
      <w:pPr>
        <w:ind w:left="1420" w:right="140" w:hanging="433"/>
        <w:spacing w:after="0" w:line="282" w:lineRule="auto"/>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1420" w:hanging="433"/>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12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0" w:name="page21"/>
    <w:bookmarkEnd w:id="20"/>
    <w:p>
      <w:pPr>
        <w:ind w:left="980" w:right="280" w:hanging="544"/>
        <w:spacing w:after="0" w:line="347" w:lineRule="auto"/>
        <w:tabs>
          <w:tab w:leader="none" w:pos="9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980" w:right="100" w:hanging="544"/>
        <w:spacing w:after="0" w:line="282" w:lineRule="auto"/>
        <w:tabs>
          <w:tab w:leader="none" w:pos="9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980" w:right="240" w:hanging="544"/>
        <w:spacing w:after="0" w:line="277" w:lineRule="auto"/>
        <w:tabs>
          <w:tab w:leader="none" w:pos="9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only while acting on behalf of the Insured.</w:t>
      </w:r>
    </w:p>
    <w:p>
      <w:pPr>
        <w:spacing w:after="0" w:line="76" w:lineRule="exact"/>
        <w:rPr>
          <w:sz w:val="20"/>
          <w:szCs w:val="20"/>
          <w:color w:val="auto"/>
        </w:rPr>
      </w:pPr>
    </w:p>
    <w:p>
      <w:pPr>
        <w:ind w:left="980" w:hanging="544"/>
        <w:spacing w:after="0"/>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Larceny or Embezzlement </w:t>
      </w:r>
      <w:r>
        <w:rPr>
          <w:rFonts w:ascii="Arial" w:cs="Arial" w:eastAsia="Arial" w:hAnsi="Arial"/>
          <w:sz w:val="17"/>
          <w:szCs w:val="17"/>
          <w:color w:val="auto"/>
        </w:rPr>
        <w:t>means larceny or embezzlement as defined in the Investment Company Act of 1940, §37 as amended.</w:t>
      </w:r>
    </w:p>
    <w:p>
      <w:pPr>
        <w:spacing w:after="0" w:line="138" w:lineRule="exact"/>
        <w:rPr>
          <w:rFonts w:ascii="Arial" w:cs="Arial" w:eastAsia="Arial" w:hAnsi="Arial"/>
          <w:sz w:val="17"/>
          <w:szCs w:val="17"/>
          <w:b w:val="1"/>
          <w:bCs w:val="1"/>
          <w:color w:val="auto"/>
        </w:rPr>
      </w:pPr>
    </w:p>
    <w:p>
      <w:pPr>
        <w:ind w:left="980" w:right="20" w:hanging="544"/>
        <w:spacing w:after="0" w:line="266" w:lineRule="auto"/>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or other person will honor drafts or other demands for payment upon compliance with the conditions specified in the</w:t>
      </w:r>
      <w:r>
        <w:rPr>
          <w:rFonts w:ascii="Arial" w:cs="Arial" w:eastAsia="Arial" w:hAnsi="Arial"/>
          <w:sz w:val="18"/>
          <w:szCs w:val="18"/>
          <w:b w:val="1"/>
          <w:bCs w:val="1"/>
          <w:color w:val="auto"/>
        </w:rPr>
        <w:t xml:space="preserve"> 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80" w:right="520" w:hanging="544"/>
        <w:spacing w:after="0" w:line="277" w:lineRule="auto"/>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ind w:left="980" w:right="40" w:hanging="544"/>
        <w:spacing w:after="0" w:line="266" w:lineRule="auto"/>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80" w:hanging="544"/>
        <w:spacing w:after="0"/>
        <w:tabs>
          <w:tab w:leader="none" w:pos="98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Money </w:t>
      </w:r>
      <w:r>
        <w:rPr>
          <w:rFonts w:ascii="Arial" w:cs="Arial" w:eastAsia="Arial" w:hAnsi="Arial"/>
          <w:sz w:val="16"/>
          <w:szCs w:val="16"/>
          <w:color w:val="auto"/>
        </w:rPr>
        <w:t>means a medium of exchange in current use authorized or adopted by a domestic or foreign government as a part of its currency.</w:t>
      </w:r>
    </w:p>
    <w:p>
      <w:pPr>
        <w:spacing w:after="0" w:line="149" w:lineRule="exact"/>
        <w:rPr>
          <w:rFonts w:ascii="Arial" w:cs="Arial" w:eastAsia="Arial" w:hAnsi="Arial"/>
          <w:sz w:val="16"/>
          <w:szCs w:val="16"/>
          <w:b w:val="1"/>
          <w:bCs w:val="1"/>
          <w:color w:val="auto"/>
        </w:rPr>
      </w:pPr>
    </w:p>
    <w:p>
      <w:pPr>
        <w:ind w:left="980" w:hanging="544"/>
        <w:spacing w:after="0"/>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1420" w:right="40" w:hanging="433"/>
        <w:spacing w:after="0" w:line="282"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420" w:hanging="433"/>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980" w:right="60" w:hanging="544"/>
        <w:spacing w:after="0" w:line="296" w:lineRule="auto"/>
        <w:tabs>
          <w:tab w:leader="none" w:pos="9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Network </w:t>
      </w:r>
      <w:r>
        <w:rPr>
          <w:rFonts w:ascii="Arial" w:cs="Arial" w:eastAsia="Arial" w:hAnsi="Arial"/>
          <w:sz w:val="16"/>
          <w:szCs w:val="16"/>
          <w:color w:val="auto"/>
        </w:rPr>
        <w:t>means any and all services provided by or through the facilities of any electronic or computer communication system,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6"/>
          <w:szCs w:val="16"/>
          <w:b w:val="1"/>
          <w:bCs w:val="1"/>
          <w:color w:val="auto"/>
        </w:rPr>
        <w:t>Computer System</w:t>
      </w:r>
      <w:r>
        <w:rPr>
          <w:rFonts w:ascii="Arial" w:cs="Arial" w:eastAsia="Arial" w:hAnsi="Arial"/>
          <w:sz w:val="16"/>
          <w:szCs w:val="16"/>
          <w:color w:val="auto"/>
        </w:rPr>
        <w:t>.</w:t>
      </w:r>
    </w:p>
    <w:p>
      <w:pPr>
        <w:spacing w:after="0" w:line="66" w:lineRule="exact"/>
        <w:rPr>
          <w:rFonts w:ascii="Arial" w:cs="Arial" w:eastAsia="Arial" w:hAnsi="Arial"/>
          <w:sz w:val="16"/>
          <w:szCs w:val="16"/>
          <w:b w:val="1"/>
          <w:bCs w:val="1"/>
          <w:color w:val="auto"/>
        </w:rPr>
      </w:pPr>
    </w:p>
    <w:p>
      <w:pPr>
        <w:ind w:left="980" w:hanging="544"/>
        <w:spacing w:after="0"/>
        <w:tabs>
          <w:tab w:leader="none" w:pos="9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Original </w:t>
      </w:r>
      <w:r>
        <w:rPr>
          <w:rFonts w:ascii="Arial" w:cs="Arial" w:eastAsia="Arial" w:hAnsi="Arial"/>
          <w:sz w:val="16"/>
          <w:szCs w:val="16"/>
          <w:color w:val="auto"/>
        </w:rPr>
        <w:t>means the first rendering or archetype and does not include photocopies or electronic transmissions even if received and printed.</w:t>
      </w:r>
    </w:p>
    <w:p>
      <w:pPr>
        <w:spacing w:after="0" w:line="153" w:lineRule="exact"/>
        <w:rPr>
          <w:rFonts w:ascii="Arial" w:cs="Arial" w:eastAsia="Arial" w:hAnsi="Arial"/>
          <w:sz w:val="16"/>
          <w:szCs w:val="16"/>
          <w:b w:val="1"/>
          <w:bCs w:val="1"/>
          <w:color w:val="auto"/>
        </w:rPr>
      </w:pPr>
    </w:p>
    <w:p>
      <w:pPr>
        <w:ind w:left="980" w:hanging="544"/>
        <w:spacing w:after="0"/>
        <w:tabs>
          <w:tab w:leader="none" w:pos="9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xml:space="preserve">1.   was provided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when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13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1" w:name="page22"/>
    <w:bookmarkEnd w:id="21"/>
    <w:p>
      <w:pPr>
        <w:ind w:left="1420" w:right="100" w:hanging="433"/>
        <w:spacing w:after="0" w:line="266"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physically present on the Insured’s or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premises and while presenting a government-issued photo identification;</w:t>
      </w:r>
    </w:p>
    <w:p>
      <w:pPr>
        <w:spacing w:after="0" w:line="81" w:lineRule="exact"/>
        <w:rPr>
          <w:rFonts w:ascii="Arial" w:cs="Arial" w:eastAsia="Arial" w:hAnsi="Arial"/>
          <w:sz w:val="18"/>
          <w:szCs w:val="18"/>
          <w:color w:val="auto"/>
        </w:rPr>
      </w:pPr>
    </w:p>
    <w:p>
      <w:pPr>
        <w:ind w:left="1420" w:hanging="433"/>
        <w:spacing w:after="0"/>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240" w:hanging="433"/>
        <w:spacing w:after="0" w:line="266"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1420" w:right="260" w:hanging="433"/>
        <w:spacing w:after="0" w:line="282"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80" w:right="100" w:hanging="544"/>
        <w:spacing w:after="0" w:line="277" w:lineRule="auto"/>
        <w:tabs>
          <w:tab w:leader="none" w:pos="98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Property </w:t>
      </w:r>
      <w:r>
        <w:rPr>
          <w:rFonts w:ascii="Arial" w:cs="Arial" w:eastAsia="Arial" w:hAnsi="Arial"/>
          <w:sz w:val="17"/>
          <w:szCs w:val="17"/>
          <w:color w:val="auto"/>
        </w:rPr>
        <w:t>means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Money, Certificated Securities, Uncertificated Securities, Negotiable Instruments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Certificates of Deposit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Documents of Title</w:t>
      </w:r>
      <w:r>
        <w:rPr>
          <w:rFonts w:ascii="Arial" w:cs="Arial" w:eastAsia="Arial" w:hAnsi="Arial"/>
          <w:sz w:val="17"/>
          <w:szCs w:val="17"/>
          <w:color w:val="auto"/>
        </w:rPr>
        <w:t>,</w:t>
      </w:r>
      <w:r>
        <w:rPr>
          <w:rFonts w:ascii="Arial" w:cs="Arial" w:eastAsia="Arial" w:hAnsi="Arial"/>
          <w:sz w:val="17"/>
          <w:szCs w:val="17"/>
          <w:b w:val="1"/>
          <w:bCs w:val="1"/>
          <w:color w:val="auto"/>
        </w:rPr>
        <w:t xml:space="preserve"> Acceptances</w:t>
      </w:r>
      <w:r>
        <w:rPr>
          <w:rFonts w:ascii="Arial" w:cs="Arial" w:eastAsia="Arial" w:hAnsi="Arial"/>
          <w:sz w:val="17"/>
          <w:szCs w:val="17"/>
          <w:color w:val="auto"/>
        </w:rPr>
        <w:t>,</w:t>
      </w:r>
      <w:r>
        <w:rPr>
          <w:rFonts w:ascii="Arial" w:cs="Arial" w:eastAsia="Arial" w:hAnsi="Arial"/>
          <w:sz w:val="17"/>
          <w:szCs w:val="17"/>
          <w:b w:val="1"/>
          <w:bCs w:val="1"/>
          <w:color w:val="auto"/>
        </w:rPr>
        <w:t xml:space="preserve"> Evidences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Security Agreements</w:t>
      </w:r>
      <w:r>
        <w:rPr>
          <w:rFonts w:ascii="Arial" w:cs="Arial" w:eastAsia="Arial" w:hAnsi="Arial"/>
          <w:sz w:val="17"/>
          <w:szCs w:val="17"/>
          <w:color w:val="auto"/>
        </w:rPr>
        <w:t>,</w:t>
      </w:r>
      <w:r>
        <w:rPr>
          <w:rFonts w:ascii="Arial" w:cs="Arial" w:eastAsia="Arial" w:hAnsi="Arial"/>
          <w:sz w:val="17"/>
          <w:szCs w:val="17"/>
          <w:b w:val="1"/>
          <w:bCs w:val="1"/>
          <w:color w:val="auto"/>
        </w:rPr>
        <w:t xml:space="preserve"> Withdrawal Orders</w:t>
      </w:r>
      <w:r>
        <w:rPr>
          <w:rFonts w:ascii="Arial" w:cs="Arial" w:eastAsia="Arial" w:hAnsi="Arial"/>
          <w:sz w:val="17"/>
          <w:szCs w:val="17"/>
          <w:color w:val="auto"/>
        </w:rPr>
        <w:t>,</w:t>
      </w:r>
      <w:r>
        <w:rPr>
          <w:rFonts w:ascii="Arial" w:cs="Arial" w:eastAsia="Arial" w:hAnsi="Arial"/>
          <w:sz w:val="17"/>
          <w:szCs w:val="17"/>
          <w:b w:val="1"/>
          <w:bCs w:val="1"/>
          <w:color w:val="auto"/>
        </w:rPr>
        <w:t xml:space="preserve"> Certificates of Origin or Title</w:t>
      </w:r>
      <w:r>
        <w:rPr>
          <w:rFonts w:ascii="Arial" w:cs="Arial" w:eastAsia="Arial" w:hAnsi="Arial"/>
          <w:sz w:val="17"/>
          <w:szCs w:val="17"/>
          <w:color w:val="auto"/>
        </w:rPr>
        <w:t>,</w:t>
      </w:r>
      <w:r>
        <w:rPr>
          <w:rFonts w:ascii="Arial" w:cs="Arial" w:eastAsia="Arial" w:hAnsi="Arial"/>
          <w:sz w:val="17"/>
          <w:szCs w:val="17"/>
          <w:b w:val="1"/>
          <w:bCs w:val="1"/>
          <w:color w:val="auto"/>
        </w:rPr>
        <w:t xml:space="preserve"> Letters of Credit</w:t>
      </w:r>
      <w:r>
        <w:rPr>
          <w:rFonts w:ascii="Arial" w:cs="Arial" w:eastAsia="Arial" w:hAnsi="Arial"/>
          <w:sz w:val="17"/>
          <w:szCs w:val="17"/>
          <w:color w:val="auto"/>
        </w:rPr>
        <w:t>, insurance policies, abstracts of title, deeds and mortgages on real estate, revenue and other stamps, tokens, unsold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lottery tickets, books of account and other records whether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or recorded electronically, gems, jewelry, precious metals of all kinds and in any form, and tangible items of personal property that are not hereinbefore enumerated.</w:t>
      </w:r>
    </w:p>
    <w:p>
      <w:pPr>
        <w:spacing w:after="0" w:line="73" w:lineRule="exact"/>
        <w:rPr>
          <w:rFonts w:ascii="Arial" w:cs="Arial" w:eastAsia="Arial" w:hAnsi="Arial"/>
          <w:sz w:val="17"/>
          <w:szCs w:val="17"/>
          <w:b w:val="1"/>
          <w:bCs w:val="1"/>
          <w:color w:val="auto"/>
        </w:rPr>
      </w:pPr>
    </w:p>
    <w:p>
      <w:pPr>
        <w:ind w:left="980" w:right="120" w:hanging="544"/>
        <w:spacing w:after="0" w:line="294" w:lineRule="auto"/>
        <w:tabs>
          <w:tab w:leader="none" w:pos="9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Restoration Expenses </w:t>
      </w:r>
      <w:r>
        <w:rPr>
          <w:rFonts w:ascii="Arial" w:cs="Arial" w:eastAsia="Arial" w:hAnsi="Arial"/>
          <w:sz w:val="16"/>
          <w:szCs w:val="16"/>
          <w:color w:val="auto"/>
        </w:rPr>
        <w:t>means reasonable costs incurred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consent, to restore, replace or reproduce damaged or destroyed computer programs, software or other electronic data stored within a </w:t>
      </w:r>
      <w:r>
        <w:rPr>
          <w:rFonts w:ascii="Arial" w:cs="Arial" w:eastAsia="Arial" w:hAnsi="Arial"/>
          <w:sz w:val="16"/>
          <w:szCs w:val="16"/>
          <w:b w:val="1"/>
          <w:bCs w:val="1"/>
          <w:color w:val="auto"/>
        </w:rPr>
        <w:t>Computer System</w:t>
      </w:r>
      <w:r>
        <w:rPr>
          <w:rFonts w:ascii="Arial" w:cs="Arial" w:eastAsia="Arial" w:hAnsi="Arial"/>
          <w:sz w:val="16"/>
          <w:szCs w:val="16"/>
          <w:color w:val="auto"/>
        </w:rPr>
        <w:t>, or that the Insured owns, holds or is responsible for, to the condition that existed immediately preceding a</w:t>
      </w:r>
      <w:r>
        <w:rPr>
          <w:rFonts w:ascii="Arial" w:cs="Arial" w:eastAsia="Arial" w:hAnsi="Arial"/>
          <w:sz w:val="16"/>
          <w:szCs w:val="16"/>
          <w:b w:val="1"/>
          <w:bCs w:val="1"/>
          <w:color w:val="auto"/>
        </w:rPr>
        <w:t xml:space="preserve"> Computer Violation</w:t>
      </w:r>
      <w:r>
        <w:rPr>
          <w:rFonts w:ascii="Arial" w:cs="Arial" w:eastAsia="Arial" w:hAnsi="Arial"/>
          <w:sz w:val="16"/>
          <w:szCs w:val="16"/>
          <w:color w:val="auto"/>
        </w:rPr>
        <w:t>; provided that if it is determined by the Insured or</w:t>
      </w:r>
      <w:r>
        <w:rPr>
          <w:rFonts w:ascii="Arial" w:cs="Arial" w:eastAsia="Arial" w:hAnsi="Arial"/>
          <w:sz w:val="16"/>
          <w:szCs w:val="16"/>
          <w:b w:val="1"/>
          <w:bCs w:val="1"/>
          <w:color w:val="auto"/>
        </w:rPr>
        <w:t xml:space="preserve"> Investment Adviser </w:t>
      </w:r>
      <w:r>
        <w:rPr>
          <w:rFonts w:ascii="Arial" w:cs="Arial" w:eastAsia="Arial" w:hAnsi="Arial"/>
          <w:sz w:val="16"/>
          <w:szCs w:val="16"/>
          <w:color w:val="auto"/>
        </w:rPr>
        <w:t>that such computer programs, software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electronic data cannot reasonably be restored, replaced or reproduced, then </w:t>
      </w:r>
      <w:r>
        <w:rPr>
          <w:rFonts w:ascii="Arial" w:cs="Arial" w:eastAsia="Arial" w:hAnsi="Arial"/>
          <w:sz w:val="16"/>
          <w:szCs w:val="16"/>
          <w:b w:val="1"/>
          <w:bCs w:val="1"/>
          <w:color w:val="auto"/>
        </w:rPr>
        <w:t>Restoration Expenses</w:t>
      </w:r>
      <w:r>
        <w:rPr>
          <w:rFonts w:ascii="Arial" w:cs="Arial" w:eastAsia="Arial" w:hAnsi="Arial"/>
          <w:sz w:val="16"/>
          <w:szCs w:val="16"/>
          <w:color w:val="auto"/>
        </w:rPr>
        <w:t xml:space="preserve"> means only the reasonable costs incurred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 consent, to reach such determination.</w:t>
      </w:r>
    </w:p>
    <w:p>
      <w:pPr>
        <w:spacing w:after="0" w:line="51"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6"/>
          <w:szCs w:val="16"/>
          <w:b w:val="1"/>
          <w:bCs w:val="1"/>
          <w:color w:val="auto"/>
        </w:rPr>
      </w:pPr>
    </w:p>
    <w:p>
      <w:pPr>
        <w:ind w:left="1420" w:right="180" w:hanging="433"/>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1420" w:right="300" w:hanging="433"/>
        <w:spacing w:after="0" w:line="263"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9" w:lineRule="exact"/>
        <w:rPr>
          <w:rFonts w:ascii="Arial" w:cs="Arial" w:eastAsia="Arial" w:hAnsi="Arial"/>
          <w:sz w:val="18"/>
          <w:szCs w:val="18"/>
          <w:color w:val="auto"/>
        </w:rPr>
      </w:pPr>
    </w:p>
    <w:p>
      <w:pPr>
        <w:ind w:left="1420" w:right="400" w:hanging="433"/>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1420" w:right="540" w:hanging="433"/>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980" w:right="520" w:hanging="544"/>
        <w:spacing w:after="0" w:line="282" w:lineRule="auto"/>
        <w:tabs>
          <w:tab w:leader="none" w:pos="9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jc w:val="both"/>
        <w:ind w:left="980" w:right="300" w:hanging="544"/>
        <w:spacing w:after="0" w:line="266" w:lineRule="auto"/>
        <w:tabs>
          <w:tab w:leader="none" w:pos="9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1420" w:hanging="433"/>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14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2" w:name="page23"/>
    <w:bookmarkEnd w:id="22"/>
    <w:p>
      <w:pPr>
        <w:ind w:left="980" w:hanging="544"/>
        <w:spacing w:after="0"/>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980" w:hanging="544"/>
        <w:spacing w:after="0"/>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 Written statement of the issuer of an Uncertificated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420" w:hanging="43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1420" w:right="500" w:hanging="433"/>
        <w:spacing w:after="0" w:line="282"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1420" w:hanging="43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980" w:right="200" w:hanging="544"/>
        <w:spacing w:after="0" w:line="213" w:lineRule="auto"/>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Substitute Check means a paper reproduction of an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check as defined in the Check Clearing for the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Century Act of 2003, as amended.</w:t>
      </w:r>
    </w:p>
    <w:p>
      <w:pPr>
        <w:spacing w:after="0" w:line="108" w:lineRule="exact"/>
        <w:rPr>
          <w:rFonts w:ascii="Arial" w:cs="Arial" w:eastAsia="Arial" w:hAnsi="Arial"/>
          <w:sz w:val="18"/>
          <w:szCs w:val="18"/>
          <w:b w:val="1"/>
          <w:bCs w:val="1"/>
          <w:color w:val="auto"/>
        </w:rPr>
      </w:pPr>
    </w:p>
    <w:p>
      <w:pPr>
        <w:ind w:left="980" w:right="540" w:hanging="544"/>
        <w:spacing w:after="0" w:line="277" w:lineRule="auto"/>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980" w:right="220" w:hanging="544"/>
        <w:spacing w:after="0" w:line="277" w:lineRule="auto"/>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right="520" w:hanging="433"/>
        <w:spacing w:after="0" w:line="282"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1420" w:right="40" w:hanging="433"/>
        <w:spacing w:after="0" w:line="277"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38" w:lineRule="exact"/>
        <w:rPr>
          <w:rFonts w:ascii="Arial" w:cs="Arial" w:eastAsia="Arial" w:hAnsi="Arial"/>
          <w:sz w:val="17"/>
          <w:szCs w:val="17"/>
          <w:color w:val="auto"/>
        </w:rPr>
      </w:pPr>
    </w:p>
    <w:p>
      <w:pPr>
        <w:ind w:left="980" w:right="880" w:hanging="544"/>
        <w:spacing w:after="0" w:line="282" w:lineRule="auto"/>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authorizing 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980" w:right="60" w:hanging="544"/>
        <w:spacing w:after="0" w:line="308" w:lineRule="auto"/>
        <w:tabs>
          <w:tab w:leader="none" w:pos="98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15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23" w:name="page24"/>
    <w:bookmarkEnd w:id="23"/>
    <w:p>
      <w:pPr>
        <w:ind w:left="444" w:hanging="444"/>
        <w:spacing w:after="0"/>
        <w:tabs>
          <w:tab w:leader="none" w:pos="44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EXCLUSIONS</w:t>
      </w:r>
    </w:p>
    <w:p>
      <w:pPr>
        <w:spacing w:after="0" w:line="202" w:lineRule="exact"/>
        <w:rPr>
          <w:rFonts w:ascii="Arial" w:cs="Arial" w:eastAsia="Arial" w:hAnsi="Arial"/>
          <w:sz w:val="18"/>
          <w:szCs w:val="18"/>
          <w:b w:val="1"/>
          <w:bCs w:val="1"/>
          <w:color w:val="auto"/>
        </w:rPr>
      </w:pPr>
    </w:p>
    <w:p>
      <w:pPr>
        <w:ind w:left="984" w:right="60" w:hanging="544"/>
        <w:spacing w:after="0" w:line="277" w:lineRule="auto"/>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984" w:right="80" w:hanging="544"/>
        <w:spacing w:after="0" w:line="257" w:lineRule="auto"/>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93" w:lineRule="exact"/>
        <w:rPr>
          <w:rFonts w:ascii="Arial" w:cs="Arial" w:eastAsia="Arial" w:hAnsi="Arial"/>
          <w:sz w:val="18"/>
          <w:szCs w:val="18"/>
          <w:b w:val="1"/>
          <w:bCs w:val="1"/>
          <w:color w:val="auto"/>
        </w:rPr>
      </w:pPr>
    </w:p>
    <w:p>
      <w:pPr>
        <w:ind w:left="984" w:right="780" w:hanging="544"/>
        <w:spacing w:after="0" w:line="277" w:lineRule="auto"/>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984" w:right="300" w:hanging="544"/>
        <w:spacing w:after="0" w:line="301" w:lineRule="auto"/>
        <w:tabs>
          <w:tab w:leader="none" w:pos="984" w:val="left"/>
        </w:tabs>
        <w:numPr>
          <w:ilvl w:val="1"/>
          <w:numId w:val="42"/>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the Insured, except when performing acts coming within the scope of the usual duties of an </w:t>
      </w:r>
      <w:r>
        <w:rPr>
          <w:rFonts w:ascii="Arial" w:cs="Arial" w:eastAsia="Arial" w:hAnsi="Arial"/>
          <w:sz w:val="16"/>
          <w:szCs w:val="16"/>
          <w:b w:val="1"/>
          <w:bCs w:val="1"/>
          <w:color w:val="auto"/>
        </w:rPr>
        <w:t>Employee</w:t>
      </w:r>
      <w:r>
        <w:rPr>
          <w:rFonts w:ascii="Arial" w:cs="Arial" w:eastAsia="Arial" w:hAnsi="Arial"/>
          <w:sz w:val="16"/>
          <w:szCs w:val="16"/>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58" w:lineRule="exact"/>
        <w:rPr>
          <w:rFonts w:ascii="Arial" w:cs="Arial" w:eastAsia="Arial" w:hAnsi="Arial"/>
          <w:sz w:val="16"/>
          <w:szCs w:val="16"/>
          <w:b w:val="1"/>
          <w:bCs w:val="1"/>
          <w:color w:val="auto"/>
        </w:rPr>
      </w:pPr>
    </w:p>
    <w:p>
      <w:pPr>
        <w:ind w:left="984" w:right="20" w:hanging="544"/>
        <w:spacing w:after="0" w:line="303" w:lineRule="auto"/>
        <w:tabs>
          <w:tab w:leader="none" w:pos="984" w:val="left"/>
        </w:tabs>
        <w:numPr>
          <w:ilvl w:val="1"/>
          <w:numId w:val="42"/>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the complete or partial non-payment of, or default upon,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6"/>
          <w:szCs w:val="16"/>
          <w:b w:val="1"/>
          <w:bCs w:val="1"/>
          <w:color w:val="auto"/>
        </w:rPr>
        <w:t>Evidences of Debt</w:t>
      </w:r>
      <w:r>
        <w:rPr>
          <w:rFonts w:ascii="Arial" w:cs="Arial" w:eastAsia="Arial" w:hAnsi="Arial"/>
          <w:sz w:val="16"/>
          <w:szCs w:val="16"/>
          <w:color w:val="auto"/>
        </w:rPr>
        <w:t xml:space="preserve">, whether such </w:t>
      </w:r>
      <w:r>
        <w:rPr>
          <w:rFonts w:ascii="Arial" w:cs="Arial" w:eastAsia="Arial" w:hAnsi="Arial"/>
          <w:sz w:val="16"/>
          <w:szCs w:val="16"/>
          <w:b w:val="1"/>
          <w:bCs w:val="1"/>
          <w:color w:val="auto"/>
        </w:rPr>
        <w:t>Loan</w:t>
      </w:r>
      <w:r>
        <w:rPr>
          <w:rFonts w:ascii="Arial" w:cs="Arial" w:eastAsia="Arial" w:hAnsi="Arial"/>
          <w:sz w:val="16"/>
          <w:szCs w:val="16"/>
          <w:color w:val="auto"/>
        </w:rPr>
        <w:t>, transaction or extension was procured in good faith or through trick, artifice, fraud, or false pretenses, except when covered under Insuring Agreement A or E.</w:t>
      </w:r>
    </w:p>
    <w:p>
      <w:pPr>
        <w:spacing w:after="0" w:line="56" w:lineRule="exact"/>
        <w:rPr>
          <w:rFonts w:ascii="Arial" w:cs="Arial" w:eastAsia="Arial" w:hAnsi="Arial"/>
          <w:sz w:val="16"/>
          <w:szCs w:val="16"/>
          <w:b w:val="1"/>
          <w:bCs w:val="1"/>
          <w:color w:val="auto"/>
        </w:rPr>
      </w:pPr>
    </w:p>
    <w:p>
      <w:pPr>
        <w:ind w:left="984" w:hanging="544"/>
        <w:spacing w:after="0"/>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1424" w:hanging="433"/>
        <w:spacing w:after="0"/>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1424" w:right="920" w:hanging="433"/>
        <w:spacing w:after="0" w:line="277" w:lineRule="auto"/>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4" w:right="280" w:hanging="544"/>
        <w:spacing w:after="0" w:line="277" w:lineRule="auto"/>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1424" w:hanging="433"/>
        <w:spacing w:after="0"/>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1424" w:right="640" w:hanging="433"/>
        <w:spacing w:after="0" w:line="277" w:lineRule="auto"/>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-4682490</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2" w:lineRule="exact"/>
        <w:rPr>
          <w:sz w:val="20"/>
          <w:szCs w:val="20"/>
          <w:color w:val="auto"/>
        </w:rPr>
      </w:pPr>
    </w:p>
    <w:p>
      <w:pPr>
        <w:ind w:left="984" w:right="16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984" w:right="120" w:hanging="544"/>
        <w:spacing w:after="0" w:line="282" w:lineRule="auto"/>
        <w:tabs>
          <w:tab w:leader="none" w:pos="984"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1424" w:right="260" w:hanging="433"/>
        <w:spacing w:after="0" w:line="282" w:lineRule="auto"/>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1424" w:hanging="433"/>
        <w:spacing w:after="0"/>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16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4"/>
          </w:cols>
          <w:pgMar w:left="436" w:top="486" w:right="439" w:bottom="1440" w:gutter="0" w:footer="0" w:header="0"/>
        </w:sectPr>
      </w:pPr>
    </w:p>
    <w:bookmarkStart w:id="24" w:name="page25"/>
    <w:bookmarkEnd w:id="2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980" w:right="20" w:hanging="544"/>
        <w:spacing w:after="0" w:line="259" w:lineRule="auto"/>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980" w:right="80" w:hanging="544"/>
        <w:spacing w:after="0" w:line="257" w:lineRule="auto"/>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980" w:right="260" w:hanging="544"/>
        <w:spacing w:after="0" w:line="308" w:lineRule="auto"/>
        <w:tabs>
          <w:tab w:leader="none" w:pos="98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E or F.</w:t>
      </w:r>
    </w:p>
    <w:p>
      <w:pPr>
        <w:spacing w:after="0" w:line="47" w:lineRule="exact"/>
        <w:rPr>
          <w:rFonts w:ascii="Arial" w:cs="Arial" w:eastAsia="Arial" w:hAnsi="Arial"/>
          <w:sz w:val="17"/>
          <w:szCs w:val="17"/>
          <w:b w:val="1"/>
          <w:bCs w:val="1"/>
          <w:color w:val="auto"/>
        </w:rPr>
      </w:pPr>
    </w:p>
    <w:p>
      <w:pPr>
        <w:ind w:left="980" w:hanging="544"/>
        <w:spacing w:after="0"/>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420" w:right="40" w:hanging="433"/>
        <w:spacing w:after="0" w:line="266"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1420" w:hanging="433"/>
        <w:spacing w:after="0"/>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exceptwhen covered under Insuring Agreement A.</w:t>
      </w:r>
    </w:p>
    <w:p>
      <w:pPr>
        <w:spacing w:after="0" w:line="131" w:lineRule="exact"/>
        <w:rPr>
          <w:sz w:val="20"/>
          <w:szCs w:val="20"/>
          <w:color w:val="auto"/>
        </w:rPr>
      </w:pPr>
    </w:p>
    <w:p>
      <w:pPr>
        <w:ind w:left="980" w:hanging="544"/>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980" w:right="620" w:hanging="544"/>
        <w:spacing w:after="0" w:line="277" w:lineRule="auto"/>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980" w:right="500" w:hanging="544"/>
        <w:spacing w:after="0" w:line="277" w:lineRule="auto"/>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980" w:hanging="544"/>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980" w:hanging="544"/>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right="420" w:hanging="433"/>
        <w:spacing w:after="0" w:line="277" w:lineRule="auto"/>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980" w:right="30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980" w:right="480" w:hanging="544"/>
        <w:spacing w:after="0" w:line="263" w:lineRule="auto"/>
        <w:tabs>
          <w:tab w:leader="none" w:pos="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5" w:lineRule="exact"/>
        <w:rPr>
          <w:rFonts w:ascii="Arial" w:cs="Arial" w:eastAsia="Arial" w:hAnsi="Arial"/>
          <w:sz w:val="18"/>
          <w:szCs w:val="18"/>
          <w:b w:val="1"/>
          <w:bCs w:val="1"/>
          <w:color w:val="auto"/>
        </w:rPr>
      </w:pPr>
    </w:p>
    <w:p>
      <w:pPr>
        <w:ind w:left="980" w:right="140" w:hanging="544"/>
        <w:spacing w:after="0" w:line="282" w:lineRule="auto"/>
        <w:tabs>
          <w:tab w:leader="none" w:pos="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17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25" w:name="page26"/>
    <w:bookmarkEnd w:id="25"/>
    <w:p>
      <w:pPr>
        <w:ind w:left="980" w:hanging="544"/>
        <w:spacing w:after="0"/>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1420" w:right="40" w:hanging="433"/>
        <w:spacing w:after="0" w:line="277" w:lineRule="auto"/>
        <w:tabs>
          <w:tab w:leader="none" w:pos="14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resulting directly or indirectly from entries or changes made by an individual authorized to have access to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to design, develop, prepare, supply, service, write, or implement programs for the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77" w:lineRule="exact"/>
        <w:rPr>
          <w:rFonts w:ascii="Arial" w:cs="Arial" w:eastAsia="Arial" w:hAnsi="Arial"/>
          <w:sz w:val="17"/>
          <w:szCs w:val="17"/>
          <w:color w:val="auto"/>
        </w:rPr>
      </w:pPr>
    </w:p>
    <w:p>
      <w:pPr>
        <w:jc w:val="both"/>
        <w:ind w:left="1420" w:right="280" w:hanging="433"/>
        <w:spacing w:after="0" w:line="263"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5" w:lineRule="exact"/>
        <w:rPr>
          <w:rFonts w:ascii="Arial" w:cs="Arial" w:eastAsia="Arial" w:hAnsi="Arial"/>
          <w:sz w:val="18"/>
          <w:szCs w:val="18"/>
          <w:color w:val="auto"/>
        </w:rPr>
      </w:pPr>
    </w:p>
    <w:p>
      <w:pPr>
        <w:ind w:left="1420" w:right="80" w:hanging="433"/>
        <w:spacing w:after="0" w:line="266"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automated clearing house, except when covered under Insuring Agreement I.2.</w:t>
      </w:r>
    </w:p>
    <w:p>
      <w:pPr>
        <w:spacing w:after="0" w:line="81" w:lineRule="exact"/>
        <w:rPr>
          <w:rFonts w:ascii="Arial" w:cs="Arial" w:eastAsia="Arial" w:hAnsi="Arial"/>
          <w:sz w:val="18"/>
          <w:szCs w:val="18"/>
          <w:color w:val="auto"/>
        </w:rPr>
      </w:pPr>
    </w:p>
    <w:p>
      <w:pPr>
        <w:ind w:left="980" w:right="500" w:hanging="544"/>
        <w:spacing w:after="0" w:line="282"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except when covered under Insuring Agreement A, B, or I.</w:t>
      </w:r>
    </w:p>
    <w:p>
      <w:pPr>
        <w:spacing w:after="0" w:line="71" w:lineRule="exact"/>
        <w:rPr>
          <w:rFonts w:ascii="Arial" w:cs="Arial" w:eastAsia="Arial" w:hAnsi="Arial"/>
          <w:sz w:val="18"/>
          <w:szCs w:val="18"/>
          <w:b w:val="1"/>
          <w:bCs w:val="1"/>
          <w:color w:val="auto"/>
        </w:rPr>
      </w:pPr>
    </w:p>
    <w:p>
      <w:pPr>
        <w:ind w:left="980" w:right="80" w:hanging="544"/>
        <w:spacing w:after="0" w:line="263"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I.2., in addition to all of the other exclusions, loss resulting directly or indirectly from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9" w:lineRule="exact"/>
        <w:rPr>
          <w:rFonts w:ascii="Arial" w:cs="Arial" w:eastAsia="Arial" w:hAnsi="Arial"/>
          <w:sz w:val="18"/>
          <w:szCs w:val="18"/>
          <w:b w:val="1"/>
          <w:bCs w:val="1"/>
          <w:color w:val="auto"/>
        </w:rPr>
      </w:pPr>
    </w:p>
    <w:p>
      <w:pPr>
        <w:ind w:left="980" w:right="80" w:hanging="544"/>
        <w:spacing w:after="0" w:line="257"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980" w:right="60" w:hanging="544"/>
        <w:spacing w:after="0" w:line="259"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92" w:lineRule="exact"/>
        <w:rPr>
          <w:rFonts w:ascii="Arial" w:cs="Arial" w:eastAsia="Arial" w:hAnsi="Arial"/>
          <w:sz w:val="18"/>
          <w:szCs w:val="18"/>
          <w:b w:val="1"/>
          <w:bCs w:val="1"/>
          <w:color w:val="auto"/>
        </w:rPr>
      </w:pPr>
    </w:p>
    <w:p>
      <w:pPr>
        <w:ind w:left="980" w:right="20" w:hanging="544"/>
        <w:spacing w:after="0" w:line="277"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80" w:right="280" w:hanging="544"/>
        <w:spacing w:after="0" w:line="261"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5" w:lineRule="exact"/>
        <w:rPr>
          <w:sz w:val="20"/>
          <w:szCs w:val="20"/>
          <w:color w:val="auto"/>
        </w:rPr>
      </w:pPr>
    </w:p>
    <w:p>
      <w:pPr>
        <w:jc w:val="both"/>
        <w:ind w:left="980" w:right="240" w:hanging="544"/>
        <w:spacing w:after="0" w:line="281" w:lineRule="auto"/>
        <w:tabs>
          <w:tab w:leader="none" w:pos="98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980" w:right="320" w:hanging="544"/>
        <w:spacing w:after="0" w:line="281" w:lineRule="auto"/>
        <w:tabs>
          <w:tab w:leader="none" w:pos="98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from the unauthorized online </w:t>
      </w:r>
      <w:r>
        <w:rPr>
          <w:rFonts w:ascii="Arial" w:cs="Arial" w:eastAsia="Arial" w:hAnsi="Arial"/>
          <w:sz w:val="17"/>
          <w:szCs w:val="17"/>
          <w:b w:val="1"/>
          <w:bCs w:val="1"/>
          <w:color w:val="auto"/>
        </w:rPr>
        <w:t>Network</w:t>
      </w:r>
      <w:r>
        <w:rPr>
          <w:rFonts w:ascii="Arial" w:cs="Arial" w:eastAsia="Arial" w:hAnsi="Arial"/>
          <w:sz w:val="17"/>
          <w:szCs w:val="17"/>
          <w:color w:val="auto"/>
        </w:rPr>
        <w:t xml:space="preserve">,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18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26" w:name="page27"/>
    <w:bookmarkEnd w:id="26"/>
    <w:p>
      <w:pPr>
        <w:ind w:left="980" w:right="80" w:hanging="544"/>
        <w:spacing w:after="0" w:line="281" w:lineRule="auto"/>
        <w:tabs>
          <w:tab w:leader="none" w:pos="98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is adjudicated to have engaged in racketeering activity, except when the Insured establishes that the act or acts giving rise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980" w:right="380" w:hanging="544"/>
        <w:spacing w:after="0" w:line="282" w:lineRule="auto"/>
        <w:tabs>
          <w:tab w:leader="none" w:pos="9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980" w:right="300" w:hanging="544"/>
        <w:spacing w:after="0" w:line="263" w:lineRule="auto"/>
        <w:tabs>
          <w:tab w:leader="none" w:pos="9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5" w:lineRule="exact"/>
        <w:rPr>
          <w:rFonts w:ascii="Arial" w:cs="Arial" w:eastAsia="Arial" w:hAnsi="Arial"/>
          <w:sz w:val="18"/>
          <w:szCs w:val="18"/>
          <w:b w:val="1"/>
          <w:bCs w:val="1"/>
          <w:color w:val="auto"/>
        </w:rPr>
      </w:pPr>
    </w:p>
    <w:p>
      <w:pPr>
        <w:ind w:left="980" w:right="160" w:hanging="544"/>
        <w:spacing w:after="0" w:line="266" w:lineRule="auto"/>
        <w:tabs>
          <w:tab w:leader="none" w:pos="9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either on the premises of a customer of the Insured or under the control of such a customer, by a customer or other person who had authorized access to the customer’s authentication mechanism.</w:t>
      </w:r>
    </w:p>
    <w:p>
      <w:pPr>
        <w:spacing w:after="0" w:line="32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0"/>
          <w:szCs w:val="20"/>
          <w:color w:val="auto"/>
        </w:rPr>
      </w:pPr>
    </w:p>
    <w:p>
      <w:pPr>
        <w:ind w:left="980" w:hanging="544"/>
        <w:spacing w:after="0"/>
        <w:tabs>
          <w:tab w:leader="none" w:pos="9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1420" w:right="240" w:hanging="433"/>
        <w:spacing w:after="0" w:line="277" w:lineRule="auto"/>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1420" w:right="60" w:hanging="433"/>
        <w:spacing w:after="0" w:line="275" w:lineRule="auto"/>
        <w:tabs>
          <w:tab w:leader="none" w:pos="14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81" w:lineRule="exact"/>
        <w:rPr>
          <w:rFonts w:ascii="Arial" w:cs="Arial" w:eastAsia="Arial" w:hAnsi="Arial"/>
          <w:sz w:val="17"/>
          <w:szCs w:val="17"/>
          <w:color w:val="auto"/>
        </w:rPr>
      </w:pPr>
    </w:p>
    <w:p>
      <w:pPr>
        <w:ind w:left="1420" w:hanging="433"/>
        <w:spacing w:after="0"/>
        <w:tabs>
          <w:tab w:leader="none" w:pos="14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Company will not be responsible for the proper application of any payment made hereunder to the first named Insured; and</w:t>
      </w:r>
    </w:p>
    <w:p>
      <w:pPr>
        <w:spacing w:after="0" w:line="138" w:lineRule="exact"/>
        <w:rPr>
          <w:rFonts w:ascii="Arial" w:cs="Arial" w:eastAsia="Arial" w:hAnsi="Arial"/>
          <w:sz w:val="17"/>
          <w:szCs w:val="17"/>
          <w:color w:val="auto"/>
        </w:rPr>
      </w:pPr>
    </w:p>
    <w:p>
      <w:pPr>
        <w:ind w:left="1420" w:right="340" w:hanging="433"/>
        <w:spacing w:after="0" w:line="312" w:lineRule="auto"/>
        <w:tabs>
          <w:tab w:leader="none" w:pos="14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45" w:lineRule="exact"/>
        <w:rPr>
          <w:rFonts w:ascii="Arial" w:cs="Arial" w:eastAsia="Arial" w:hAnsi="Arial"/>
          <w:sz w:val="17"/>
          <w:szCs w:val="17"/>
          <w:color w:val="auto"/>
        </w:rPr>
      </w:pPr>
    </w:p>
    <w:p>
      <w:pPr>
        <w:ind w:left="980" w:hanging="544"/>
        <w:spacing w:after="0"/>
        <w:tabs>
          <w:tab w:leader="none" w:pos="9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98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71" w:lineRule="exact"/>
        <w:rPr>
          <w:rFonts w:ascii="Arial" w:cs="Arial" w:eastAsia="Arial" w:hAnsi="Arial"/>
          <w:sz w:val="18"/>
          <w:szCs w:val="18"/>
          <w:b w:val="1"/>
          <w:bCs w:val="1"/>
          <w:color w:val="auto"/>
        </w:rPr>
      </w:pPr>
    </w:p>
    <w:p>
      <w:pPr>
        <w:ind w:left="980" w:right="16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19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7" w:name="page28"/>
    <w:bookmarkEnd w:id="27"/>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980" w:right="4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1" w:lineRule="exact"/>
        <w:rPr>
          <w:rFonts w:ascii="Arial" w:cs="Arial" w:eastAsia="Arial" w:hAnsi="Arial"/>
          <w:sz w:val="18"/>
          <w:szCs w:val="18"/>
          <w:b w:val="1"/>
          <w:bCs w:val="1"/>
          <w:color w:val="auto"/>
        </w:rPr>
      </w:pPr>
    </w:p>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980" w:right="4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1420" w:right="140" w:hanging="433"/>
        <w:spacing w:after="0" w:line="282"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20" w:right="180" w:hanging="433"/>
        <w:spacing w:after="0" w:line="282"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1420" w:hanging="433"/>
        <w:spacing w:after="0"/>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126" w:lineRule="exact"/>
        <w:rPr>
          <w:rFonts w:ascii="Arial" w:cs="Arial" w:eastAsia="Arial" w:hAnsi="Arial"/>
          <w:sz w:val="18"/>
          <w:szCs w:val="18"/>
          <w:color w:val="auto"/>
        </w:rPr>
      </w:pPr>
    </w:p>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980" w:right="8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Company’s liability for each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applicable Single Loss Limit of Insurance set forth in ITEM 4 of the Declarations. If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largest applicable Single Loss Limit of Insurance.</w:t>
      </w:r>
    </w:p>
    <w:p>
      <w:pPr>
        <w:spacing w:after="0" w:line="56" w:lineRule="exact"/>
        <w:rPr>
          <w:rFonts w:ascii="Arial" w:cs="Arial" w:eastAsia="Arial" w:hAnsi="Arial"/>
          <w:sz w:val="18"/>
          <w:szCs w:val="18"/>
          <w:b w:val="1"/>
          <w:bCs w:val="1"/>
          <w:color w:val="auto"/>
        </w:rPr>
      </w:pPr>
    </w:p>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980" w:right="500"/>
        <w:spacing w:after="0" w:line="312"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1" w:lineRule="exact"/>
        <w:rPr>
          <w:rFonts w:ascii="Arial" w:cs="Arial" w:eastAsia="Arial" w:hAnsi="Arial"/>
          <w:sz w:val="18"/>
          <w:szCs w:val="18"/>
          <w:b w:val="1"/>
          <w:bCs w:val="1"/>
          <w:color w:val="auto"/>
        </w:rPr>
      </w:pPr>
    </w:p>
    <w:p>
      <w:pPr>
        <w:ind w:left="98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ind w:left="980" w:right="1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50" w:lineRule="exact"/>
        <w:rPr>
          <w:rFonts w:ascii="Arial" w:cs="Arial" w:eastAsia="Arial" w:hAnsi="Arial"/>
          <w:sz w:val="18"/>
          <w:szCs w:val="18"/>
          <w:b w:val="1"/>
          <w:bCs w:val="1"/>
          <w:color w:val="auto"/>
        </w:rPr>
      </w:pPr>
    </w:p>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980" w:right="3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regardless of the number of years this bond is in force, the number of times this bond may be renewed or replaced, or the number of premiums that are payable or paid.</w:t>
      </w:r>
    </w:p>
    <w:p>
      <w:pPr>
        <w:spacing w:after="0" w:line="81" w:lineRule="exact"/>
        <w:rPr>
          <w:rFonts w:ascii="Arial" w:cs="Arial" w:eastAsia="Arial" w:hAnsi="Arial"/>
          <w:sz w:val="18"/>
          <w:szCs w:val="18"/>
          <w:b w:val="1"/>
          <w:bCs w:val="1"/>
          <w:color w:val="auto"/>
        </w:rPr>
      </w:pPr>
    </w:p>
    <w:p>
      <w:pPr>
        <w:ind w:left="980" w:hanging="54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color w:val="auto"/>
        </w:rPr>
      </w:pPr>
    </w:p>
    <w:p>
      <w:pPr>
        <w:ind w:left="1420" w:right="240" w:hanging="433"/>
        <w:spacing w:after="0" w:line="282"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20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8" w:name="page29"/>
    <w:bookmarkEnd w:id="28"/>
    <w:p>
      <w:pPr>
        <w:ind w:left="1420" w:right="160" w:hanging="433"/>
        <w:spacing w:after="0" w:line="282"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1420" w:right="140" w:hanging="433"/>
        <w:spacing w:after="0" w:line="282"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1420" w:hanging="433"/>
        <w:spacing w:after="0" w:line="25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1420" w:right="140" w:hanging="433"/>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1420" w:right="180" w:hanging="433"/>
        <w:spacing w:after="0" w:line="342" w:lineRule="auto"/>
        <w:tabs>
          <w:tab w:leader="none" w:pos="14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25" w:lineRule="exact"/>
        <w:rPr>
          <w:rFonts w:ascii="Arial" w:cs="Arial" w:eastAsia="Arial" w:hAnsi="Arial"/>
          <w:sz w:val="16"/>
          <w:szCs w:val="16"/>
          <w:color w:val="auto"/>
        </w:rPr>
      </w:pPr>
    </w:p>
    <w:p>
      <w:pPr>
        <w:ind w:left="980" w:hanging="54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1420" w:right="22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Any loss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loss payable in </w:t>
      </w:r>
      <w:r>
        <w:rPr>
          <w:rFonts w:ascii="Arial" w:cs="Arial" w:eastAsia="Arial" w:hAnsi="Arial"/>
          <w:sz w:val="16"/>
          <w:szCs w:val="16"/>
          <w:b w:val="1"/>
          <w:bCs w:val="1"/>
          <w:color w:val="auto"/>
        </w:rPr>
        <w:t>Money</w:t>
      </w:r>
      <w:r>
        <w:rPr>
          <w:rFonts w:ascii="Arial" w:cs="Arial" w:eastAsia="Arial" w:hAnsi="Arial"/>
          <w:sz w:val="16"/>
          <w:szCs w:val="16"/>
          <w:color w:val="auto"/>
        </w:rPr>
        <w:t xml:space="preserve">, will be paid, at the option of the Insured, in the </w:t>
      </w:r>
      <w:r>
        <w:rPr>
          <w:rFonts w:ascii="Arial" w:cs="Arial" w:eastAsia="Arial" w:hAnsi="Arial"/>
          <w:sz w:val="16"/>
          <w:szCs w:val="16"/>
          <w:b w:val="1"/>
          <w:bCs w:val="1"/>
          <w:color w:val="auto"/>
        </w:rPr>
        <w:t>Money</w:t>
      </w:r>
      <w:r>
        <w:rPr>
          <w:rFonts w:ascii="Arial" w:cs="Arial" w:eastAsia="Arial" w:hAnsi="Arial"/>
          <w:sz w:val="16"/>
          <w:szCs w:val="16"/>
          <w:color w:val="auto"/>
        </w:rPr>
        <w:t xml:space="preserve"> of the country in which the loss was sustained or in the U.S. dollar equivalent thereof determined at the rate of exchange at the time of payment of such loss.</w:t>
      </w:r>
    </w:p>
    <w:p>
      <w:pPr>
        <w:spacing w:after="0" w:line="25" w:lineRule="exact"/>
        <w:rPr>
          <w:rFonts w:ascii="Arial" w:cs="Arial" w:eastAsia="Arial" w:hAnsi="Arial"/>
          <w:sz w:val="18"/>
          <w:szCs w:val="18"/>
          <w:color w:val="auto"/>
        </w:rPr>
      </w:pPr>
    </w:p>
    <w:p>
      <w:pPr>
        <w:ind w:left="1420" w:hanging="433"/>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420" w:right="40"/>
        <w:spacing w:after="0" w:line="293" w:lineRule="auto"/>
        <w:rPr>
          <w:rFonts w:ascii="Arial" w:cs="Arial" w:eastAsia="Arial" w:hAnsi="Arial"/>
          <w:sz w:val="18"/>
          <w:szCs w:val="18"/>
          <w:color w:val="auto"/>
        </w:rPr>
      </w:pPr>
      <w:r>
        <w:rPr>
          <w:rFonts w:ascii="Arial" w:cs="Arial" w:eastAsia="Arial" w:hAnsi="Arial"/>
          <w:sz w:val="16"/>
          <w:szCs w:val="16"/>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56" w:lineRule="exact"/>
        <w:rPr>
          <w:rFonts w:ascii="Arial" w:cs="Arial" w:eastAsia="Arial" w:hAnsi="Arial"/>
          <w:sz w:val="18"/>
          <w:szCs w:val="18"/>
          <w:color w:val="auto"/>
        </w:rPr>
      </w:pPr>
    </w:p>
    <w:p>
      <w:pPr>
        <w:jc w:val="both"/>
        <w:ind w:left="1420" w:right="80"/>
        <w:spacing w:after="0" w:line="311" w:lineRule="auto"/>
        <w:rPr>
          <w:rFonts w:ascii="Arial" w:cs="Arial" w:eastAsia="Arial" w:hAnsi="Arial"/>
          <w:sz w:val="18"/>
          <w:szCs w:val="18"/>
          <w:color w:val="auto"/>
        </w:rPr>
      </w:pPr>
      <w:r>
        <w:rPr>
          <w:rFonts w:ascii="Arial" w:cs="Arial" w:eastAsia="Arial" w:hAnsi="Arial"/>
          <w:sz w:val="16"/>
          <w:szCs w:val="16"/>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0" w:lineRule="exact"/>
        <w:rPr>
          <w:rFonts w:ascii="Arial" w:cs="Arial" w:eastAsia="Arial" w:hAnsi="Arial"/>
          <w:sz w:val="18"/>
          <w:szCs w:val="18"/>
          <w:color w:val="auto"/>
        </w:rPr>
      </w:pPr>
    </w:p>
    <w:p>
      <w:pPr>
        <w:ind w:left="1420" w:right="100"/>
        <w:spacing w:after="0" w:line="273" w:lineRule="auto"/>
        <w:rPr>
          <w:rFonts w:ascii="Arial" w:cs="Arial" w:eastAsia="Arial" w:hAnsi="Arial"/>
          <w:sz w:val="18"/>
          <w:szCs w:val="18"/>
          <w:color w:val="auto"/>
        </w:rPr>
      </w:pPr>
      <w:r>
        <w:rPr>
          <w:rFonts w:ascii="Arial" w:cs="Arial" w:eastAsia="Arial" w:hAnsi="Arial"/>
          <w:sz w:val="17"/>
          <w:szCs w:val="17"/>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83" w:lineRule="exact"/>
        <w:rPr>
          <w:rFonts w:ascii="Arial" w:cs="Arial" w:eastAsia="Arial" w:hAnsi="Arial"/>
          <w:sz w:val="18"/>
          <w:szCs w:val="18"/>
          <w:color w:val="auto"/>
        </w:rPr>
      </w:pPr>
    </w:p>
    <w:p>
      <w:pPr>
        <w:ind w:left="1420" w:hanging="433"/>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1420" w:right="180"/>
        <w:spacing w:after="0" w:line="259" w:lineRule="auto"/>
        <w:rPr>
          <w:rFonts w:ascii="Arial" w:cs="Arial" w:eastAsia="Arial" w:hAnsi="Arial"/>
          <w:sz w:val="18"/>
          <w:szCs w:val="18"/>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21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9" w:name="page30"/>
    <w:bookmarkEnd w:id="29"/>
    <w:p>
      <w:pPr>
        <w:ind w:left="1420" w:hanging="433"/>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1420" w:right="48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In case of loss of, or damage to,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other than </w:t>
      </w:r>
      <w:r>
        <w:rPr>
          <w:rFonts w:ascii="Arial" w:cs="Arial" w:eastAsia="Arial" w:hAnsi="Arial"/>
          <w:sz w:val="17"/>
          <w:szCs w:val="17"/>
          <w:b w:val="1"/>
          <w:bCs w:val="1"/>
          <w:color w:val="auto"/>
        </w:rPr>
        <w:t>Money</w:t>
      </w:r>
      <w:r>
        <w:rPr>
          <w:rFonts w:ascii="Arial" w:cs="Arial" w:eastAsia="Arial" w:hAnsi="Arial"/>
          <w:sz w:val="17"/>
          <w:szCs w:val="17"/>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7"/>
          <w:szCs w:val="17"/>
          <w:b w:val="1"/>
          <w:bCs w:val="1"/>
          <w:color w:val="auto"/>
        </w:rPr>
        <w:t>Property</w:t>
      </w:r>
      <w:r>
        <w:rPr>
          <w:rFonts w:ascii="Arial" w:cs="Arial" w:eastAsia="Arial" w:hAnsi="Arial"/>
          <w:sz w:val="17"/>
          <w:szCs w:val="17"/>
          <w:color w:val="auto"/>
        </w:rPr>
        <w:t>. The Company may, at its election, pay the actual cash value of, repair or replace such</w:t>
      </w:r>
      <w:r>
        <w:rPr>
          <w:rFonts w:ascii="Arial" w:cs="Arial" w:eastAsia="Arial" w:hAnsi="Arial"/>
          <w:sz w:val="17"/>
          <w:szCs w:val="17"/>
          <w:b w:val="1"/>
          <w:bCs w:val="1"/>
          <w:color w:val="auto"/>
        </w:rPr>
        <w:t xml:space="preserve"> Property</w:t>
      </w:r>
      <w:r>
        <w:rPr>
          <w:rFonts w:ascii="Arial" w:cs="Arial" w:eastAsia="Arial" w:hAnsi="Arial"/>
          <w:sz w:val="17"/>
          <w:szCs w:val="17"/>
          <w:color w:val="auto"/>
        </w:rPr>
        <w:t>.</w:t>
      </w:r>
    </w:p>
    <w:p>
      <w:pPr>
        <w:spacing w:after="0" w:line="49" w:lineRule="exact"/>
        <w:rPr>
          <w:rFonts w:ascii="Arial" w:cs="Arial" w:eastAsia="Arial" w:hAnsi="Arial"/>
          <w:sz w:val="18"/>
          <w:szCs w:val="18"/>
          <w:color w:val="auto"/>
        </w:rPr>
      </w:pPr>
    </w:p>
    <w:p>
      <w:pPr>
        <w:ind w:left="1420" w:right="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7" w:lineRule="exact"/>
        <w:rPr>
          <w:rFonts w:ascii="Arial" w:cs="Arial" w:eastAsia="Arial" w:hAnsi="Arial"/>
          <w:sz w:val="18"/>
          <w:szCs w:val="18"/>
          <w:color w:val="auto"/>
        </w:rPr>
      </w:pPr>
    </w:p>
    <w:p>
      <w:pPr>
        <w:ind w:left="1420" w:right="52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71" w:lineRule="exact"/>
        <w:rPr>
          <w:rFonts w:ascii="Arial" w:cs="Arial" w:eastAsia="Arial" w:hAnsi="Arial"/>
          <w:sz w:val="18"/>
          <w:szCs w:val="18"/>
          <w:color w:val="auto"/>
        </w:rPr>
      </w:pPr>
    </w:p>
    <w:p>
      <w:pPr>
        <w:ind w:left="980" w:hanging="54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980" w:right="6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event of payment under this bond,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21" w:lineRule="exact"/>
        <w:rPr>
          <w:rFonts w:ascii="Arial" w:cs="Arial" w:eastAsia="Arial" w:hAnsi="Arial"/>
          <w:sz w:val="18"/>
          <w:szCs w:val="18"/>
          <w:b w:val="1"/>
          <w:bCs w:val="1"/>
          <w:color w:val="auto"/>
        </w:rPr>
      </w:pPr>
    </w:p>
    <w:p>
      <w:pPr>
        <w:ind w:left="980" w:hanging="54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98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89" w:lineRule="exact"/>
        <w:rPr>
          <w:rFonts w:ascii="Arial" w:cs="Arial" w:eastAsia="Arial" w:hAnsi="Arial"/>
          <w:sz w:val="18"/>
          <w:szCs w:val="18"/>
          <w:b w:val="1"/>
          <w:bCs w:val="1"/>
          <w:color w:val="auto"/>
        </w:rPr>
      </w:pPr>
    </w:p>
    <w:p>
      <w:pPr>
        <w:ind w:left="980" w:hanging="54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21" w:lineRule="exact"/>
        <w:rPr>
          <w:rFonts w:ascii="Arial" w:cs="Arial" w:eastAsia="Arial" w:hAnsi="Arial"/>
          <w:sz w:val="18"/>
          <w:szCs w:val="18"/>
          <w:b w:val="1"/>
          <w:bCs w:val="1"/>
          <w:color w:val="auto"/>
        </w:rPr>
      </w:pPr>
    </w:p>
    <w:p>
      <w:pPr>
        <w:ind w:left="980" w:right="120" w:firstLine="7"/>
        <w:spacing w:after="0" w:line="277" w:lineRule="auto"/>
        <w:tabs>
          <w:tab w:leader="none" w:pos="11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1980" w:right="60" w:hanging="552"/>
        <w:spacing w:after="0" w:line="259" w:lineRule="auto"/>
        <w:tabs>
          <w:tab w:leader="none" w:pos="19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92" w:lineRule="exact"/>
        <w:rPr>
          <w:rFonts w:ascii="Arial" w:cs="Arial" w:eastAsia="Arial" w:hAnsi="Arial"/>
          <w:sz w:val="18"/>
          <w:szCs w:val="18"/>
          <w:color w:val="auto"/>
        </w:rPr>
      </w:pPr>
    </w:p>
    <w:p>
      <w:pPr>
        <w:ind w:left="1980" w:hanging="552"/>
        <w:spacing w:after="0"/>
        <w:tabs>
          <w:tab w:leader="none" w:pos="1980" w:val="left"/>
        </w:tabs>
        <w:numPr>
          <w:ilvl w:val="2"/>
          <w:numId w:val="55"/>
        </w:numPr>
        <w:rPr>
          <w:rFonts w:ascii="Arial" w:cs="Arial" w:eastAsia="Arial" w:hAnsi="Arial"/>
          <w:sz w:val="17"/>
          <w:szCs w:val="17"/>
          <w:color w:val="auto"/>
        </w:rPr>
      </w:pPr>
      <w:r>
        <w:rPr>
          <w:rFonts w:ascii="Arial" w:cs="Arial" w:eastAsia="Arial" w:hAnsi="Arial"/>
          <w:sz w:val="17"/>
          <w:szCs w:val="17"/>
          <w:color w:val="auto"/>
        </w:rPr>
        <w:t>second, to the Company in satisfaction of amounts paid or to be paid to the Insured in settlement of the Insured’s claim;</w:t>
      </w:r>
    </w:p>
    <w:p>
      <w:pPr>
        <w:spacing w:after="0" w:line="142" w:lineRule="exact"/>
        <w:rPr>
          <w:rFonts w:ascii="Arial" w:cs="Arial" w:eastAsia="Arial" w:hAnsi="Arial"/>
          <w:sz w:val="17"/>
          <w:szCs w:val="17"/>
          <w:color w:val="auto"/>
        </w:rPr>
      </w:pPr>
    </w:p>
    <w:p>
      <w:pPr>
        <w:ind w:left="1980" w:hanging="552"/>
        <w:spacing w:after="0"/>
        <w:tabs>
          <w:tab w:leader="none" w:pos="19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1420" w:right="180" w:hanging="433"/>
        <w:spacing w:after="0" w:line="277" w:lineRule="auto"/>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980" w:right="8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22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30" w:name="page31"/>
    <w:bookmarkEnd w:id="30"/>
    <w:p>
      <w:pPr>
        <w:ind w:left="980" w:hanging="544"/>
        <w:spacing w:after="0"/>
        <w:tabs>
          <w:tab w:leader="none" w:pos="9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Insured will execute all papers and render assistance to secure to the Company the rights and causes of action provided for herein.</w:t>
      </w:r>
    </w:p>
    <w:p>
      <w:pPr>
        <w:spacing w:after="0" w:line="140" w:lineRule="exact"/>
        <w:rPr>
          <w:sz w:val="20"/>
          <w:szCs w:val="20"/>
          <w:color w:val="auto"/>
        </w:rPr>
      </w:pPr>
    </w:p>
    <w:p>
      <w:pPr>
        <w:ind w:left="980" w:right="70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72" w:lineRule="exact"/>
        <w:rPr>
          <w:sz w:val="20"/>
          <w:szCs w:val="20"/>
          <w:color w:val="auto"/>
        </w:rPr>
      </w:pPr>
    </w:p>
    <w:p>
      <w:pPr>
        <w:ind w:left="980" w:hanging="544"/>
        <w:spacing w:after="0"/>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98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Forgery</w:t>
      </w:r>
      <w:r>
        <w:rPr>
          <w:rFonts w:ascii="Arial" w:cs="Arial" w:eastAsia="Arial" w:hAnsi="Arial"/>
          <w:sz w:val="18"/>
          <w:szCs w:val="18"/>
          <w:color w:val="auto"/>
        </w:rPr>
        <w:t>, or that it be obtained through trick, artifice, fraud or false pretenses, the alteration,</w:t>
      </w:r>
      <w:r>
        <w:rPr>
          <w:rFonts w:ascii="Arial" w:cs="Arial" w:eastAsia="Arial" w:hAnsi="Arial"/>
          <w:sz w:val="18"/>
          <w:szCs w:val="18"/>
          <w:b w:val="1"/>
          <w:bCs w:val="1"/>
          <w:color w:val="auto"/>
        </w:rPr>
        <w:t xml:space="preserve"> Counterfeit</w:t>
      </w:r>
      <w:r>
        <w:rPr>
          <w:rFonts w:ascii="Arial" w:cs="Arial" w:eastAsia="Arial" w:hAnsi="Arial"/>
          <w:sz w:val="18"/>
          <w:szCs w:val="18"/>
          <w:color w:val="auto"/>
        </w:rPr>
        <w:t>, or signature must be on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enumerated document itself, not on or of some other document submitted with, accompanying, or incorporated by reference into, the enumerated document.</w:t>
      </w:r>
    </w:p>
    <w:p>
      <w:pPr>
        <w:spacing w:after="0" w:line="85" w:lineRule="exact"/>
        <w:rPr>
          <w:rFonts w:ascii="Arial" w:cs="Arial" w:eastAsia="Arial" w:hAnsi="Arial"/>
          <w:sz w:val="18"/>
          <w:szCs w:val="18"/>
          <w:b w:val="1"/>
          <w:bCs w:val="1"/>
          <w:color w:val="auto"/>
        </w:rPr>
      </w:pPr>
    </w:p>
    <w:p>
      <w:pPr>
        <w:ind w:left="980" w:hanging="544"/>
        <w:spacing w:after="0"/>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98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980" w:right="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62" w:lineRule="exact"/>
        <w:rPr>
          <w:rFonts w:ascii="Arial" w:cs="Arial" w:eastAsia="Arial" w:hAnsi="Arial"/>
          <w:sz w:val="18"/>
          <w:szCs w:val="18"/>
          <w:b w:val="1"/>
          <w:bCs w:val="1"/>
          <w:color w:val="auto"/>
        </w:rPr>
      </w:pPr>
    </w:p>
    <w:p>
      <w:pPr>
        <w:ind w:left="980" w:hanging="544"/>
        <w:spacing w:after="0"/>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23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31" w:name="page32"/>
    <w:bookmarkEnd w:id="31"/>
    <w:p>
      <w:pPr>
        <w:ind w:left="980" w:hanging="544"/>
        <w:spacing w:after="0"/>
        <w:tabs>
          <w:tab w:leader="none" w:pos="9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127" w:lineRule="exact"/>
        <w:rPr>
          <w:sz w:val="20"/>
          <w:szCs w:val="20"/>
          <w:color w:val="auto"/>
        </w:rPr>
      </w:pPr>
    </w:p>
    <w:p>
      <w:pPr>
        <w:ind w:left="980" w:hanging="544"/>
        <w:spacing w:after="0"/>
        <w:tabs>
          <w:tab w:leader="none" w:pos="9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1980" w:right="180" w:hanging="552"/>
        <w:spacing w:after="0" w:line="277" w:lineRule="auto"/>
        <w:tabs>
          <w:tab w:leader="none" w:pos="1980" w:val="left"/>
        </w:tabs>
        <w:numPr>
          <w:ilvl w:val="2"/>
          <w:numId w:val="59"/>
        </w:numPr>
        <w:rPr>
          <w:rFonts w:ascii="Arial" w:cs="Arial" w:eastAsia="Arial" w:hAnsi="Arial"/>
          <w:sz w:val="17"/>
          <w:szCs w:val="17"/>
          <w:color w:val="auto"/>
        </w:rPr>
      </w:pPr>
      <w:r>
        <w:rPr>
          <w:rFonts w:ascii="Arial" w:cs="Arial" w:eastAsia="Arial" w:hAnsi="Arial"/>
          <w:sz w:val="17"/>
          <w:szCs w:val="17"/>
          <w:color w:val="auto"/>
        </w:rPr>
        <w:t xml:space="preserve">This bond is canceled in its entirety immediately upon receipt by the Company of a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from the Insured or an </w:t>
      </w:r>
      <w:r>
        <w:rPr>
          <w:rFonts w:ascii="Arial" w:cs="Arial" w:eastAsia="Arial" w:hAnsi="Arial"/>
          <w:sz w:val="17"/>
          <w:szCs w:val="17"/>
          <w:b w:val="1"/>
          <w:bCs w:val="1"/>
          <w:color w:val="auto"/>
        </w:rPr>
        <w:t xml:space="preserve">Investment Adviser </w:t>
      </w:r>
      <w:r>
        <w:rPr>
          <w:rFonts w:ascii="Arial" w:cs="Arial" w:eastAsia="Arial" w:hAnsi="Arial"/>
          <w:sz w:val="17"/>
          <w:szCs w:val="17"/>
          <w:color w:val="auto"/>
        </w:rPr>
        <w:t>of its desire to cancel this bond, provided the Insured or</w:t>
      </w:r>
      <w:r>
        <w:rPr>
          <w:rFonts w:ascii="Arial" w:cs="Arial" w:eastAsia="Arial" w:hAnsi="Arial"/>
          <w:sz w:val="17"/>
          <w:szCs w:val="17"/>
          <w:b w:val="1"/>
          <w:bCs w:val="1"/>
          <w:color w:val="auto"/>
        </w:rPr>
        <w:t xml:space="preserve"> Investment Adviser </w:t>
      </w:r>
      <w:r>
        <w:rPr>
          <w:rFonts w:ascii="Arial" w:cs="Arial" w:eastAsia="Arial" w:hAnsi="Arial"/>
          <w:sz w:val="17"/>
          <w:szCs w:val="17"/>
          <w:color w:val="auto"/>
        </w:rPr>
        <w:t>has provided at least 60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advance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however the cancelation will not be effective until 60 days after receipt of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by all other Insureds.</w:t>
      </w:r>
    </w:p>
    <w:p>
      <w:pPr>
        <w:spacing w:after="0" w:line="73" w:lineRule="exact"/>
        <w:rPr>
          <w:rFonts w:ascii="Arial" w:cs="Arial" w:eastAsia="Arial" w:hAnsi="Arial"/>
          <w:sz w:val="17"/>
          <w:szCs w:val="17"/>
          <w:color w:val="auto"/>
        </w:rPr>
      </w:pPr>
    </w:p>
    <w:p>
      <w:pPr>
        <w:ind w:left="1980" w:right="420" w:hanging="552"/>
        <w:spacing w:after="0" w:line="282" w:lineRule="auto"/>
        <w:tabs>
          <w:tab w:leader="none" w:pos="19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1980" w:right="240" w:hanging="552"/>
        <w:spacing w:after="0" w:line="266" w:lineRule="auto"/>
        <w:tabs>
          <w:tab w:leader="none" w:pos="19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60 days after the receipt by the Insured and the SEC, of a written notice from the Company of its desire to cancel coverage under this bond as to such person.</w:t>
      </w:r>
    </w:p>
    <w:p>
      <w:pPr>
        <w:spacing w:after="0" w:line="85" w:lineRule="exact"/>
        <w:rPr>
          <w:rFonts w:ascii="Arial" w:cs="Arial" w:eastAsia="Arial" w:hAnsi="Arial"/>
          <w:sz w:val="18"/>
          <w:szCs w:val="18"/>
          <w:color w:val="auto"/>
        </w:rPr>
      </w:pPr>
    </w:p>
    <w:p>
      <w:pPr>
        <w:ind w:left="1420" w:hanging="433"/>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This bond terminates in its entirety immediately upon the Expiration Date set forth in ITEM 2 of the Declarations.</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2420" w:hanging="441"/>
        <w:spacing w:after="0"/>
        <w:tabs>
          <w:tab w:leader="none" w:pos="2420" w:val="left"/>
        </w:tabs>
        <w:numPr>
          <w:ilvl w:val="3"/>
          <w:numId w:val="59"/>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2420" w:hanging="441"/>
        <w:spacing w:after="0"/>
        <w:tabs>
          <w:tab w:leader="none" w:pos="2420" w:val="left"/>
        </w:tabs>
        <w:numPr>
          <w:ilvl w:val="3"/>
          <w:numId w:val="59"/>
        </w:numPr>
        <w:rPr>
          <w:rFonts w:ascii="Arial" w:cs="Arial" w:eastAsia="Arial" w:hAnsi="Arial"/>
          <w:sz w:val="16"/>
          <w:szCs w:val="16"/>
          <w:color w:val="auto"/>
        </w:rPr>
      </w:pPr>
      <w:r>
        <w:rPr>
          <w:rFonts w:ascii="Arial" w:cs="Arial" w:eastAsia="Arial" w:hAnsi="Arial"/>
          <w:sz w:val="16"/>
          <w:szCs w:val="16"/>
          <w:color w:val="auto"/>
        </w:rPr>
        <w:t>immediately upon the taking over of such Insured by a receiver or other liquidator or by any State or Federal official,</w:t>
      </w:r>
    </w:p>
    <w:p>
      <w:pPr>
        <w:spacing w:after="0" w:line="14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1980" w:right="1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1980" w:hanging="552"/>
        <w:spacing w:after="0"/>
        <w:tabs>
          <w:tab w:leader="none" w:pos="1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Coverage terminates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as to any partner, officer, or employee of any </w:t>
      </w:r>
      <w:r>
        <w:rPr>
          <w:rFonts w:ascii="Arial" w:cs="Arial" w:eastAsia="Arial" w:hAnsi="Arial"/>
          <w:sz w:val="16"/>
          <w:szCs w:val="16"/>
          <w:b w:val="1"/>
          <w:bCs w:val="1"/>
          <w:color w:val="auto"/>
        </w:rPr>
        <w:t>Electronic Data Processor</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2420" w:right="240" w:hanging="441"/>
        <w:spacing w:after="0" w:line="277" w:lineRule="auto"/>
        <w:tabs>
          <w:tab w:leader="none" w:pos="2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2420" w:right="240" w:hanging="441"/>
        <w:spacing w:after="0" w:line="263" w:lineRule="auto"/>
        <w:tabs>
          <w:tab w:leader="none" w:pos="2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excess of $25,000,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24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32" w:name="page33"/>
    <w:bookmarkEnd w:id="32"/>
    <w:p>
      <w:pPr>
        <w:jc w:val="both"/>
        <w:ind w:left="198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person.</w:t>
      </w:r>
    </w:p>
    <w:p>
      <w:pPr>
        <w:spacing w:after="0" w:line="72" w:lineRule="exact"/>
        <w:rPr>
          <w:sz w:val="20"/>
          <w:szCs w:val="20"/>
          <w:color w:val="auto"/>
        </w:rPr>
      </w:pPr>
    </w:p>
    <w:p>
      <w:pPr>
        <w:ind w:left="1980" w:right="10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89" w:lineRule="exact"/>
        <w:rPr>
          <w:sz w:val="20"/>
          <w:szCs w:val="20"/>
          <w:color w:val="auto"/>
        </w:rPr>
      </w:pPr>
    </w:p>
    <w:p>
      <w:pPr>
        <w:ind w:left="1420" w:hanging="433"/>
        <w:spacing w:after="0"/>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1420" w:right="10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notification has been furnished to the SEC by the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If more than one Insured is named under this bond, the Company will give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each Insured and to the SEC not less than 60 days prior to the effective date of any change or modification that would adversely affect the rights of such Insured.</w:t>
      </w:r>
    </w:p>
    <w:p>
      <w:pPr>
        <w:spacing w:after="0" w:line="96" w:lineRule="exact"/>
        <w:rPr>
          <w:rFonts w:ascii="Arial" w:cs="Arial" w:eastAsia="Arial" w:hAnsi="Arial"/>
          <w:sz w:val="18"/>
          <w:szCs w:val="18"/>
          <w:color w:val="auto"/>
        </w:rPr>
      </w:pPr>
    </w:p>
    <w:p>
      <w:pPr>
        <w:ind w:left="980" w:hanging="544"/>
        <w:spacing w:after="0"/>
        <w:tabs>
          <w:tab w:leader="none" w:pos="9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980" w:righ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980" w:right="1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1420" w:right="160" w:hanging="433"/>
        <w:spacing w:after="0" w:line="263"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9" w:lineRule="exact"/>
        <w:rPr>
          <w:rFonts w:ascii="Arial" w:cs="Arial" w:eastAsia="Arial" w:hAnsi="Arial"/>
          <w:sz w:val="18"/>
          <w:szCs w:val="18"/>
          <w:color w:val="auto"/>
        </w:rPr>
      </w:pPr>
    </w:p>
    <w:p>
      <w:pPr>
        <w:ind w:left="1420" w:right="480" w:hanging="433"/>
        <w:spacing w:after="0" w:line="277"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980" w:right="48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jc w:val="both"/>
        <w:ind w:left="980" w:right="100"/>
        <w:spacing w:after="0" w:line="263"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6" w:lineRule="exact"/>
        <w:rPr>
          <w:sz w:val="20"/>
          <w:szCs w:val="20"/>
          <w:color w:val="auto"/>
        </w:rPr>
      </w:pPr>
    </w:p>
    <w:p>
      <w:pPr>
        <w:ind w:left="980" w:right="36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25" w:lineRule="exact"/>
        <w:rPr>
          <w:sz w:val="20"/>
          <w:szCs w:val="20"/>
          <w:color w:val="auto"/>
        </w:rPr>
      </w:pPr>
    </w:p>
    <w:p>
      <w:pPr>
        <w:ind w:left="980" w:hanging="544"/>
        <w:spacing w:after="0"/>
        <w:tabs>
          <w:tab w:leader="none" w:pos="9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98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25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3195320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Issuing Company: Travelers Casualty and Surety Company of America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Policy Number: 106736322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IVBB-19004 Ed. 01-16</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553" w:right="439" w:bottom="1440" w:gutter="0" w:footer="0" w:header="0"/>
        </w:sectPr>
      </w:pPr>
    </w:p>
    <w:bookmarkStart w:id="34" w:name="page35"/>
    <w:bookmarkEnd w:id="34"/>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44" w:hanging="444"/>
        <w:spacing w:after="0"/>
        <w:tabs>
          <w:tab w:leader="none" w:pos="4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444" w:right="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328" w:lineRule="exact"/>
        <w:rPr>
          <w:rFonts w:ascii="Arial" w:cs="Arial" w:eastAsia="Arial" w:hAnsi="Arial"/>
          <w:sz w:val="18"/>
          <w:szCs w:val="18"/>
          <w:color w:val="auto"/>
        </w:rPr>
      </w:pPr>
    </w:p>
    <w:p>
      <w:pPr>
        <w:ind w:left="444" w:hanging="444"/>
        <w:spacing w:after="0"/>
        <w:tabs>
          <w:tab w:leader="none" w:pos="4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126" w:lineRule="exact"/>
        <w:rPr>
          <w:rFonts w:ascii="Arial" w:cs="Arial" w:eastAsia="Arial" w:hAnsi="Arial"/>
          <w:sz w:val="18"/>
          <w:szCs w:val="18"/>
          <w:color w:val="auto"/>
        </w:rPr>
      </w:pPr>
    </w:p>
    <w:p>
      <w:pPr>
        <w:ind w:left="984" w:hanging="544"/>
        <w:spacing w:after="0"/>
        <w:tabs>
          <w:tab w:leader="none" w:pos="984"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984"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Counterfeit</w:t>
      </w:r>
      <w:r>
        <w:rPr>
          <w:rFonts w:ascii="Arial" w:cs="Arial" w:eastAsia="Arial" w:hAnsi="Arial"/>
          <w:sz w:val="18"/>
          <w:szCs w:val="18"/>
          <w:color w:val="auto"/>
        </w:rPr>
        <w:t>, signature, or endorsement must be on or of the enumerated document itself, not on or of some other document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7" w:lineRule="exact"/>
        <w:rPr>
          <w:sz w:val="20"/>
          <w:szCs w:val="20"/>
          <w:color w:val="auto"/>
        </w:rPr>
      </w:pPr>
    </w:p>
    <w:p>
      <w:pPr>
        <w:ind w:left="4"/>
        <w:spacing w:after="0"/>
        <w:rPr>
          <w:sz w:val="20"/>
          <w:szCs w:val="20"/>
          <w:color w:val="auto"/>
        </w:rPr>
      </w:pPr>
      <w:r>
        <w:rPr>
          <w:rFonts w:ascii="Arial" w:cs="Arial" w:eastAsia="Arial" w:hAnsi="Arial"/>
          <w:sz w:val="14"/>
          <w:szCs w:val="14"/>
          <w:color w:val="auto"/>
        </w:rPr>
        <w:t>Issuing Company: Travelers Casualty and Surety Company of America</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4"/>
          <w:szCs w:val="14"/>
          <w:color w:val="auto"/>
        </w:rPr>
        <w:t>Policy Number: 106736322</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IVBB-19010 Ed. 01-16</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553" w:right="4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BOND. PLEASE READ IT CAREFULLY.</w:t>
      </w:r>
    </w:p>
    <w:p>
      <w:pPr>
        <w:spacing w:after="0" w:line="30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added to section VI. CONDITIONS, E. SINGLE LOSS LIMIT OF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Insuring Agreement A.1. in order to comply with SEC Regulation 17g-1, as a result of:</w:t>
      </w:r>
    </w:p>
    <w:p>
      <w:pPr>
        <w:spacing w:after="0" w:line="116" w:lineRule="exact"/>
        <w:rPr>
          <w:sz w:val="20"/>
          <w:szCs w:val="20"/>
          <w:color w:val="auto"/>
        </w:rPr>
      </w:pPr>
    </w:p>
    <w:p>
      <w:pPr>
        <w:ind w:left="980" w:right="180" w:hanging="54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980" w:right="700" w:hanging="54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62"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1591945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Bond Number: </w:t>
      </w:r>
      <w:r>
        <w:rPr>
          <w:rFonts w:ascii="Arial" w:cs="Arial" w:eastAsia="Arial" w:hAnsi="Arial"/>
          <w:sz w:val="14"/>
          <w:szCs w:val="14"/>
          <w:b w:val="1"/>
          <w:bCs w:val="1"/>
          <w:color w:val="auto"/>
        </w:rPr>
        <w:t>106736322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IVBB-19044 Ed. 05-18</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2018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553" w:right="4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replaces section III. GENERAL AGREEMENTS, A. ORGANIC GROWTH:</w:t>
      </w:r>
    </w:p>
    <w:p>
      <w:pPr>
        <w:spacing w:after="0" w:line="221"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 xml:space="preserve">If an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this bond is in force, adds additional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or experiences an increase in assets under management, other than by consolidation or merger with, or purchase or acquisition of the assets, assets under management or liabilities of, another institution, such </w:t>
      </w:r>
      <w:r>
        <w:rPr>
          <w:rFonts w:ascii="Arial" w:cs="Arial" w:eastAsia="Arial" w:hAnsi="Arial"/>
          <w:sz w:val="16"/>
          <w:szCs w:val="16"/>
          <w:b w:val="1"/>
          <w:bCs w:val="1"/>
          <w:color w:val="auto"/>
        </w:rPr>
        <w:t xml:space="preserve">Employees </w:t>
      </w:r>
      <w:r>
        <w:rPr>
          <w:rFonts w:ascii="Arial" w:cs="Arial" w:eastAsia="Arial" w:hAnsi="Arial"/>
          <w:sz w:val="16"/>
          <w:szCs w:val="16"/>
          <w:color w:val="auto"/>
        </w:rPr>
        <w:t>or increased assets under management will automatically be covered hereunder from the date of such addition without the requirement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3150870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Policy Number:</w:t>
      </w:r>
      <w:r>
        <w:rPr>
          <w:rFonts w:ascii="Arial" w:cs="Arial" w:eastAsia="Arial" w:hAnsi="Arial"/>
          <w:sz w:val="14"/>
          <w:szCs w:val="14"/>
          <w:b w:val="1"/>
          <w:bCs w:val="1"/>
          <w:color w:val="auto"/>
        </w:rPr>
        <w:t>106736322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IVBB-19045 Ed. 03-19</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2019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553" w:right="439" w:bottom="1440" w:gutter="0" w:footer="0" w:header="0"/>
        </w:sectPr>
      </w:pPr>
    </w:p>
    <w:bookmarkStart w:id="37" w:name="page38"/>
    <w:bookmarkEnd w:id="37"/>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BOND. PLEASE READ IT CAREFULLY.</w:t>
      </w:r>
    </w:p>
    <w:p>
      <w:pPr>
        <w:spacing w:after="0" w:line="3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GLOBAL COVERAGE COMPLIANCE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44" w:hanging="444"/>
        <w:spacing w:after="0"/>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is added to section IV. DEFINITIONS:</w:t>
      </w:r>
    </w:p>
    <w:p>
      <w:pPr>
        <w:spacing w:after="0" w:line="117" w:lineRule="exact"/>
        <w:rPr>
          <w:rFonts w:ascii="Arial" w:cs="Arial" w:eastAsia="Arial" w:hAnsi="Arial"/>
          <w:sz w:val="18"/>
          <w:szCs w:val="18"/>
          <w:color w:val="auto"/>
        </w:rPr>
      </w:pPr>
    </w:p>
    <w:p>
      <w:pPr>
        <w:ind w:left="444" w:right="500"/>
        <w:spacing w:after="0" w:line="277"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Interest </w:t>
      </w:r>
      <w:r>
        <w:rPr>
          <w:rFonts w:ascii="Arial" w:cs="Arial" w:eastAsia="Arial" w:hAnsi="Arial"/>
          <w:sz w:val="18"/>
          <w:szCs w:val="18"/>
          <w:color w:val="auto"/>
        </w:rPr>
        <w:t>means the first named Insured’s insurable interest in an Insured that is domiciled in a country or jurisdiction in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 not licensed to provide this insurance, as a result of the first named Insured’s:</w:t>
      </w:r>
    </w:p>
    <w:p>
      <w:pPr>
        <w:spacing w:after="0" w:line="75" w:lineRule="exact"/>
        <w:rPr>
          <w:rFonts w:ascii="Arial" w:cs="Arial" w:eastAsia="Arial" w:hAnsi="Arial"/>
          <w:sz w:val="18"/>
          <w:szCs w:val="18"/>
          <w:color w:val="auto"/>
        </w:rPr>
      </w:pPr>
    </w:p>
    <w:p>
      <w:pPr>
        <w:ind w:left="984" w:right="140" w:hanging="544"/>
        <w:spacing w:after="0" w:line="263" w:lineRule="auto"/>
        <w:tabs>
          <w:tab w:leader="none" w:pos="9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ownership of the majority of the outstanding securities or voting rights of the Insured representing the present right to elect, appoint, or exercise a majority control over such Insured’s board of directors, board of trustees, board of managers, natural person general partner, or functional foreign equivalent;</w:t>
      </w:r>
    </w:p>
    <w:p>
      <w:pPr>
        <w:spacing w:after="0" w:line="89" w:lineRule="exact"/>
        <w:rPr>
          <w:rFonts w:ascii="Arial" w:cs="Arial" w:eastAsia="Arial" w:hAnsi="Arial"/>
          <w:sz w:val="18"/>
          <w:szCs w:val="18"/>
          <w:color w:val="auto"/>
        </w:rPr>
      </w:pPr>
    </w:p>
    <w:p>
      <w:pPr>
        <w:ind w:left="984" w:hanging="544"/>
        <w:spacing w:after="0"/>
        <w:tabs>
          <w:tab w:leader="none" w:pos="9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indemnification of, or representation that it has an obligation to indemnify, the Insured for loss sustained by such Insured; or</w:t>
      </w:r>
    </w:p>
    <w:p>
      <w:pPr>
        <w:spacing w:after="0" w:line="130" w:lineRule="exact"/>
        <w:rPr>
          <w:rFonts w:ascii="Arial" w:cs="Arial" w:eastAsia="Arial" w:hAnsi="Arial"/>
          <w:sz w:val="18"/>
          <w:szCs w:val="18"/>
          <w:color w:val="auto"/>
        </w:rPr>
      </w:pPr>
    </w:p>
    <w:p>
      <w:pPr>
        <w:ind w:left="984" w:hanging="544"/>
        <w:spacing w:after="0"/>
        <w:tabs>
          <w:tab w:leader="none" w:pos="9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election or obligation to obtain insurance for such Insured.</w:t>
      </w:r>
    </w:p>
    <w:p>
      <w:pPr>
        <w:spacing w:after="0" w:line="373" w:lineRule="exact"/>
        <w:rPr>
          <w:rFonts w:ascii="Arial" w:cs="Arial" w:eastAsia="Arial" w:hAnsi="Arial"/>
          <w:sz w:val="18"/>
          <w:szCs w:val="18"/>
          <w:color w:val="auto"/>
        </w:rPr>
      </w:pPr>
    </w:p>
    <w:p>
      <w:pPr>
        <w:ind w:left="444" w:hanging="444"/>
        <w:spacing w:after="0"/>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is added to section VI. CONDITIONS, M. COOPERATION:</w:t>
      </w:r>
    </w:p>
    <w:p>
      <w:pPr>
        <w:spacing w:after="0" w:line="113" w:lineRule="exact"/>
        <w:rPr>
          <w:rFonts w:ascii="Arial" w:cs="Arial" w:eastAsia="Arial" w:hAnsi="Arial"/>
          <w:sz w:val="18"/>
          <w:szCs w:val="18"/>
          <w:color w:val="auto"/>
        </w:rPr>
      </w:pPr>
    </w:p>
    <w:p>
      <w:pPr>
        <w:ind w:left="444" w:right="48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In the event the Company indemnifies the first named Insured on account of its </w:t>
      </w:r>
      <w:r>
        <w:rPr>
          <w:rFonts w:ascii="Arial" w:cs="Arial" w:eastAsia="Arial" w:hAnsi="Arial"/>
          <w:sz w:val="16"/>
          <w:szCs w:val="16"/>
          <w:b w:val="1"/>
          <w:bCs w:val="1"/>
          <w:color w:val="auto"/>
        </w:rPr>
        <w:t>Financial Interest</w:t>
      </w:r>
      <w:r>
        <w:rPr>
          <w:rFonts w:ascii="Arial" w:cs="Arial" w:eastAsia="Arial" w:hAnsi="Arial"/>
          <w:sz w:val="16"/>
          <w:szCs w:val="16"/>
          <w:color w:val="auto"/>
        </w:rPr>
        <w:t xml:space="preserve"> in an Insured, as a condition precedent to exercising rights under this bond, the first named Insured will cause such Insured to comply with the conditions of this bond.</w:t>
      </w:r>
    </w:p>
    <w:p>
      <w:pPr>
        <w:spacing w:after="0" w:line="268" w:lineRule="exact"/>
        <w:rPr>
          <w:rFonts w:ascii="Arial" w:cs="Arial" w:eastAsia="Arial" w:hAnsi="Arial"/>
          <w:sz w:val="18"/>
          <w:szCs w:val="18"/>
          <w:color w:val="auto"/>
        </w:rPr>
      </w:pPr>
    </w:p>
    <w:p>
      <w:pPr>
        <w:ind w:left="444" w:hanging="444"/>
        <w:spacing w:after="0"/>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are added to section VI. CONDITIONS:</w:t>
      </w:r>
    </w:p>
    <w:p>
      <w:pPr>
        <w:spacing w:after="0" w:line="11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TERRITORY COVERED</w:t>
      </w:r>
    </w:p>
    <w:p>
      <w:pPr>
        <w:spacing w:after="0" w:line="134" w:lineRule="exact"/>
        <w:rPr>
          <w:rFonts w:ascii="Arial" w:cs="Arial" w:eastAsia="Arial" w:hAnsi="Arial"/>
          <w:sz w:val="18"/>
          <w:szCs w:val="18"/>
          <w:color w:val="auto"/>
        </w:rPr>
      </w:pPr>
    </w:p>
    <w:p>
      <w:pPr>
        <w:ind w:left="984" w:hanging="544"/>
        <w:spacing w:after="0"/>
        <w:tabs>
          <w:tab w:leader="none" w:pos="9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bond does not apply to:</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2"/>
          <w:numId w:val="66"/>
        </w:numPr>
        <w:rPr>
          <w:rFonts w:ascii="Arial" w:cs="Arial" w:eastAsia="Arial" w:hAnsi="Arial"/>
          <w:sz w:val="18"/>
          <w:szCs w:val="18"/>
          <w:color w:val="auto"/>
        </w:rPr>
      </w:pPr>
      <w:r>
        <w:rPr>
          <w:rFonts w:ascii="Arial" w:cs="Arial" w:eastAsia="Arial" w:hAnsi="Arial"/>
          <w:sz w:val="18"/>
          <w:szCs w:val="18"/>
          <w:color w:val="auto"/>
        </w:rPr>
        <w:t>loss sustained by an Insured domiciled; or</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2"/>
          <w:numId w:val="66"/>
        </w:numPr>
        <w:rPr>
          <w:rFonts w:ascii="Arial" w:cs="Arial" w:eastAsia="Arial" w:hAnsi="Arial"/>
          <w:sz w:val="18"/>
          <w:szCs w:val="18"/>
          <w:color w:val="auto"/>
        </w:rPr>
      </w:pPr>
      <w:r>
        <w:rPr>
          <w:rFonts w:ascii="Arial" w:cs="Arial" w:eastAsia="Arial" w:hAnsi="Arial"/>
          <w:sz w:val="18"/>
          <w:szCs w:val="18"/>
          <w:color w:val="auto"/>
        </w:rPr>
        <w:t>loss of or damage to property located,</w:t>
      </w:r>
    </w:p>
    <w:p>
      <w:pPr>
        <w:spacing w:after="0" w:line="117" w:lineRule="exact"/>
        <w:rPr>
          <w:sz w:val="20"/>
          <w:szCs w:val="20"/>
          <w:color w:val="auto"/>
        </w:rPr>
      </w:pPr>
    </w:p>
    <w:p>
      <w:pPr>
        <w:ind w:left="984" w:right="280"/>
        <w:spacing w:after="0" w:line="277" w:lineRule="auto"/>
        <w:rPr>
          <w:sz w:val="20"/>
          <w:szCs w:val="20"/>
          <w:color w:val="auto"/>
        </w:rPr>
      </w:pPr>
      <w:r>
        <w:rPr>
          <w:rFonts w:ascii="Arial" w:cs="Arial" w:eastAsia="Arial" w:hAnsi="Arial"/>
          <w:sz w:val="18"/>
          <w:szCs w:val="18"/>
          <w:color w:val="auto"/>
        </w:rPr>
        <w:t>in any country or jurisdiction in which the Company is not licensed to provide this insurance, to the extent that providing this insurance would violate the laws or regulations of such country or jurisdiction.</w:t>
      </w:r>
    </w:p>
    <w:p>
      <w:pPr>
        <w:spacing w:after="0" w:line="76" w:lineRule="exact"/>
        <w:rPr>
          <w:sz w:val="20"/>
          <w:szCs w:val="20"/>
          <w:color w:val="auto"/>
        </w:rPr>
      </w:pPr>
    </w:p>
    <w:p>
      <w:pPr>
        <w:ind w:left="984" w:right="240" w:hanging="544"/>
        <w:spacing w:after="0" w:line="277" w:lineRule="auto"/>
        <w:tabs>
          <w:tab w:leader="none" w:pos="9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In the event an Insured sustains loss referenced in a. above to which this bond would have applied, the Company will reimburse the first named Insured for its loss, on account of its </w:t>
      </w:r>
      <w:r>
        <w:rPr>
          <w:rFonts w:ascii="Arial" w:cs="Arial" w:eastAsia="Arial" w:hAnsi="Arial"/>
          <w:sz w:val="18"/>
          <w:szCs w:val="18"/>
          <w:b w:val="1"/>
          <w:bCs w:val="1"/>
          <w:color w:val="auto"/>
        </w:rPr>
        <w:t>Financial Interest</w:t>
      </w:r>
      <w:r>
        <w:rPr>
          <w:rFonts w:ascii="Arial" w:cs="Arial" w:eastAsia="Arial" w:hAnsi="Arial"/>
          <w:sz w:val="18"/>
          <w:szCs w:val="18"/>
          <w:color w:val="auto"/>
        </w:rPr>
        <w:t xml:space="preserve"> in such Insured.</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SANCTIONS</w:t>
      </w:r>
    </w:p>
    <w:p>
      <w:pPr>
        <w:spacing w:after="0" w:line="121" w:lineRule="exact"/>
        <w:rPr>
          <w:sz w:val="20"/>
          <w:szCs w:val="20"/>
          <w:color w:val="auto"/>
        </w:rPr>
      </w:pPr>
    </w:p>
    <w:p>
      <w:pPr>
        <w:ind w:left="444" w:right="80"/>
        <w:spacing w:after="0" w:line="263" w:lineRule="auto"/>
        <w:rPr>
          <w:sz w:val="20"/>
          <w:szCs w:val="20"/>
          <w:color w:val="auto"/>
        </w:rPr>
      </w:pPr>
      <w:r>
        <w:rPr>
          <w:rFonts w:ascii="Arial" w:cs="Arial" w:eastAsia="Arial" w:hAnsi="Arial"/>
          <w:sz w:val="18"/>
          <w:szCs w:val="18"/>
          <w:color w:val="auto"/>
        </w:rPr>
        <w:t>This bond will provide coverage, or otherwise will provide any benefit, only to the extent that providing such coverage or benefit does not expose the Company or any of its affiliated or parent companies to any trade or economic sanction under any law or regulation of the United States of America or any other applicable trade or economic sanction, prohibition or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485775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3"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Bond Number: </w:t>
      </w:r>
      <w:r>
        <w:rPr>
          <w:rFonts w:ascii="Arial" w:cs="Arial" w:eastAsia="Arial" w:hAnsi="Arial"/>
          <w:sz w:val="14"/>
          <w:szCs w:val="14"/>
          <w:b w:val="1"/>
          <w:bCs w:val="1"/>
          <w:color w:val="auto"/>
        </w:rPr>
        <w:t>106736322</w:t>
      </w:r>
    </w:p>
    <w:p>
      <w:pPr>
        <w:spacing w:after="0" w:line="139"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IVBB-19038 Ed. 04-22</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2022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553" w:right="439" w:bottom="1440" w:gutter="0" w:footer="0" w:header="0"/>
        </w:sectPr>
      </w:pPr>
    </w:p>
    <w:bookmarkStart w:id="38" w:name="page39"/>
    <w:bookmarkEnd w:id="38"/>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ind w:left="1544"/>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44" w:hanging="444"/>
        <w:spacing w:after="0"/>
        <w:tabs>
          <w:tab w:leader="none" w:pos="4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0" w:lineRule="exact"/>
        <w:rPr>
          <w:rFonts w:ascii="Arial" w:cs="Arial" w:eastAsia="Arial" w:hAnsi="Arial"/>
          <w:sz w:val="18"/>
          <w:szCs w:val="18"/>
          <w:color w:val="auto"/>
        </w:rPr>
      </w:pPr>
    </w:p>
    <w:p>
      <w:pPr>
        <w:ind w:left="984" w:right="80" w:hanging="544"/>
        <w:spacing w:after="0" w:line="296" w:lineRule="auto"/>
        <w:tabs>
          <w:tab w:leader="none" w:pos="984"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 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66" w:lineRule="exact"/>
        <w:rPr>
          <w:rFonts w:ascii="Arial" w:cs="Arial" w:eastAsia="Arial" w:hAnsi="Arial"/>
          <w:sz w:val="16"/>
          <w:szCs w:val="16"/>
          <w:color w:val="auto"/>
        </w:rPr>
      </w:pPr>
    </w:p>
    <w:p>
      <w:pPr>
        <w:ind w:left="1424" w:right="720" w:hanging="433"/>
        <w:spacing w:after="0" w:line="277" w:lineRule="auto"/>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24" w:hanging="433"/>
        <w:spacing w:after="0"/>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24" w:right="100" w:hanging="433"/>
        <w:spacing w:after="0" w:line="277" w:lineRule="auto"/>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24" w:right="140" w:hanging="433"/>
        <w:spacing w:after="0" w:line="263" w:lineRule="auto"/>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9" w:lineRule="exact"/>
        <w:rPr>
          <w:rFonts w:ascii="Arial" w:cs="Arial" w:eastAsia="Arial" w:hAnsi="Arial"/>
          <w:sz w:val="18"/>
          <w:szCs w:val="18"/>
          <w:color w:val="auto"/>
        </w:rPr>
      </w:pPr>
    </w:p>
    <w:p>
      <w:pPr>
        <w:ind w:left="1424" w:right="560" w:hanging="433"/>
        <w:spacing w:after="0" w:line="342" w:lineRule="auto"/>
        <w:tabs>
          <w:tab w:leader="none" w:pos="1424" w:val="left"/>
        </w:tabs>
        <w:numPr>
          <w:ilvl w:val="2"/>
          <w:numId w:val="68"/>
        </w:numPr>
        <w:rPr>
          <w:rFonts w:ascii="Arial" w:cs="Arial" w:eastAsia="Arial" w:hAnsi="Arial"/>
          <w:sz w:val="16"/>
          <w:szCs w:val="16"/>
          <w:color w:val="auto"/>
        </w:rPr>
      </w:pPr>
      <w:r>
        <w:rPr>
          <w:rFonts w:ascii="Arial" w:cs="Arial" w:eastAsia="Arial" w:hAnsi="Arial"/>
          <w:sz w:val="16"/>
          <w:szCs w:val="16"/>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29" w:lineRule="exact"/>
        <w:rPr>
          <w:rFonts w:ascii="Arial" w:cs="Arial" w:eastAsia="Arial" w:hAnsi="Arial"/>
          <w:sz w:val="16"/>
          <w:szCs w:val="16"/>
          <w:color w:val="auto"/>
        </w:rPr>
      </w:pPr>
    </w:p>
    <w:p>
      <w:pPr>
        <w:ind w:left="1424" w:right="140" w:hanging="433"/>
        <w:spacing w:after="0" w:line="277" w:lineRule="auto"/>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24" w:right="440" w:hanging="433"/>
        <w:spacing w:after="0" w:line="342" w:lineRule="auto"/>
        <w:tabs>
          <w:tab w:leader="none" w:pos="1424" w:val="left"/>
        </w:tabs>
        <w:numPr>
          <w:ilvl w:val="2"/>
          <w:numId w:val="68"/>
        </w:numPr>
        <w:rPr>
          <w:rFonts w:ascii="Arial" w:cs="Arial" w:eastAsia="Arial" w:hAnsi="Arial"/>
          <w:sz w:val="16"/>
          <w:szCs w:val="16"/>
          <w:color w:val="auto"/>
        </w:rPr>
      </w:pPr>
      <w:r>
        <w:rPr>
          <w:rFonts w:ascii="Arial" w:cs="Arial" w:eastAsia="Arial" w:hAnsi="Arial"/>
          <w:sz w:val="16"/>
          <w:szCs w:val="16"/>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29" w:lineRule="exact"/>
        <w:rPr>
          <w:rFonts w:ascii="Arial" w:cs="Arial" w:eastAsia="Arial" w:hAnsi="Arial"/>
          <w:sz w:val="16"/>
          <w:szCs w:val="16"/>
          <w:color w:val="auto"/>
        </w:rPr>
      </w:pPr>
    </w:p>
    <w:p>
      <w:pPr>
        <w:jc w:val="both"/>
        <w:ind w:left="1984" w:right="520" w:hanging="552"/>
        <w:spacing w:after="0" w:line="342" w:lineRule="auto"/>
        <w:tabs>
          <w:tab w:leader="none" w:pos="1984" w:val="left"/>
        </w:tabs>
        <w:numPr>
          <w:ilvl w:val="3"/>
          <w:numId w:val="68"/>
        </w:numPr>
        <w:rPr>
          <w:rFonts w:ascii="Arial" w:cs="Arial" w:eastAsia="Arial" w:hAnsi="Arial"/>
          <w:sz w:val="16"/>
          <w:szCs w:val="16"/>
          <w:color w:val="auto"/>
        </w:rPr>
      </w:pPr>
      <w:r>
        <w:rPr>
          <w:rFonts w:ascii="Arial" w:cs="Arial" w:eastAsia="Arial" w:hAnsi="Arial"/>
          <w:sz w:val="16"/>
          <w:szCs w:val="16"/>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29" w:lineRule="exact"/>
        <w:rPr>
          <w:rFonts w:ascii="Arial" w:cs="Arial" w:eastAsia="Arial" w:hAnsi="Arial"/>
          <w:sz w:val="16"/>
          <w:szCs w:val="16"/>
          <w:color w:val="auto"/>
        </w:rPr>
      </w:pPr>
    </w:p>
    <w:p>
      <w:pPr>
        <w:ind w:left="1984" w:right="140" w:hanging="552"/>
        <w:spacing w:after="0" w:line="277" w:lineRule="auto"/>
        <w:tabs>
          <w:tab w:leader="none" w:pos="1984" w:val="left"/>
        </w:tabs>
        <w:numPr>
          <w:ilvl w:val="3"/>
          <w:numId w:val="68"/>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318" w:lineRule="exact"/>
        <w:rPr>
          <w:rFonts w:ascii="Arial" w:cs="Arial" w:eastAsia="Arial" w:hAnsi="Arial"/>
          <w:sz w:val="18"/>
          <w:szCs w:val="18"/>
          <w:color w:val="auto"/>
        </w:rPr>
      </w:pPr>
    </w:p>
    <w:p>
      <w:pPr>
        <w:ind w:left="444" w:hanging="444"/>
        <w:spacing w:after="0"/>
        <w:tabs>
          <w:tab w:leader="none" w:pos="4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1" w:lineRule="exact"/>
        <w:rPr>
          <w:sz w:val="20"/>
          <w:szCs w:val="20"/>
          <w:color w:val="auto"/>
        </w:rPr>
      </w:pPr>
    </w:p>
    <w:p>
      <w:pPr>
        <w:ind w:left="984" w:hanging="544"/>
        <w:spacing w:after="0"/>
        <w:tabs>
          <w:tab w:leader="none" w:pos="9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17" w:lineRule="exact"/>
        <w:rPr>
          <w:sz w:val="20"/>
          <w:szCs w:val="20"/>
          <w:color w:val="auto"/>
        </w:rPr>
      </w:pPr>
    </w:p>
    <w:p>
      <w:pPr>
        <w:ind w:left="444" w:right="160"/>
        <w:spacing w:after="0" w:line="259" w:lineRule="auto"/>
        <w:rPr>
          <w:sz w:val="20"/>
          <w:szCs w:val="20"/>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3"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4"/>
          <w:szCs w:val="14"/>
          <w:color w:val="auto"/>
        </w:rPr>
        <w:t>Policy Number:</w:t>
      </w:r>
      <w:r>
        <w:rPr>
          <w:rFonts w:ascii="Arial" w:cs="Arial" w:eastAsia="Arial" w:hAnsi="Arial"/>
          <w:sz w:val="14"/>
          <w:szCs w:val="14"/>
          <w:b w:val="1"/>
          <w:bCs w:val="1"/>
          <w:color w:val="auto"/>
        </w:rPr>
        <w:t>106736322</w:t>
      </w:r>
    </w:p>
    <w:p>
      <w:pPr>
        <w:spacing w:after="0" w:line="128"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IVBB-18023 Rev. 12-17</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2</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2017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553" w:right="439" w:bottom="1440" w:gutter="0" w:footer="0" w:header="0"/>
        </w:sectPr>
      </w:pPr>
    </w:p>
    <w:bookmarkStart w:id="39" w:name="page40"/>
    <w:bookmarkEnd w:id="39"/>
    <w:p>
      <w:pPr>
        <w:ind w:left="980" w:hanging="54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Renewal with Altered Terms:</w:t>
      </w:r>
    </w:p>
    <w:p>
      <w:pPr>
        <w:spacing w:after="0" w:line="117"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40" w:right="40"/>
        <w:spacing w:after="0" w:line="301" w:lineRule="auto"/>
        <w:rPr>
          <w:sz w:val="20"/>
          <w:szCs w:val="20"/>
          <w:color w:val="auto"/>
        </w:rPr>
      </w:pPr>
      <w:r>
        <w:rPr>
          <w:rFonts w:ascii="Arial" w:cs="Arial" w:eastAsia="Arial" w:hAnsi="Arial"/>
          <w:sz w:val="16"/>
          <w:szCs w:val="16"/>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1583055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IVBB-18023 Rev. 12-17</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2 of 2</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2017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40" w:name="page41"/>
    <w:bookmarkEnd w:id="40"/>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ind w:left="2324"/>
        <w:spacing w:after="0"/>
        <w:rPr>
          <w:sz w:val="20"/>
          <w:szCs w:val="20"/>
          <w:color w:val="auto"/>
        </w:rPr>
      </w:pPr>
      <w:r>
        <w:rPr>
          <w:rFonts w:ascii="Arial" w:cs="Arial" w:eastAsia="Arial" w:hAnsi="Arial"/>
          <w:sz w:val="18"/>
          <w:szCs w:val="18"/>
          <w:b w:val="1"/>
          <w:bCs w:val="1"/>
          <w:color w:val="auto"/>
        </w:rPr>
        <w:t>NEW YORK INSURANCE MANDATORY REGULATION 209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44" w:hanging="444"/>
        <w:spacing w:after="0"/>
        <w:tabs>
          <w:tab w:leader="none" w:pos="4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w:t>
      </w:r>
      <w:r>
        <w:rPr>
          <w:rFonts w:ascii="Arial" w:cs="Arial" w:eastAsia="Arial" w:hAnsi="Arial"/>
          <w:sz w:val="18"/>
          <w:szCs w:val="18"/>
          <w:color w:val="auto"/>
        </w:rPr>
        <w:t xml:space="preserve">, </w:t>
      </w:r>
      <w:r>
        <w:rPr>
          <w:rFonts w:ascii="Arial" w:cs="Arial" w:eastAsia="Arial" w:hAnsi="Arial"/>
          <w:sz w:val="18"/>
          <w:szCs w:val="18"/>
          <w:b w:val="1"/>
          <w:bCs w:val="1"/>
          <w:color w:val="auto"/>
        </w:rPr>
        <w:t>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2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313" w:lineRule="exact"/>
        <w:rPr>
          <w:rFonts w:ascii="Arial" w:cs="Arial" w:eastAsia="Arial" w:hAnsi="Arial"/>
          <w:sz w:val="18"/>
          <w:szCs w:val="18"/>
          <w:color w:val="auto"/>
        </w:rPr>
      </w:pPr>
    </w:p>
    <w:p>
      <w:pPr>
        <w:ind w:left="444" w:hanging="444"/>
        <w:spacing w:after="0"/>
        <w:tabs>
          <w:tab w:leader="none" w:pos="4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R. CANCELATION OR TERMINATION</w:t>
      </w:r>
      <w:r>
        <w:rPr>
          <w:rFonts w:ascii="Arial" w:cs="Arial" w:eastAsia="Arial" w:hAnsi="Arial"/>
          <w:sz w:val="18"/>
          <w:szCs w:val="18"/>
          <w:color w:val="auto"/>
        </w:rPr>
        <w:t>, 2. Termination, c.:</w:t>
      </w:r>
    </w:p>
    <w:p>
      <w:pPr>
        <w:spacing w:after="0" w:line="117" w:lineRule="exact"/>
        <w:rPr>
          <w:rFonts w:ascii="Arial" w:cs="Arial" w:eastAsia="Arial" w:hAnsi="Arial"/>
          <w:sz w:val="18"/>
          <w:szCs w:val="18"/>
          <w:color w:val="auto"/>
        </w:rPr>
      </w:pPr>
    </w:p>
    <w:p>
      <w:pPr>
        <w:ind w:left="444" w:right="5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w:t>
      </w:r>
    </w:p>
    <w:p>
      <w:pPr>
        <w:spacing w:after="0" w:line="67" w:lineRule="exact"/>
        <w:rPr>
          <w:rFonts w:ascii="Arial" w:cs="Arial" w:eastAsia="Arial" w:hAnsi="Arial"/>
          <w:sz w:val="18"/>
          <w:szCs w:val="18"/>
          <w:color w:val="auto"/>
        </w:rPr>
      </w:pPr>
    </w:p>
    <w:p>
      <w:pPr>
        <w:ind w:left="444" w:right="26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With respect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upon the detection by any Insured that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(hereafter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has committed any dishonest or fraudulent acts or theft, the Insured must immediately remove the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from a position that may enable the detected </w:t>
      </w:r>
      <w:r>
        <w:rPr>
          <w:rFonts w:ascii="Arial" w:cs="Arial" w:eastAsia="Arial" w:hAnsi="Arial"/>
          <w:sz w:val="16"/>
          <w:szCs w:val="16"/>
          <w:b w:val="1"/>
          <w:bCs w:val="1"/>
          <w:color w:val="auto"/>
        </w:rPr>
        <w:t xml:space="preserve">Employee </w:t>
      </w:r>
      <w:r>
        <w:rPr>
          <w:rFonts w:ascii="Arial" w:cs="Arial" w:eastAsia="Arial" w:hAnsi="Arial"/>
          <w:sz w:val="16"/>
          <w:szCs w:val="16"/>
          <w:color w:val="auto"/>
        </w:rPr>
        <w:t>to cause the Insured to suffer a loss by any subsequent dishonest or fraudulent acts or theft. The Insured, within 48 hours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detection, must notify the Company with full and complete particulars of the detected dishonest or fraudulent acts or theft.</w:t>
      </w:r>
    </w:p>
    <w:p>
      <w:pPr>
        <w:spacing w:after="0" w:line="42" w:lineRule="exact"/>
        <w:rPr>
          <w:rFonts w:ascii="Arial" w:cs="Arial" w:eastAsia="Arial" w:hAnsi="Arial"/>
          <w:sz w:val="18"/>
          <w:szCs w:val="18"/>
          <w:color w:val="auto"/>
        </w:rPr>
      </w:pPr>
    </w:p>
    <w:p>
      <w:pPr>
        <w:ind w:left="444" w:right="12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For purposes of this section, detection occurs when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who is not in collusion with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becomes aware that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has committed any dishonest or fraudulent acts or theft.</w:t>
      </w:r>
    </w:p>
    <w:p>
      <w:pPr>
        <w:spacing w:after="0" w:line="31" w:lineRule="exact"/>
        <w:rPr>
          <w:rFonts w:ascii="Arial" w:cs="Arial" w:eastAsia="Arial" w:hAnsi="Arial"/>
          <w:sz w:val="18"/>
          <w:szCs w:val="18"/>
          <w:color w:val="auto"/>
        </w:rPr>
      </w:pPr>
    </w:p>
    <w:p>
      <w:pPr>
        <w:ind w:left="444" w:right="24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Coverage under this bond with respect to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will terminate upon written notice to each Insured and to the Securities and Exchange Commission from the Company of not less than 60 days prior to the effective date of termination specified in such notice.</w:t>
      </w:r>
    </w:p>
    <w:p>
      <w:pPr>
        <w:spacing w:after="0" w:line="3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7"/>
          <w:szCs w:val="17"/>
          <w:color w:val="auto"/>
        </w:rPr>
        <w:t xml:space="preserve">Termination of coverage as to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as set forth in c.(1) and c.(2) above will also not apply to any such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if: (a) the dishonest act was committed by that</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prior to becoming employed by the Insured, (b) the dishonest act resulted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conviction of that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and (c) the Insured made a determination to hire or retain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However, such termination of coverage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631825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Policy Number: </w:t>
      </w:r>
      <w:r>
        <w:rPr>
          <w:rFonts w:ascii="Arial" w:cs="Arial" w:eastAsia="Arial" w:hAnsi="Arial"/>
          <w:sz w:val="14"/>
          <w:szCs w:val="14"/>
          <w:b w:val="1"/>
          <w:bCs w:val="1"/>
          <w:color w:val="auto"/>
        </w:rPr>
        <w:t>106736322</w:t>
      </w:r>
    </w:p>
    <w:p>
      <w:pPr>
        <w:spacing w:after="0" w:line="139"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IVBB-17022 Rev. 10-19</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2019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553"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THE UNDERSIGNED</w:t>
      </w:r>
      <w:r>
        <w:rPr>
          <w:rFonts w:ascii="Arial" w:cs="Arial" w:eastAsia="Arial" w:hAnsi="Arial"/>
          <w:sz w:val="17"/>
          <w:szCs w:val="17"/>
          <w:color w:val="auto"/>
        </w:rPr>
        <w:t>, the duly appointed Secretary of PennantPark Investment Corporation, a Maryland corporation (the “Corporation”), an</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9, 2023 at a meeting of the Board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reviewed the materials presented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determined that the Corporation, PennantPark Floating Rate Capital Ltd. (“PFLT”), PennantPark Investment Advisers,</w:t>
      </w:r>
      <w:r>
        <w:rPr>
          <w:rFonts w:ascii="Arial" w:cs="Arial" w:eastAsia="Arial" w:hAnsi="Arial"/>
          <w:sz w:val="18"/>
          <w:szCs w:val="18"/>
          <w:b w:val="1"/>
          <w:bCs w:val="1"/>
          <w:color w:val="auto"/>
        </w:rPr>
        <w:t xml:space="preserve"> </w:t>
      </w:r>
      <w:r>
        <w:rPr>
          <w:rFonts w:ascii="Arial" w:cs="Arial" w:eastAsia="Arial" w:hAnsi="Arial"/>
          <w:sz w:val="18"/>
          <w:szCs w:val="18"/>
          <w:color w:val="auto"/>
        </w:rPr>
        <w:t>LLC (the “Adviser”) and PennantPark Investment Administration, LLC (the “Administrator”)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and the other employees of the Corporation, PFLT, the Adviser and the Administrator from time to time and containing such provisions as may be required by the rules promulgated under 1940 Act;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proposed form and amount of the Bond considered at the Meeting be, and hereby are, approved after consideration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6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share of the premium to be allocated to the Corporation and PFLT and to the Adviser and the Administrator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020"/>
          </w:cols>
          <w:pgMar w:left="440" w:top="486" w:right="439" w:bottom="1440" w:gutter="0" w:footer="0" w:header="0"/>
        </w:sectPr>
      </w:pPr>
    </w:p>
    <w:bookmarkStart w:id="42" w:name="page43"/>
    <w:bookmarkEnd w:id="42"/>
    <w:p>
      <w:pPr>
        <w:ind w:right="6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FURTHER RESOLVED</w:t>
      </w:r>
      <w:r>
        <w:rPr>
          <w:rFonts w:ascii="Arial" w:cs="Arial" w:eastAsia="Arial" w:hAnsi="Arial"/>
          <w:sz w:val="18"/>
          <w:szCs w:val="18"/>
          <w:color w:val="auto"/>
        </w:rPr>
        <w:t>, that the proposed Joint Fidelity Bond Agreement among the Corporation, PFLT, the Adviser and the Administrator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Richard T. Allorto, Jr.,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w:t>
      </w:r>
    </w:p>
    <w:p>
      <w:pPr>
        <w:spacing w:after="0" w:line="19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giving the notices with respect to the Bond required by paragraph (g) of Rule 17g-1 under the 1940 Act;</w:t>
      </w:r>
    </w:p>
    <w:p>
      <w:pPr>
        <w:spacing w:after="0" w:line="16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to obtain and enter into a joint liability insurance policy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and amount as presented at the Meeting for all losses, covering the Corporation, PFLT,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PFLT, the Adviser and the Administrator, as the case may be, subject to such ordinary exceptions as the Officer executing the same deems reasonable or appropriate;</w:t>
      </w:r>
    </w:p>
    <w:p>
      <w:pPr>
        <w:spacing w:after="0" w:line="1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including the Independent Directors, hereby find that the Corporation’s participation in the above-referenced joint liability insurance policy is in the best interest of the Corporation; and</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share of the premium to be allocated 60% to PFLT and the Corporation and 40% to the Adviser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including the Independent Directors and that the appropriate allocation between each of PFLT and the Corporation and the Adviser and the Administrator, with respect to the joint liability insurance policy, is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an officer of the Corporation this 22</w:t>
      </w:r>
      <w:r>
        <w:rPr>
          <w:rFonts w:ascii="Arial" w:cs="Arial" w:eastAsia="Arial" w:hAnsi="Arial"/>
          <w:sz w:val="26"/>
          <w:szCs w:val="26"/>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2023.</w:t>
      </w:r>
    </w:p>
    <w:p>
      <w:pPr>
        <w:spacing w:after="0" w:line="16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486" w:right="4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This JOINT FIDELITY BOND AGREEMENT is dated as of June 9, 2020 by and among PennantPark Investment Corporation, a Maryland corporation (“PNNT”), PennantPark Floating Rate Capital Ltd., a Maryland corporation (“PFLT”), PennantPark Investment Advisers, LLC, a Delaware limited liability company (the “Adviser”), and PennantPark Investment Administration, LLC, a Delaware limited liability company (the “Administrator”).</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left="4" w:right="3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PNNT, PFLT, the Adviser, and the Administrator are joint named insureds (each, an “Insured” and collectively, the “Insureds”)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bond issued by Travelers Casualty and Surety Company of America (the “Bond”);</w:t>
      </w:r>
    </w:p>
    <w:p>
      <w:pPr>
        <w:spacing w:after="0" w:line="16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PNNT and PFLT is required to provide and maintain a fidelity bond pursuant to Rule 17g-1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(the “1940 Act”);</w:t>
      </w:r>
    </w:p>
    <w:p>
      <w:pPr>
        <w:spacing w:after="0" w:line="162" w:lineRule="exact"/>
        <w:rPr>
          <w:sz w:val="20"/>
          <w:szCs w:val="20"/>
          <w:color w:val="auto"/>
        </w:rPr>
      </w:pPr>
    </w:p>
    <w:p>
      <w:pPr>
        <w:ind w:left="4" w:right="1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respective amounts to be received by them in the event recovery is received under the Bond as a result of a loss sustained by them; and</w:t>
      </w:r>
    </w:p>
    <w:p>
      <w:pPr>
        <w:spacing w:after="0" w:line="116" w:lineRule="exact"/>
        <w:rPr>
          <w:sz w:val="20"/>
          <w:szCs w:val="20"/>
          <w:color w:val="auto"/>
        </w:rPr>
      </w:pPr>
    </w:p>
    <w:p>
      <w:pPr>
        <w:ind w:left="4" w:right="7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each of PNNT and PFLT, including a majority of the directors who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persons” of each of PNNT and PFLT (as defined in the 1940 Act).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 consideration of the premises and the mutual covenants contained herein, hereby agree as follows:</w:t>
      </w:r>
    </w:p>
    <w:p>
      <w:pPr>
        <w:spacing w:after="0" w:line="241" w:lineRule="exact"/>
        <w:rPr>
          <w:sz w:val="20"/>
          <w:szCs w:val="20"/>
          <w:color w:val="auto"/>
        </w:rPr>
      </w:pPr>
    </w:p>
    <w:p>
      <w:pPr>
        <w:ind w:left="4" w:right="20" w:hanging="4"/>
        <w:spacing w:after="0" w:line="277" w:lineRule="auto"/>
        <w:tabs>
          <w:tab w:leader="none" w:pos="1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left="4" w:right="340" w:hanging="4"/>
        <w:spacing w:after="0" w:line="286" w:lineRule="auto"/>
        <w:tabs>
          <w:tab w:leader="none" w:pos="184"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165" w:lineRule="exact"/>
        <w:rPr>
          <w:rFonts w:ascii="Arial" w:cs="Arial" w:eastAsia="Arial" w:hAnsi="Arial"/>
          <w:sz w:val="17"/>
          <w:szCs w:val="17"/>
          <w:color w:val="auto"/>
        </w:rPr>
      </w:pPr>
    </w:p>
    <w:p>
      <w:pPr>
        <w:jc w:val="both"/>
        <w:ind w:left="4" w:right="60" w:hanging="4"/>
        <w:spacing w:after="0" w:line="263" w:lineRule="auto"/>
        <w:tabs>
          <w:tab w:leader="none" w:pos="1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Agreement and the rights and duties hereunder shall not be assignable by any party hereto without written consent of the other party.</w:t>
      </w:r>
    </w:p>
    <w:p>
      <w:pPr>
        <w:spacing w:after="0" w:line="236" w:lineRule="exact"/>
        <w:rPr>
          <w:rFonts w:ascii="Arial" w:cs="Arial" w:eastAsia="Arial" w:hAnsi="Arial"/>
          <w:sz w:val="17"/>
          <w:szCs w:val="17"/>
          <w:color w:val="auto"/>
        </w:rPr>
      </w:pPr>
    </w:p>
    <w:p>
      <w:pPr>
        <w:ind w:left="4" w:right="40" w:hanging="4"/>
        <w:spacing w:after="0" w:line="277" w:lineRule="auto"/>
        <w:tabs>
          <w:tab w:leader="none" w:pos="18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024"/>
          </w:cols>
          <w:pgMar w:left="436" w:top="486" w:right="439" w:bottom="1440" w:gutter="0" w:footer="0" w:header="0"/>
        </w:sectPr>
      </w:pPr>
    </w:p>
    <w:bookmarkStart w:id="44" w:name="page45"/>
    <w:bookmarkEnd w:id="4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0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0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0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588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T. Allorto, Jr.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Managing Director</w:t>
      </w:r>
    </w:p>
    <w:sectPr>
      <w:pgSz w:w="11900" w:h="16838" w:orient="portrait"/>
      <w:cols w:equalWidth="0" w:num="1">
        <w:col w:w="10019"/>
      </w:cols>
      <w:pgMar w:left="44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1"/>
      <w:numFmt w:val="decimal"/>
      <w:start w:val="590"/>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590"/>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590"/>
    </w:lvl>
  </w:abstractNum>
  <w:abstractNum w:abstractNumId="9">
    <w:nsid w:val="153EA438"/>
    <w:multiLevelType w:val="hybridMultilevel"/>
    <w:lvl w:ilvl="0">
      <w:lvlJc w:val="left"/>
      <w:lvlText w:val="%1."/>
      <w:numFmt w:val="upperLetter"/>
      <w:start w:val="9"/>
    </w:lvl>
  </w:abstractNum>
  <w:abstractNum w:abstractNumId="10">
    <w:nsid w:val="3855585C"/>
    <w:multiLevelType w:val="hybridMultilevel"/>
    <w:lvl w:ilvl="0">
      <w:lvlJc w:val="left"/>
      <w:lvlText w:val="%1."/>
      <w:numFmt w:val="upperLetter"/>
      <w:start w:val="9"/>
    </w:lvl>
  </w:abstractNum>
  <w:abstractNum w:abstractNumId="11">
    <w:nsid w:val="70A64E2A"/>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2">
    <w:nsid w:val="6A2342EC"/>
    <w:multiLevelType w:val="hybridMultilevel"/>
    <w:lvl w:ilvl="0">
      <w:lvlJc w:val="left"/>
      <w:lvlText w:val="%1."/>
      <w:numFmt w:val="decimal"/>
      <w:start w:val="2"/>
    </w:lvl>
  </w:abstractNum>
  <w:abstractNum w:abstractNumId="13">
    <w:nsid w:val="2A487CB0"/>
    <w:multiLevelType w:val="hybridMultilevel"/>
    <w:lvl w:ilvl="0">
      <w:lvlJc w:val="left"/>
      <w:lvlText w:val="%1."/>
      <w:numFmt w:val="upperLetter"/>
      <w:start w:val="3"/>
    </w:lvl>
    <w:lvl w:ilvl="1">
      <w:lvlJc w:val="left"/>
      <w:lvlText w:val="%2."/>
      <w:numFmt w:val="decimal"/>
      <w:start w:val="1"/>
    </w:lvl>
  </w:abstractNum>
  <w:abstractNum w:abstractNumId="14">
    <w:nsid w:val="1D4ED43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5">
    <w:nsid w:val="725A06FB"/>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6">
    <w:nsid w:val="2CD89A32"/>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7">
    <w:nsid w:val="57E4CCAF"/>
    <w:multiLevelType w:val="hybridMultilevel"/>
    <w:lvl w:ilvl="0">
      <w:lvlJc w:val="left"/>
      <w:lvlText w:val="%1."/>
      <w:numFmt w:val="upperLetter"/>
      <w:start w:val="6"/>
    </w:lvl>
    <w:lvl w:ilvl="1">
      <w:lvlJc w:val="left"/>
      <w:lvlText w:val="%2."/>
      <w:numFmt w:val="decimal"/>
      <w:start w:val="1"/>
    </w:lvl>
  </w:abstractNum>
  <w:abstractNum w:abstractNumId="18">
    <w:nsid w:val="7A6D8D3C"/>
    <w:multiLevelType w:val="hybridMultilevel"/>
    <w:lvl w:ilvl="0">
      <w:lvlJc w:val="left"/>
      <w:lvlText w:val="%1."/>
      <w:numFmt w:val="upperLetter"/>
      <w:start w:val="9"/>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upperLetter"/>
      <w:start w:val="10"/>
    </w:lvl>
    <w:lvl w:ilvl="1">
      <w:lvlJc w:val="left"/>
      <w:lvlText w:val="%2."/>
      <w:numFmt w:val="decimal"/>
      <w:start w:val="1"/>
    </w:lvl>
  </w:abstractNum>
  <w:abstractNum w:abstractNumId="21">
    <w:nsid w:val="6DE91B18"/>
    <w:multiLevelType w:val="hybridMultilevel"/>
    <w:lvl w:ilvl="0">
      <w:lvlJc w:val="left"/>
      <w:lvlText w:val="%1."/>
      <w:numFmt w:val="upperLetter"/>
      <w:start w:val="61"/>
    </w:lvl>
    <w:lvl w:ilvl="1">
      <w:lvlJc w:val="left"/>
      <w:lvlText w:val="%2."/>
      <w:numFmt w:val="upperLetter"/>
      <w:start w:val="1"/>
    </w:lvl>
  </w:abstractNum>
  <w:abstractNum w:abstractNumId="22">
    <w:nsid w:val="38437FDB"/>
    <w:multiLevelType w:val="hybridMultilevel"/>
    <w:lvl w:ilvl="0">
      <w:lvlJc w:val="left"/>
      <w:lvlText w:val="%1."/>
      <w:numFmt w:val="upperLetter"/>
      <w:start w:val="2"/>
    </w:lvl>
    <w:lvl w:ilvl="1">
      <w:lvlJc w:val="left"/>
      <w:lvlText w:val="%2."/>
      <w:numFmt w:val="decimal"/>
      <w:start w:val="1"/>
    </w:lvl>
  </w:abstractNum>
  <w:abstractNum w:abstractNumId="23">
    <w:nsid w:val="7644A45C"/>
    <w:multiLevelType w:val="hybridMultilevel"/>
    <w:lvl w:ilvl="0">
      <w:lvlJc w:val="left"/>
      <w:lvlText w:val="%1"/>
      <w:numFmt w:val="upperLetter"/>
      <w:start w:val="1"/>
    </w:lvl>
    <w:lvl w:ilvl="1">
      <w:lvlJc w:val="left"/>
      <w:lvlText w:val="%2."/>
      <w:numFmt w:val="lowerLetter"/>
      <w:start w:val="1"/>
    </w:lvl>
  </w:abstractNum>
  <w:abstractNum w:abstractNumId="24">
    <w:nsid w:val="32FFF902"/>
    <w:multiLevelType w:val="hybridMultilevel"/>
    <w:lvl w:ilvl="0">
      <w:lvlJc w:val="left"/>
      <w:lvlText w:val="%1."/>
      <w:numFmt w:val="upperLetter"/>
      <w:start w:val="3"/>
    </w:lvl>
    <w:lvl w:ilvl="1">
      <w:lvlJc w:val="left"/>
      <w:lvlText w:val="%2"/>
      <w:numFmt w:val="lowerLetter"/>
      <w:start w:val="1"/>
    </w:lvl>
  </w:abstractNum>
  <w:abstractNum w:abstractNumId="25">
    <w:nsid w:val="684A481A"/>
    <w:multiLevelType w:val="hybridMultilevel"/>
    <w:lvl w:ilvl="0">
      <w:lvlJc w:val="left"/>
      <w:lvlText w:val="%1."/>
      <w:numFmt w:val="upperLetter"/>
      <w:start w:val="5"/>
    </w:lvl>
    <w:lvl w:ilvl="1">
      <w:lvlJc w:val="left"/>
      <w:lvlText w:val="%2."/>
      <w:numFmt w:val="decimal"/>
      <w:start w:val="1"/>
    </w:lvl>
  </w:abstractNum>
  <w:abstractNum w:abstractNumId="26">
    <w:nsid w:val="579478FE"/>
    <w:multiLevelType w:val="hybridMultilevel"/>
    <w:lvl w:ilvl="0">
      <w:lvlJc w:val="left"/>
      <w:lvlText w:val="%1."/>
      <w:numFmt w:val="upperLetter"/>
      <w:start w:val="1"/>
    </w:lvl>
  </w:abstractNum>
  <w:abstractNum w:abstractNumId="27">
    <w:nsid w:val="749ABB43"/>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28">
    <w:nsid w:val="3DC240FB"/>
    <w:multiLevelType w:val="hybridMultilevel"/>
    <w:lvl w:ilvl="0">
      <w:lvlJc w:val="left"/>
      <w:lvlText w:val="%1."/>
      <w:numFmt w:val="upperLetter"/>
      <w:start w:val="12"/>
    </w:lvl>
    <w:lvl w:ilvl="1">
      <w:lvlJc w:val="left"/>
      <w:lvlText w:val="%2."/>
      <w:numFmt w:val="decimal"/>
      <w:start w:val="1"/>
    </w:lvl>
  </w:abstractNum>
  <w:abstractNum w:abstractNumId="29">
    <w:nsid w:val="1BA026FA"/>
    <w:multiLevelType w:val="hybridMultilevel"/>
    <w:lvl w:ilvl="0">
      <w:lvlJc w:val="left"/>
      <w:lvlText w:val="%1."/>
      <w:numFmt w:val="decimal"/>
      <w:start w:val="6"/>
    </w:lvl>
  </w:abstractNum>
  <w:abstractNum w:abstractNumId="30">
    <w:nsid w:val="79A1DEAA"/>
    <w:multiLevelType w:val="hybridMultilevel"/>
    <w:lvl w:ilvl="0">
      <w:lvlJc w:val="left"/>
      <w:lvlText w:val="%1."/>
      <w:numFmt w:val="lowerLetter"/>
      <w:start w:val="1"/>
    </w:lvl>
    <w:lvl w:ilvl="1">
      <w:lvlJc w:val="left"/>
      <w:lvlText w:val="%2."/>
      <w:numFmt w:val="lowerLetter"/>
      <w:start w:val="2"/>
    </w:lvl>
  </w:abstractNum>
  <w:abstractNum w:abstractNumId="31">
    <w:nsid w:val="75C6C33A"/>
    <w:multiLevelType w:val="hybridMultilevel"/>
    <w:lvl w:ilvl="0">
      <w:lvlJc w:val="left"/>
      <w:lvlText w:val="%1."/>
      <w:numFmt w:val="upperLetter"/>
      <w:start w:val="19"/>
    </w:lvl>
    <w:lvl w:ilvl="1">
      <w:lvlJc w:val="left"/>
      <w:lvlText w:val="%2."/>
      <w:numFmt w:val="decimal"/>
      <w:start w:val="1"/>
    </w:lvl>
  </w:abstractNum>
  <w:abstractNum w:abstractNumId="32">
    <w:nsid w:val="12E685FB"/>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33">
    <w:nsid w:val="70C6A529"/>
    <w:multiLevelType w:val="hybridMultilevel"/>
    <w:lvl w:ilvl="0">
      <w:lvlJc w:val="left"/>
      <w:lvlText w:val="%1."/>
      <w:numFmt w:val="decimal"/>
      <w:start w:val="3"/>
    </w:lvl>
  </w:abstractNum>
  <w:abstractNum w:abstractNumId="34">
    <w:nsid w:val="520EEDD1"/>
    <w:multiLevelType w:val="hybridMultilevel"/>
    <w:lvl w:ilvl="0">
      <w:lvlJc w:val="left"/>
      <w:lvlText w:val="%1."/>
      <w:numFmt w:val="upperLetter"/>
      <w:start w:val="23"/>
    </w:lvl>
    <w:lvl w:ilvl="1">
      <w:lvlJc w:val="left"/>
      <w:lvlText w:val="%2."/>
      <w:numFmt w:val="lowerLetter"/>
      <w:start w:val="1"/>
    </w:lvl>
  </w:abstractNum>
  <w:abstractNum w:abstractNumId="35">
    <w:nsid w:val="374A3FE6"/>
    <w:multiLevelType w:val="hybridMultilevel"/>
    <w:lvl w:ilvl="0">
      <w:lvlJc w:val="left"/>
      <w:lvlText w:val="%1."/>
      <w:numFmt w:val="upperLetter"/>
      <w:start w:val="24"/>
    </w:lvl>
  </w:abstractNum>
  <w:abstractNum w:abstractNumId="36">
    <w:nsid w:val="4F4EF005"/>
    <w:multiLevelType w:val="hybridMultilevel"/>
    <w:lvl w:ilvl="0">
      <w:lvlJc w:val="left"/>
      <w:lvlText w:val="%1."/>
      <w:numFmt w:val="upperLetter"/>
      <w:start w:val="27"/>
    </w:lvl>
    <w:lvl w:ilvl="1">
      <w:lvlJc w:val="left"/>
      <w:lvlText w:val="%2."/>
      <w:numFmt w:val="decimal"/>
      <w:start w:val="1"/>
    </w:lvl>
  </w:abstractNum>
  <w:abstractNum w:abstractNumId="37">
    <w:nsid w:val="23F9C13C"/>
    <w:multiLevelType w:val="hybridMultilevel"/>
    <w:lvl w:ilvl="0">
      <w:lvlJc w:val="left"/>
      <w:lvlText w:val="%1."/>
      <w:numFmt w:val="upperLetter"/>
      <w:start w:val="34"/>
    </w:lvl>
  </w:abstractNum>
  <w:abstractNum w:abstractNumId="38">
    <w:nsid w:val="649BB77C"/>
    <w:multiLevelType w:val="hybridMultilevel"/>
    <w:lvl w:ilvl="0">
      <w:lvlJc w:val="left"/>
      <w:lvlText w:val="%1"/>
      <w:numFmt w:val="upperLetter"/>
      <w:start w:val="1"/>
    </w:lvl>
    <w:lvl w:ilvl="1">
      <w:lvlJc w:val="left"/>
      <w:lvlText w:val="%2."/>
      <w:numFmt w:val="decimal"/>
      <w:start w:val="2"/>
    </w:lvl>
  </w:abstractNum>
  <w:abstractNum w:abstractNumId="39">
    <w:nsid w:val="275AC794"/>
    <w:multiLevelType w:val="hybridMultilevel"/>
    <w:lvl w:ilvl="0">
      <w:lvlJc w:val="left"/>
      <w:lvlText w:val="%1."/>
      <w:numFmt w:val="upperLetter"/>
      <w:start w:val="37"/>
    </w:lvl>
    <w:lvl w:ilvl="1">
      <w:lvlJc w:val="left"/>
      <w:lvlText w:val="%2."/>
      <w:numFmt w:val="decimal"/>
      <w:start w:val="1"/>
    </w:lvl>
  </w:abstractNum>
  <w:abstractNum w:abstractNumId="40">
    <w:nsid w:val="39386575"/>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41">
    <w:nsid w:val="1CF10FD8"/>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42">
    <w:nsid w:val="180115BE"/>
    <w:multiLevelType w:val="hybridMultilevel"/>
    <w:lvl w:ilvl="0">
      <w:lvlJc w:val="left"/>
      <w:lvlText w:val="%1."/>
      <w:numFmt w:val="upperLetter"/>
      <w:start w:val="8"/>
    </w:lvl>
    <w:lvl w:ilvl="1">
      <w:lvlJc w:val="left"/>
      <w:lvlText w:val="%2."/>
      <w:numFmt w:val="decimal"/>
      <w:start w:val="1"/>
    </w:lvl>
  </w:abstractNum>
  <w:abstractNum w:abstractNumId="43">
    <w:nsid w:val="235BA861"/>
    <w:multiLevelType w:val="hybridMultilevel"/>
    <w:lvl w:ilvl="0">
      <w:lvlJc w:val="left"/>
      <w:lvlText w:val="%1."/>
      <w:numFmt w:val="upperLetter"/>
      <w:start w:val="9"/>
    </w:lvl>
    <w:lvl w:ilvl="1">
      <w:lvlJc w:val="left"/>
      <w:lvlText w:val="%2."/>
      <w:numFmt w:val="decimal"/>
      <w:start w:val="1"/>
    </w:lvl>
  </w:abstractNum>
  <w:abstractNum w:abstractNumId="44">
    <w:nsid w:val="47398C89"/>
    <w:multiLevelType w:val="hybridMultilevel"/>
    <w:lvl w:ilvl="0">
      <w:lvlJc w:val="left"/>
      <w:lvlText w:val="%1."/>
      <w:numFmt w:val="upperLetter"/>
      <w:start w:val="13"/>
    </w:lvl>
    <w:lvl w:ilvl="1">
      <w:lvlJc w:val="left"/>
      <w:lvlText w:val="%2."/>
      <w:numFmt w:val="decimal"/>
      <w:start w:val="1"/>
    </w:lvl>
  </w:abstractNum>
  <w:abstractNum w:abstractNumId="45">
    <w:nsid w:val="354FE9F9"/>
    <w:multiLevelType w:val="hybridMultilevel"/>
    <w:lvl w:ilvl="0">
      <w:lvlJc w:val="left"/>
      <w:lvlText w:val="%1."/>
      <w:numFmt w:val="upperLetter"/>
      <w:start w:val="18"/>
    </w:lvl>
  </w:abstractNum>
  <w:abstractNum w:abstractNumId="46">
    <w:nsid w:val="15B5AF5C"/>
    <w:multiLevelType w:val="hybridMultilevel"/>
    <w:lvl w:ilvl="0">
      <w:lvlJc w:val="left"/>
      <w:lvlText w:val="%1."/>
      <w:numFmt w:val="upperLetter"/>
      <w:start w:val="20"/>
    </w:lvl>
    <w:lvl w:ilvl="1">
      <w:lvlJc w:val="left"/>
      <w:lvlText w:val="%2."/>
      <w:numFmt w:val="decimal"/>
      <w:start w:val="1"/>
    </w:lvl>
  </w:abstractNum>
  <w:abstractNum w:abstractNumId="47">
    <w:nsid w:val="741226BB"/>
    <w:multiLevelType w:val="hybridMultilevel"/>
    <w:lvl w:ilvl="0">
      <w:lvlJc w:val="left"/>
      <w:lvlText w:val="%1."/>
      <w:numFmt w:val="upperLetter"/>
      <w:start w:val="27"/>
    </w:lvl>
  </w:abstractNum>
  <w:abstractNum w:abstractNumId="48">
    <w:nsid w:val="D34B6A8"/>
    <w:multiLevelType w:val="hybridMultilevel"/>
    <w:lvl w:ilvl="0">
      <w:lvlJc w:val="left"/>
      <w:lvlText w:val="%1."/>
      <w:numFmt w:val="upperLetter"/>
      <w:start w:val="29"/>
    </w:lvl>
  </w:abstractNum>
  <w:abstractNum w:abstractNumId="49">
    <w:nsid w:val="10233C99"/>
    <w:multiLevelType w:val="hybridMultilevel"/>
    <w:lvl w:ilvl="0">
      <w:lvlJc w:val="left"/>
      <w:lvlText w:val="%1."/>
      <w:numFmt w:val="upperLetter"/>
      <w:start w:val="1"/>
    </w:lvl>
    <w:lvl w:ilvl="1">
      <w:lvlJc w:val="left"/>
      <w:lvlText w:val="%2."/>
      <w:numFmt w:val="decimal"/>
      <w:start w:val="1"/>
    </w:lvl>
  </w:abstractNum>
  <w:abstractNum w:abstractNumId="50">
    <w:nsid w:val="3F6AB60F"/>
    <w:multiLevelType w:val="hybridMultilevel"/>
    <w:lvl w:ilvl="0">
      <w:lvlJc w:val="left"/>
      <w:lvlText w:val="%1."/>
      <w:numFmt w:val="upperLetter"/>
      <w:start w:val="3"/>
    </w:lvl>
    <w:lvl w:ilvl="1">
      <w:lvlJc w:val="left"/>
      <w:lvlText w:val="%2."/>
      <w:numFmt w:val="decimal"/>
      <w:start w:val="1"/>
    </w:lvl>
  </w:abstractNum>
  <w:abstractNum w:abstractNumId="51">
    <w:nsid w:val="61574095"/>
    <w:multiLevelType w:val="hybridMultilevel"/>
    <w:lvl w:ilvl="0">
      <w:lvlJc w:val="left"/>
      <w:lvlText w:val="%1"/>
      <w:numFmt w:val="upperLetter"/>
      <w:start w:val="1"/>
    </w:lvl>
    <w:lvl w:ilvl="1">
      <w:lvlJc w:val="left"/>
      <w:lvlText w:val="%2."/>
      <w:numFmt w:val="decimal"/>
      <w:start w:val="2"/>
    </w:lvl>
  </w:abstractNum>
  <w:abstractNum w:abstractNumId="52">
    <w:nsid w:val="7E0C57B1"/>
    <w:multiLevelType w:val="hybridMultilevel"/>
    <w:lvl w:ilvl="0">
      <w:lvlJc w:val="left"/>
      <w:lvlText w:val="%1."/>
      <w:numFmt w:val="upperLetter"/>
      <w:start w:val="9"/>
    </w:lvl>
    <w:lvl w:ilvl="1">
      <w:lvlJc w:val="left"/>
      <w:lvlText w:val="%2."/>
      <w:numFmt w:val="decimal"/>
      <w:start w:val="1"/>
    </w:lvl>
  </w:abstractNum>
  <w:abstractNum w:abstractNumId="53">
    <w:nsid w:val="77AE35EB"/>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4">
    <w:nsid w:val="579BE4F1"/>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5">
    <w:nsid w:val="310C50B3"/>
    <w:multiLevelType w:val="hybridMultilevel"/>
    <w:lvl w:ilvl="0">
      <w:lvlJc w:val="left"/>
      <w:lvlText w:val="%1."/>
      <w:numFmt w:val="upperLetter"/>
      <w:start w:val="13"/>
    </w:lvl>
    <w:lvl w:ilvl="1">
      <w:lvlJc w:val="left"/>
      <w:lvlText w:val="%2."/>
      <w:numFmt w:val="decimal"/>
      <w:start w:val="1"/>
    </w:lvl>
  </w:abstractNum>
  <w:abstractNum w:abstractNumId="56">
    <w:nsid w:val="5FF87E05"/>
    <w:multiLevelType w:val="hybridMultilevel"/>
    <w:lvl w:ilvl="0">
      <w:lvlJc w:val="left"/>
      <w:lvlText w:val="%1."/>
      <w:numFmt w:val="upperLetter"/>
      <w:start w:val="14"/>
    </w:lvl>
    <w:lvl w:ilvl="1">
      <w:lvlJc w:val="left"/>
      <w:lvlText w:val="%2."/>
      <w:numFmt w:val="decimal"/>
      <w:start w:val="1"/>
    </w:lvl>
  </w:abstractNum>
  <w:abstractNum w:abstractNumId="57">
    <w:nsid w:val="2F305DEF"/>
    <w:multiLevelType w:val="hybridMultilevel"/>
    <w:lvl w:ilvl="0">
      <w:lvlJc w:val="left"/>
      <w:lvlText w:val="%1."/>
      <w:numFmt w:val="upperLetter"/>
      <w:start w:val="17"/>
    </w:lvl>
    <w:lvl w:ilvl="1">
      <w:lvlJc w:val="left"/>
      <w:lvlText w:val="%2."/>
      <w:numFmt w:val="decimal"/>
      <w:start w:val="1"/>
    </w:lvl>
  </w:abstractNum>
  <w:abstractNum w:abstractNumId="58">
    <w:nsid w:val="25A70BF7"/>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9">
    <w:nsid w:val="1DBABF00"/>
    <w:multiLevelType w:val="hybridMultilevel"/>
    <w:lvl w:ilvl="0">
      <w:lvlJc w:val="left"/>
      <w:lvlText w:val="%1."/>
      <w:numFmt w:val="lowerLetter"/>
      <w:start w:val="3"/>
    </w:lvl>
    <w:lvl w:ilvl="1">
      <w:lvlJc w:val="left"/>
      <w:lvlText w:val="(%2)"/>
      <w:numFmt w:val="decimal"/>
      <w:start w:val="1"/>
    </w:lvl>
  </w:abstractNum>
  <w:abstractNum w:abstractNumId="60">
    <w:nsid w:val="4AD084E9"/>
    <w:multiLevelType w:val="hybridMultilevel"/>
    <w:lvl w:ilvl="0">
      <w:lvlJc w:val="left"/>
      <w:lvlText w:val="%1"/>
      <w:numFmt w:val="upperLetter"/>
      <w:start w:val="1"/>
    </w:lvl>
    <w:lvl w:ilvl="1">
      <w:lvlJc w:val="left"/>
      <w:lvlText w:val="%2."/>
      <w:numFmt w:val="decimal"/>
      <w:start w:val="3"/>
    </w:lvl>
  </w:abstractNum>
  <w:abstractNum w:abstractNumId="61">
    <w:nsid w:val="1F48EAA1"/>
    <w:multiLevelType w:val="hybridMultilevel"/>
    <w:lvl w:ilvl="0">
      <w:lvlJc w:val="left"/>
      <w:lvlText w:val="%1."/>
      <w:numFmt w:val="upperLetter"/>
      <w:start w:val="19"/>
    </w:lvl>
    <w:lvl w:ilvl="1">
      <w:lvlJc w:val="left"/>
      <w:lvlText w:val="%2."/>
      <w:numFmt w:val="decimal"/>
      <w:start w:val="1"/>
    </w:lvl>
  </w:abstractNum>
  <w:abstractNum w:abstractNumId="62">
    <w:nsid w:val="1381823A"/>
    <w:multiLevelType w:val="hybridMultilevel"/>
    <w:lvl w:ilvl="0">
      <w:lvlJc w:val="left"/>
      <w:lvlText w:val="%1."/>
      <w:numFmt w:val="upperLetter"/>
      <w:start w:val="20"/>
    </w:lvl>
  </w:abstractNum>
  <w:abstractNum w:abstractNumId="63">
    <w:nsid w:val="5DB70AE5"/>
    <w:multiLevelType w:val="hybridMultilevel"/>
    <w:lvl w:ilvl="0">
      <w:lvlJc w:val="left"/>
      <w:lvlText w:val="%1."/>
      <w:numFmt w:val="decimal"/>
      <w:start w:val="1"/>
    </w:lvl>
    <w:lvl w:ilvl="1">
      <w:lvlJc w:val="left"/>
      <w:lvlText w:val="%2."/>
      <w:numFmt w:val="upperLetter"/>
      <w:start w:val="14"/>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6">
    <w:nsid w:val="15014ACB"/>
    <w:multiLevelType w:val="hybridMultilevel"/>
    <w:lvl w:ilvl="0">
      <w:lvlJc w:val="left"/>
      <w:lvlText w:val="%1."/>
      <w:numFmt w:val="decimal"/>
      <w:start w:val="2"/>
    </w:lvl>
  </w:abstractNum>
  <w:abstractNum w:abstractNumId="67">
    <w:nsid w:val="5F5E7FD0"/>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68">
    <w:nsid w:val="98A3148"/>
    <w:multiLevelType w:val="hybridMultilevel"/>
    <w:lvl w:ilvl="0">
      <w:lvlJc w:val="left"/>
      <w:lvlText w:val="%1."/>
      <w:numFmt w:val="decimal"/>
      <w:start w:val="4"/>
    </w:lvl>
  </w:abstractNum>
  <w:abstractNum w:abstractNumId="69">
    <w:nsid w:val="799D0247"/>
    <w:multiLevelType w:val="hybridMultilevel"/>
    <w:lvl w:ilvl="0">
      <w:lvlJc w:val="left"/>
      <w:lvlText w:val="%1."/>
      <w:numFmt w:val="decimal"/>
      <w:start w:val="5"/>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2023-06-22T15:10:17Z</dcterms:created>
  <dcterms:modified xsi:type="dcterms:W3CDTF">2023-06-22T15:10:17Z</dcterms:modified>
</cp:coreProperties>
</file>