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333-230014</w:t>
      </w:r>
    </w:p>
    <w:p>
      <w:pPr>
        <w:spacing w:after="0" w:line="4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the Prospectus dated January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48895</wp:posOffset>
            </wp:positionV>
            <wp:extent cx="176593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$150,000,000</w:t>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4.50% Notes due 2026</w:t>
      </w:r>
    </w:p>
    <w:p>
      <w:pPr>
        <w:spacing w:after="0" w:line="68" w:lineRule="exact"/>
        <w:rPr>
          <w:sz w:val="24"/>
          <w:szCs w:val="24"/>
          <w:color w:val="auto"/>
        </w:rPr>
      </w:pPr>
    </w:p>
    <w:p>
      <w:pPr>
        <w:ind w:left="120" w:right="80"/>
        <w:spacing w:after="0" w:line="229" w:lineRule="auto"/>
        <w:rPr>
          <w:sz w:val="20"/>
          <w:szCs w:val="20"/>
          <w:color w:val="auto"/>
        </w:rPr>
      </w:pPr>
      <w:r>
        <w:rPr>
          <w:rFonts w:ascii="Arial" w:cs="Arial" w:eastAsia="Arial" w:hAnsi="Arial"/>
          <w:sz w:val="14"/>
          <w:szCs w:val="14"/>
          <w:color w:val="auto"/>
        </w:rPr>
        <w:t>PennantPark Investment Corporation is offering for sale $150,000,000 in aggregate principal amount of 4.50% notes due 2026, which we refer to as the Notes. The Notes will mature on May 1, 2026. We will pay interest on the Notes semi-annually in arrears on May 1 and November 1 of each year, beginning on November 1, 2021. We may redeem the Notes in whole or in part at any time or from time to time at the redemption price discussed under the caption “</w:t>
      </w:r>
      <w:r>
        <w:rPr>
          <w:rFonts w:ascii="Arial" w:cs="Arial" w:eastAsia="Arial" w:hAnsi="Arial"/>
          <w:sz w:val="14"/>
          <w:szCs w:val="14"/>
          <w:i w:val="1"/>
          <w:iCs w:val="1"/>
          <w:color w:val="auto"/>
        </w:rPr>
        <w:t>Description of the Notes—Optional redemption</w:t>
      </w:r>
      <w:r>
        <w:rPr>
          <w:rFonts w:ascii="Arial" w:cs="Arial" w:eastAsia="Arial" w:hAnsi="Arial"/>
          <w:sz w:val="14"/>
          <w:szCs w:val="14"/>
          <w:color w:val="auto"/>
        </w:rPr>
        <w:t>”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23" w:lineRule="exact"/>
        <w:rPr>
          <w:sz w:val="24"/>
          <w:szCs w:val="24"/>
          <w:color w:val="auto"/>
        </w:rPr>
      </w:pPr>
    </w:p>
    <w:p>
      <w:pPr>
        <w:ind w:left="120" w:right="40"/>
        <w:spacing w:after="0" w:line="226" w:lineRule="auto"/>
        <w:rPr>
          <w:sz w:val="20"/>
          <w:szCs w:val="20"/>
          <w:color w:val="auto"/>
        </w:rPr>
      </w:pPr>
      <w:r>
        <w:rPr>
          <w:rFonts w:ascii="Arial" w:cs="Arial" w:eastAsia="Arial" w:hAnsi="Arial"/>
          <w:sz w:val="14"/>
          <w:szCs w:val="14"/>
          <w:color w:val="auto"/>
        </w:rPr>
        <w:t xml:space="preserve">The Notes will be our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any current and future unsecured unsubordinated indebtedness issued by PennantPark Investment Corporation.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Investment Corporation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December 31, 2020, we had approximately $560.3 million of debt outstanding, of which approximately $86.3 million was unsecured and unsubordinated indebtedness, approximately $355.5 million was indebtedness secured by substantially all of our assets (excluding assets held by our consolidated subsidiary, PennantPark SBIC II LP, or SBIC II) and $118.5 million was indebtedness secured by all the investment portfolio assets of SBIC II. None of our current indebtedness will be subordinated to the Notes. Currently, there is no public market for the Notes. We do not intend to list the Notes on any securities exchange or automated dealer quotation system.</w:t>
      </w:r>
    </w:p>
    <w:p>
      <w:pPr>
        <w:spacing w:after="0" w:line="23" w:lineRule="exact"/>
        <w:rPr>
          <w:sz w:val="24"/>
          <w:szCs w:val="24"/>
          <w:color w:val="auto"/>
        </w:rPr>
      </w:pPr>
    </w:p>
    <w:p>
      <w:pPr>
        <w:ind w:left="120" w:right="40"/>
        <w:spacing w:after="0" w:line="227"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24"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15th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13" w:lineRule="exact"/>
        <w:rPr>
          <w:sz w:val="24"/>
          <w:szCs w:val="24"/>
          <w:color w:val="auto"/>
        </w:rPr>
      </w:pPr>
    </w:p>
    <w:p>
      <w:pPr>
        <w:jc w:val="both"/>
        <w:ind w:left="120" w:right="1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a high degree of risk, including the risk of leverage. Before buying any of the Notes, you should read the discussion of the material risks of investing in us in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S-</w:t>
      </w:r>
      <w:hyperlink w:anchor="page14">
        <w:r>
          <w:rPr>
            <w:rFonts w:ascii="Arial" w:cs="Arial" w:eastAsia="Arial" w:hAnsi="Arial"/>
            <w:sz w:val="14"/>
            <w:szCs w:val="14"/>
            <w:b w:val="1"/>
            <w:bCs w:val="1"/>
            <w:u w:val="single" w:color="auto"/>
            <w:color w:val="0000EE"/>
          </w:rPr>
          <w:t>12</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xml:space="preserve">of this prospectus supplement and page </w:t>
      </w:r>
      <w:hyperlink w:anchor="page62">
        <w:r>
          <w:rPr>
            <w:rFonts w:ascii="Arial" w:cs="Arial" w:eastAsia="Arial" w:hAnsi="Arial"/>
            <w:sz w:val="14"/>
            <w:szCs w:val="14"/>
            <w:b w:val="1"/>
            <w:bCs w:val="1"/>
            <w:u w:val="single" w:color="auto"/>
            <w:color w:val="0000EE"/>
          </w:rPr>
          <w:t>7</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of the accompanying prospectus, in our most recent Annual Report on Form 10-K, in our most recent Quarterly Report on Form 10-Q and in any of our other filings incorporated by reference herein.</w:t>
      </w:r>
    </w:p>
    <w:p>
      <w:pPr>
        <w:spacing w:after="0" w:line="17" w:lineRule="exact"/>
        <w:rPr>
          <w:sz w:val="20"/>
          <w:szCs w:val="20"/>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1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12"/>
                <w:szCs w:val="12"/>
                <w:color w:val="auto"/>
              </w:rPr>
              <w:t>(1)</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99.443%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149,164,500</w:t>
            </w:r>
          </w:p>
        </w:tc>
        <w:tc>
          <w:tcPr>
            <w:tcW w:w="4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3,000,000</w:t>
            </w:r>
          </w:p>
        </w:tc>
      </w:tr>
      <w:tr>
        <w:trPr>
          <w:trHeight w:val="148"/>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12"/>
                <w:szCs w:val="12"/>
                <w:color w:val="auto"/>
              </w:rPr>
              <w:t>(2)</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97.443%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146,164,500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77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8" w:lineRule="exact"/>
        <w:rPr>
          <w:sz w:val="20"/>
          <w:szCs w:val="20"/>
          <w:color w:val="auto"/>
        </w:rPr>
      </w:pPr>
    </w:p>
    <w:p>
      <w:pPr>
        <w:ind w:left="540" w:right="100" w:hanging="424"/>
        <w:spacing w:after="0" w:line="230"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set forth above does not include accrued interest, if any. Interest on the Notes will accrue from April 21, 2021 and must be paid by the purchaser if the Notes are delivered after April 21, 2021.</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Total expenses of the offering payable by us, excluding the underwriting discount, are estimated to be $0.7 million.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Delivery of the Notes in book-entry form through The Depository Trust Company, or DTC, will be made on or about April 21, 2021.</w:t>
      </w:r>
    </w:p>
    <w:p>
      <w:pPr>
        <w:spacing w:after="0" w:line="42" w:lineRule="exact"/>
        <w:rPr>
          <w:sz w:val="20"/>
          <w:szCs w:val="20"/>
          <w:color w:val="auto"/>
        </w:rPr>
      </w:pPr>
    </w:p>
    <w:p>
      <w:pPr>
        <w:ind w:left="4740"/>
        <w:spacing w:after="0"/>
        <w:rPr>
          <w:sz w:val="20"/>
          <w:szCs w:val="20"/>
          <w:color w:val="auto"/>
        </w:rPr>
      </w:pPr>
      <w:r>
        <w:rPr>
          <w:rFonts w:ascii="Arial" w:cs="Arial" w:eastAsia="Arial" w:hAnsi="Arial"/>
          <w:sz w:val="14"/>
          <w:szCs w:val="14"/>
          <w:i w:val="1"/>
          <w:iCs w:val="1"/>
          <w:color w:val="auto"/>
        </w:rPr>
        <w:t>Joint Book-Running Managers</w:t>
      </w:r>
    </w:p>
    <w:p>
      <w:pPr>
        <w:sectPr>
          <w:pgSz w:w="11900" w:h="16838" w:orient="portrait"/>
          <w:cols w:equalWidth="0" w:num="1">
            <w:col w:w="11140"/>
          </w:cols>
          <w:pgMar w:left="320" w:top="230" w:right="439" w:bottom="1440" w:gutter="0" w:footer="0" w:header="0"/>
        </w:sectPr>
      </w:pPr>
    </w:p>
    <w:p>
      <w:pPr>
        <w:spacing w:after="0" w:line="46"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Truist Securities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61" w:lineRule="exact"/>
        <w:rPr>
          <w:sz w:val="20"/>
          <w:szCs w:val="20"/>
          <w:color w:val="auto"/>
        </w:rPr>
      </w:pPr>
    </w:p>
    <w:p>
      <w:pPr>
        <w:sectPr>
          <w:pgSz w:w="11900" w:h="16838" w:orient="portrait"/>
          <w:cols w:equalWidth="0" w:num="4">
            <w:col w:w="2580" w:space="720"/>
            <w:col w:w="3160" w:space="720"/>
            <w:col w:w="1840" w:space="720"/>
            <w:col w:w="1400"/>
          </w:cols>
          <w:pgMar w:left="320" w:top="230" w:right="439" w:bottom="1440" w:gutter="0" w:footer="0" w:header="0"/>
          <w:type w:val="continuous"/>
        </w:sectPr>
      </w:pPr>
    </w:p>
    <w:p>
      <w:pPr>
        <w:ind w:left="4420"/>
        <w:spacing w:after="0"/>
        <w:rPr>
          <w:sz w:val="20"/>
          <w:szCs w:val="20"/>
          <w:color w:val="auto"/>
        </w:rPr>
      </w:pPr>
      <w:r>
        <w:rPr>
          <w:rFonts w:ascii="Arial" w:cs="Arial" w:eastAsia="Arial" w:hAnsi="Arial"/>
          <w:sz w:val="18"/>
          <w:szCs w:val="18"/>
          <w:i w:val="1"/>
          <w:iCs w:val="1"/>
          <w:color w:val="auto"/>
        </w:rPr>
        <w:t>A Stifel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Co-Managers</w:t>
      </w:r>
    </w:p>
    <w:p>
      <w:pPr>
        <w:sectPr>
          <w:pgSz w:w="11900" w:h="16838" w:orient="portrait"/>
          <w:cols w:equalWidth="0" w:num="1">
            <w:col w:w="11140"/>
          </w:cols>
          <w:pgMar w:left="320" w:top="230" w:right="43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Compass Point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JMP Securities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Ladenburg Thalmann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One Securities</w:t>
      </w:r>
    </w:p>
    <w:p>
      <w:pPr>
        <w:spacing w:after="0" w:line="48" w:lineRule="exact"/>
        <w:rPr>
          <w:sz w:val="20"/>
          <w:szCs w:val="20"/>
          <w:color w:val="auto"/>
        </w:rPr>
      </w:pPr>
    </w:p>
    <w:p>
      <w:pPr>
        <w:sectPr>
          <w:pgSz w:w="11900" w:h="16838" w:orient="portrait"/>
          <w:cols w:equalWidth="0" w:num="4">
            <w:col w:w="2400" w:space="720"/>
            <w:col w:w="2200" w:space="720"/>
            <w:col w:w="2640" w:space="720"/>
            <w:col w:w="174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color w:val="auto"/>
        </w:rPr>
        <w:t>The date of this prospectus supplement is April 14, 2021.</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60" w:type="dxa"/>
            <w:vAlign w:val="bottom"/>
            <w:gridSpan w:val="3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8"/>
              </w:rPr>
              <w:t>TABLE OF CONTENTS</w:t>
            </w:r>
          </w:p>
        </w:tc>
        <w:tc>
          <w:tcPr>
            <w:tcW w:w="40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7"/>
              </w:rPr>
              <w:t>PROSPECTUS SUPPLEMENT</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3500" w:type="dxa"/>
            <w:vAlign w:val="bottom"/>
            <w:gridSpan w:val="9"/>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THE OFFERING</w:t>
              </w:r>
            </w:hyperlink>
          </w:p>
        </w:tc>
        <w:tc>
          <w:tcPr>
            <w:tcW w:w="5660" w:type="dxa"/>
            <w:vAlign w:val="bottom"/>
            <w:gridSpan w:val="2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FORWARD-LOOKING STATEMENTS</w:t>
              </w:r>
            </w:hyperlink>
          </w:p>
        </w:tc>
        <w:tc>
          <w:tcPr>
            <w:tcW w:w="3660" w:type="dxa"/>
            <w:vAlign w:val="bottom"/>
            <w:gridSpan w:val="1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USE OF PROCEEDS</w:t>
              </w:r>
            </w:hyperlink>
          </w:p>
        </w:tc>
        <w:tc>
          <w:tcPr>
            <w:tcW w:w="5360" w:type="dxa"/>
            <w:vAlign w:val="bottom"/>
            <w:gridSpan w:val="2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CAPITALIZATION</w:t>
              </w:r>
            </w:hyperlink>
          </w:p>
        </w:tc>
        <w:tc>
          <w:tcPr>
            <w:tcW w:w="5460" w:type="dxa"/>
            <w:vAlign w:val="bottom"/>
            <w:gridSpan w:val="2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THE NOTES</w:t>
              </w:r>
            </w:hyperlink>
          </w:p>
        </w:tc>
        <w:tc>
          <w:tcPr>
            <w:tcW w:w="4480" w:type="dxa"/>
            <w:vAlign w:val="bottom"/>
            <w:gridSpan w:val="1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CERTAIN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S-37</w:t>
            </w:r>
          </w:p>
        </w:tc>
      </w:tr>
      <w:tr>
        <w:trPr>
          <w:trHeight w:val="196"/>
        </w:trPr>
        <w:tc>
          <w:tcPr>
            <w:tcW w:w="12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UNDERWRITING</w:t>
              </w:r>
            </w:hyperlink>
          </w:p>
        </w:tc>
        <w:tc>
          <w:tcPr>
            <w:tcW w:w="2240" w:type="dxa"/>
            <w:vAlign w:val="bottom"/>
            <w:gridSpan w:val="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S-41</w:t>
            </w:r>
          </w:p>
        </w:tc>
      </w:tr>
      <w:tr>
        <w:trPr>
          <w:trHeight w:val="20"/>
        </w:trPr>
        <w:tc>
          <w:tcPr>
            <w:tcW w:w="120" w:type="dxa"/>
            <w:vAlign w:val="bottom"/>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S-48</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INDEPENDENT REGISTERED PUBLIC ACCOUNTING FIRM</w:t>
              </w:r>
            </w:hyperlink>
          </w:p>
        </w:tc>
        <w:tc>
          <w:tcPr>
            <w:tcW w:w="2140" w:type="dxa"/>
            <w:vAlign w:val="bottom"/>
            <w:gridSpan w:val="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S-48</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S-50</w:t>
            </w:r>
          </w:p>
        </w:tc>
      </w:tr>
      <w:tr>
        <w:trPr>
          <w:trHeight w:val="668"/>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PROSPECTUS</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4860" w:type="dxa"/>
            <w:vAlign w:val="bottom"/>
            <w:gridSpan w:val="2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5160" w:type="dxa"/>
            <w:vAlign w:val="bottom"/>
            <w:gridSpan w:val="2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FORWARD-LOOKING STATEMENTS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2"/>
          </w:tcPr>
          <w:p>
            <w:pPr>
              <w:spacing w:after="0"/>
              <w:rPr>
                <w:sz w:val="17"/>
                <w:szCs w:val="17"/>
                <w:color w:val="auto"/>
              </w:rPr>
            </w:pPr>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PRICE RANGE OF COMMON STOCK</w:t>
              </w:r>
            </w:hyperlink>
          </w:p>
        </w:tc>
        <w:tc>
          <w:tcPr>
            <w:tcW w:w="3980" w:type="dxa"/>
            <w:vAlign w:val="bottom"/>
            <w:gridSpan w:val="1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SALES OF COMMON STOCK BELOW NET ASSET VALUE</w:t>
              </w:r>
            </w:hyperlink>
          </w:p>
        </w:tc>
        <w:tc>
          <w:tcPr>
            <w:tcW w:w="2300" w:type="dxa"/>
            <w:vAlign w:val="bottom"/>
            <w:gridSpan w:val="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DISTRIBUTIONS</w:t>
              </w:r>
            </w:hyperlink>
          </w:p>
        </w:tc>
        <w:tc>
          <w:tcPr>
            <w:tcW w:w="5560" w:type="dxa"/>
            <w:vAlign w:val="bottom"/>
            <w:gridSpan w:val="2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PORTFOLIO COMPANIES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PORTFOLIO MANAGEMENT</w:t>
              </w:r>
            </w:hyperlink>
          </w:p>
        </w:tc>
        <w:tc>
          <w:tcPr>
            <w:tcW w:w="4620" w:type="dxa"/>
            <w:vAlign w:val="bottom"/>
            <w:gridSpan w:val="1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DETERMINATION OF NET ASSET VALUE</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86">
              <w:r>
                <w:rPr>
                  <w:rFonts w:ascii="Arial" w:cs="Arial" w:eastAsia="Arial" w:hAnsi="Arial"/>
                  <w:sz w:val="18"/>
                  <w:szCs w:val="18"/>
                  <w:color w:val="0000EE"/>
                  <w:w w:val="98"/>
                </w:rPr>
                <w:t>DIVIDEND REINVESTMENT PLAN</w:t>
              </w:r>
            </w:hyperlink>
          </w:p>
        </w:tc>
        <w:tc>
          <w:tcPr>
            <w:tcW w:w="540" w:type="dxa"/>
            <w:vAlign w:val="bottom"/>
            <w:tcBorders>
              <w:top w:val="single" w:sz="8" w:color="0000EE"/>
            </w:tcBorders>
            <w:gridSpan w:val="6"/>
          </w:tcPr>
          <w:p>
            <w:pPr>
              <w:spacing w:after="0"/>
              <w:rPr>
                <w:sz w:val="17"/>
                <w:szCs w:val="17"/>
                <w:color w:val="auto"/>
              </w:rPr>
            </w:pPr>
          </w:p>
        </w:tc>
        <w:tc>
          <w:tcPr>
            <w:tcW w:w="3580" w:type="dxa"/>
            <w:vAlign w:val="bottom"/>
            <w:gridSpan w:val="10"/>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OUR CAPITAL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OUR PREFERRED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3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3380" w:type="dxa"/>
            <w:vAlign w:val="bottom"/>
            <w:gridSpan w:val="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OUR DEBT SECURITIES</w:t>
              </w:r>
            </w:hyperlink>
          </w:p>
        </w:tc>
        <w:tc>
          <w:tcPr>
            <w:tcW w:w="3060" w:type="dxa"/>
            <w:vAlign w:val="bottom"/>
            <w:gridSpan w:val="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DESCRIPTION OF OUR UNITS</w:t>
              </w:r>
            </w:hyperlink>
          </w:p>
        </w:tc>
        <w:tc>
          <w:tcPr>
            <w:tcW w:w="3500" w:type="dxa"/>
            <w:vAlign w:val="bottom"/>
            <w:gridSpan w:val="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114">
              <w:r>
                <w:rPr>
                  <w:rFonts w:ascii="Arial" w:cs="Arial" w:eastAsia="Arial" w:hAnsi="Arial"/>
                  <w:sz w:val="18"/>
                  <w:szCs w:val="18"/>
                  <w:color w:val="0000EE"/>
                  <w:w w:val="96"/>
                </w:rPr>
                <w:t>BROKERAGE ALLOCATIONS AND OTHER PRACTICES</w:t>
              </w:r>
            </w:hyperlink>
          </w:p>
        </w:tc>
        <w:tc>
          <w:tcPr>
            <w:tcW w:w="2460" w:type="dxa"/>
            <w:vAlign w:val="bottom"/>
            <w:gridSpan w:val="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MATERIAL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4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PLAN OF DISTRIBUTION</w:t>
              </w:r>
            </w:hyperlink>
          </w:p>
        </w:tc>
        <w:tc>
          <w:tcPr>
            <w:tcW w:w="2080" w:type="dxa"/>
            <w:vAlign w:val="bottom"/>
            <w:gridSpan w:val="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80" w:type="dxa"/>
            <w:vAlign w:val="bottom"/>
            <w:gridSpan w:val="1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SUB-ADMINISTRATOR, CUSTODIAN, TRANSFER AGENT AND TRUSTEE</w:t>
              </w:r>
            </w:hyperlink>
          </w:p>
        </w:tc>
        <w:tc>
          <w:tcPr>
            <w:tcW w:w="1000" w:type="dxa"/>
            <w:vAlign w:val="bottom"/>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INDEPENDENT REGISTERED PUBLIC ACCOUNTING FIRM/INDEPENDENT AUDITOR</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6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THE DOCUMENTS WE INCORPORATE BY REFERENCE HEREIN, AND THE ACCOMPANYING PROSPECTUS AND ANY FREE WRITING PROSPECTUS, INCLUDING THE DOCUMENTS WE INCORPORATE BY REFERENCE THEREIN.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AND THE ACCOMPANYING PROSPECTUS AND ANY FREE WRITING PROSPECTUS, INCLUDING THE DOCUMENTS WE INCORPORATE BY REFERENCE THEREIN, IS ACCURATE ONLY AS OF THEIR RESPECTIVE DATES,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r>
        <w:rPr>
          <w:rFonts w:ascii="Arial" w:cs="Arial" w:eastAsia="Arial" w:hAnsi="Arial"/>
          <w:sz w:val="16"/>
          <w:szCs w:val="16"/>
          <w:i w:val="1"/>
          <w:iCs w:val="1"/>
          <w:color w:val="auto"/>
        </w:rPr>
        <w:t>Description of the Notes</w:t>
      </w:r>
      <w:r>
        <w:rPr>
          <w:rFonts w:ascii="Arial" w:cs="Arial" w:eastAsia="Arial" w:hAnsi="Arial"/>
          <w:sz w:val="16"/>
          <w:szCs w:val="16"/>
          <w:color w:val="auto"/>
        </w:rPr>
        <w:t>” in this prospectus supplement and under the heading “</w:t>
      </w:r>
      <w:r>
        <w:rPr>
          <w:rFonts w:ascii="Arial" w:cs="Arial" w:eastAsia="Arial" w:hAnsi="Arial"/>
          <w:sz w:val="16"/>
          <w:szCs w:val="16"/>
          <w:i w:val="1"/>
          <w:iCs w:val="1"/>
          <w:color w:val="auto"/>
        </w:rPr>
        <w:t>Description of Our Debt</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in the accompanying prospectus before investing in the Notes. Capitalized terms used in this prospectus supplement and not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will have the meanings ascribed to them in the accompanying prospectus or in the indenture governing the Notes.</w:t>
      </w:r>
    </w:p>
    <w:p>
      <w:pPr>
        <w:sectPr>
          <w:pgSz w:w="11900" w:h="16838" w:orient="portrait"/>
          <w:cols w:equalWidth="0" w:num="1">
            <w:col w:w="11120"/>
          </w:cols>
          <w:pgMar w:left="320" w:top="459" w:right="45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160"/>
        <w:spacing w:after="0"/>
        <w:rPr>
          <w:sz w:val="20"/>
          <w:szCs w:val="20"/>
          <w:color w:val="auto"/>
        </w:rPr>
      </w:pPr>
      <w:r>
        <w:rPr>
          <w:rFonts w:ascii="Arial" w:cs="Arial" w:eastAsia="Arial" w:hAnsi="Arial"/>
          <w:sz w:val="16"/>
          <w:szCs w:val="16"/>
          <w:color w:val="auto"/>
        </w:rPr>
        <w:t>PennantPark Investment Corporation</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4.50% Notes due 2026</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$150.0 million</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3700"/>
        <w:spacing w:after="0"/>
        <w:rPr>
          <w:sz w:val="20"/>
          <w:szCs w:val="20"/>
          <w:color w:val="auto"/>
        </w:rPr>
      </w:pPr>
      <w:r>
        <w:rPr>
          <w:rFonts w:ascii="Arial" w:cs="Arial" w:eastAsia="Arial" w:hAnsi="Arial"/>
          <w:sz w:val="16"/>
          <w:szCs w:val="16"/>
          <w:color w:val="auto"/>
        </w:rPr>
        <w:t>99.443% of the aggregate principal amount</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payable at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100% of the aggregate principal amount; the principal amount of each Note will be payable on its stated maturity date at the office of the Paying Agent, Registrar and Transfer Agent for the Notes or at such other office in New York City as we may designate.</w:t>
      </w:r>
    </w:p>
    <w:p>
      <w:pPr>
        <w:spacing w:after="0" w:line="192"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Type of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Fixed-rate note</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established trading market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do not intend to list the Notes on any securities exchange or automated dealer quotation system. Although the underwriters have informed us that they intend to make a market in the Notes, they are not obligated to do so, and may discontinue any such market at any time without notice. Accordingly, we cannot assure you that a liquid market for the Notes will develop or be maintained.</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4.50% per year</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4.625%</w:t>
      </w:r>
    </w:p>
    <w:p>
      <w:pPr>
        <w:spacing w:after="0" w:line="211"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 count basis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360-day year of twelve 30-day months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April 21, 2021</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Stated maturity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May 1, 2026</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interest starts accruing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April 21, 2021</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Every May 1, and November 1, commencing November 1, 2021. If an interest payment date is a non-business day, the applicable interest payment will be made on the next business day, and no additional interest will accrue as a result of such delayed payment.</w:t>
      </w:r>
    </w:p>
    <w:p>
      <w:pPr>
        <w:spacing w:after="0" w:line="192"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Interest periods</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The initial interest period will be the period from and including April 21, 2021, to, but excluding, the initial interest payment date,</w:t>
      </w:r>
    </w:p>
    <w:p>
      <w:pPr>
        <w:spacing w:after="0" w:line="103"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120"/>
          </w:cols>
          <w:pgMar w:left="320" w:top="459" w:right="4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7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0"/>
              </w:rPr>
              <w:t>and the subsequent interest periods will be the periods from and including an interest payment</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1"/>
              </w:rPr>
              <w:t>date to, but excluding, the next interest payment date or the stated maturity date, as the case</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may be.</w:t>
            </w:r>
          </w:p>
        </w:tc>
      </w:tr>
      <w:tr>
        <w:trPr>
          <w:trHeight w:val="458"/>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Regular record dates for interest</w:t>
            </w: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Every April 15, and October 15, commencing October 15, 2021 (whether or not a business</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day).</w:t>
            </w:r>
          </w:p>
        </w:tc>
      </w:tr>
      <w:tr>
        <w:trPr>
          <w:trHeight w:val="459"/>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Specified currency</w:t>
            </w:r>
          </w:p>
        </w:tc>
        <w:tc>
          <w:tcPr>
            <w:tcW w:w="7740" w:type="dxa"/>
            <w:vAlign w:val="bottom"/>
          </w:tcPr>
          <w:p>
            <w:pPr>
              <w:ind w:left="940"/>
              <w:spacing w:after="0"/>
              <w:rPr>
                <w:sz w:val="20"/>
                <w:szCs w:val="20"/>
                <w:color w:val="auto"/>
              </w:rPr>
            </w:pPr>
            <w:r>
              <w:rPr>
                <w:rFonts w:ascii="Arial" w:cs="Arial" w:eastAsia="Arial" w:hAnsi="Arial"/>
                <w:sz w:val="18"/>
                <w:szCs w:val="18"/>
                <w:color w:val="auto"/>
              </w:rPr>
              <w:t>U.S. Dollars</w:t>
            </w:r>
          </w:p>
        </w:tc>
      </w:tr>
      <w:tr>
        <w:trPr>
          <w:trHeight w:val="47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Place of payment</w:t>
            </w:r>
          </w:p>
        </w:tc>
        <w:tc>
          <w:tcPr>
            <w:tcW w:w="7740" w:type="dxa"/>
            <w:vAlign w:val="bottom"/>
          </w:tcPr>
          <w:p>
            <w:pPr>
              <w:ind w:left="940"/>
              <w:spacing w:after="0"/>
              <w:rPr>
                <w:sz w:val="20"/>
                <w:szCs w:val="20"/>
                <w:color w:val="auto"/>
              </w:rPr>
            </w:pPr>
            <w:r>
              <w:rPr>
                <w:rFonts w:ascii="Arial" w:cs="Arial" w:eastAsia="Arial" w:hAnsi="Arial"/>
                <w:sz w:val="18"/>
                <w:szCs w:val="18"/>
                <w:color w:val="auto"/>
              </w:rPr>
              <w:t>The City of New York</w:t>
            </w:r>
          </w:p>
        </w:tc>
      </w:tr>
      <w:tr>
        <w:trPr>
          <w:trHeight w:val="472"/>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Ranking of Notes</w:t>
            </w:r>
          </w:p>
        </w:tc>
        <w:tc>
          <w:tcPr>
            <w:tcW w:w="7740" w:type="dxa"/>
            <w:vAlign w:val="bottom"/>
          </w:tcPr>
          <w:p>
            <w:pPr>
              <w:ind w:left="94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458"/>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98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i w:val="1"/>
                <w:iCs w:val="1"/>
                <w:color w:val="auto"/>
                <w:w w:val="97"/>
              </w:rPr>
              <w:t>pari passu</w:t>
            </w:r>
            <w:r>
              <w:rPr>
                <w:rFonts w:ascii="Arial" w:cs="Arial" w:eastAsia="Arial" w:hAnsi="Arial"/>
                <w:sz w:val="18"/>
                <w:szCs w:val="18"/>
                <w:color w:val="auto"/>
                <w:w w:val="97"/>
              </w:rPr>
              <w:t xml:space="preserve"> in right of payment with any existing and future unsecured unsubordinated</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rPr>
              <w:t>indebtedness, including approximately $86.3 million in aggregate principal amount</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w w:val="89"/>
              </w:rPr>
              <w:t>outstanding under our 5.50% Notes due 2024, or the 2024 Notes, as of December 31, 2020;</w:t>
            </w:r>
          </w:p>
        </w:tc>
      </w:tr>
      <w:tr>
        <w:trPr>
          <w:trHeight w:val="323"/>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980"/>
              <w:spacing w:after="0"/>
              <w:rPr>
                <w:sz w:val="20"/>
                <w:szCs w:val="20"/>
                <w:color w:val="auto"/>
              </w:rPr>
            </w:pPr>
            <w:r>
              <w:rPr>
                <w:rFonts w:ascii="Arial" w:cs="Arial" w:eastAsia="Arial" w:hAnsi="Arial"/>
                <w:sz w:val="18"/>
                <w:szCs w:val="18"/>
                <w:color w:val="auto"/>
                <w:w w:val="93"/>
              </w:rPr>
              <w:t>• senior to any of our future indebtedness that expressly states it is subordinated in right of</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rPr>
              <w:t>payment to the Notes;</w:t>
            </w:r>
          </w:p>
        </w:tc>
      </w:tr>
      <w:tr>
        <w:trPr>
          <w:trHeight w:val="338"/>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980"/>
              <w:spacing w:after="0"/>
              <w:rPr>
                <w:sz w:val="20"/>
                <w:szCs w:val="20"/>
                <w:color w:val="auto"/>
              </w:rPr>
            </w:pPr>
            <w:r>
              <w:rPr>
                <w:rFonts w:ascii="Arial" w:cs="Arial" w:eastAsia="Arial" w:hAnsi="Arial"/>
                <w:sz w:val="18"/>
                <w:szCs w:val="18"/>
                <w:color w:val="auto"/>
              </w:rPr>
              <w:t>• senior to any series of preferred stock that we may issue in the future;</w:t>
            </w:r>
          </w:p>
        </w:tc>
      </w:tr>
      <w:tr>
        <w:trPr>
          <w:trHeight w:val="323"/>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980"/>
              <w:spacing w:after="0"/>
              <w:rPr>
                <w:sz w:val="20"/>
                <w:szCs w:val="20"/>
                <w:color w:val="auto"/>
              </w:rPr>
            </w:pPr>
            <w:r>
              <w:rPr>
                <w:rFonts w:ascii="Arial" w:cs="Arial" w:eastAsia="Arial" w:hAnsi="Arial"/>
                <w:sz w:val="18"/>
                <w:szCs w:val="18"/>
                <w:color w:val="auto"/>
              </w:rPr>
              <w:t>• effectively subordinated in right of payment to all of our existing and future secured</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rPr>
              <w:t>indebtedness (including indebtedness that is initially unsecured, but to which we</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rPr>
              <w:t>subsequently grant security), to the extent of the value of the assets securing such</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w w:val="91"/>
              </w:rPr>
              <w:t>indebtedness, including approximately $355.5 million of borrowings outstanding under our</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rPr>
              <w:t>multi-currency, senior secured revolving credit facility with Truist Bank (formerly</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w w:val="91"/>
              </w:rPr>
              <w:t>SunTrust Bank), as amended and restated, or the Truist Credit Facility, to the extent of the</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w w:val="98"/>
              </w:rPr>
              <w:t>value of the assets securing the Truist Credit Facility, as of December 31, 2020; and</w:t>
            </w:r>
          </w:p>
        </w:tc>
      </w:tr>
      <w:tr>
        <w:trPr>
          <w:trHeight w:val="323"/>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980"/>
              <w:spacing w:after="0"/>
              <w:rPr>
                <w:sz w:val="20"/>
                <w:szCs w:val="20"/>
                <w:color w:val="auto"/>
              </w:rPr>
            </w:pPr>
            <w:r>
              <w:rPr>
                <w:rFonts w:ascii="Arial" w:cs="Arial" w:eastAsia="Arial" w:hAnsi="Arial"/>
                <w:sz w:val="18"/>
                <w:szCs w:val="18"/>
                <w:color w:val="auto"/>
                <w:w w:val="95"/>
              </w:rPr>
              <w:t>• structurally subordinated to all existing and future indebtedness and other obligations of</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w w:val="94"/>
              </w:rPr>
              <w:t>any of our subsidiaries, financing vehicles or similar facilities, including $118.5 million of</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w w:val="90"/>
              </w:rPr>
              <w:t>indebtedness outstanding under our Small Business Administration, or SBA, debentures as</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1160"/>
              <w:spacing w:after="0"/>
              <w:rPr>
                <w:sz w:val="20"/>
                <w:szCs w:val="20"/>
                <w:color w:val="auto"/>
              </w:rPr>
            </w:pPr>
            <w:r>
              <w:rPr>
                <w:rFonts w:ascii="Arial" w:cs="Arial" w:eastAsia="Arial" w:hAnsi="Arial"/>
                <w:sz w:val="18"/>
                <w:szCs w:val="18"/>
                <w:color w:val="auto"/>
              </w:rPr>
              <w:t>of December 31, 2020.</w:t>
            </w:r>
          </w:p>
        </w:tc>
      </w:tr>
      <w:tr>
        <w:trPr>
          <w:trHeight w:val="445"/>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Denominations</w:t>
            </w:r>
          </w:p>
        </w:tc>
        <w:tc>
          <w:tcPr>
            <w:tcW w:w="7740" w:type="dxa"/>
            <w:vAlign w:val="bottom"/>
          </w:tcPr>
          <w:p>
            <w:pPr>
              <w:ind w:left="940"/>
              <w:spacing w:after="0"/>
              <w:rPr>
                <w:sz w:val="20"/>
                <w:szCs w:val="20"/>
                <w:color w:val="auto"/>
              </w:rPr>
            </w:pPr>
            <w:r>
              <w:rPr>
                <w:rFonts w:ascii="Arial" w:cs="Arial" w:eastAsia="Arial" w:hAnsi="Arial"/>
                <w:sz w:val="18"/>
                <w:szCs w:val="18"/>
                <w:color w:val="auto"/>
                <w:w w:val="91"/>
              </w:rPr>
              <w:t>We will issue the Notes in denominations of $2,000 and integral multiples of $1,000 in excess</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thereof.</w:t>
            </w:r>
          </w:p>
        </w:tc>
      </w:tr>
      <w:tr>
        <w:trPr>
          <w:trHeight w:val="445"/>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Business day</w:t>
            </w: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Any day other than a Saturday, a Sunday or a day on which banking institutions in New York</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9"/>
              </w:rPr>
              <w:t>or the city in which the corporate trust office of the trustee is located are authorized or</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obligated by law or executive order to close.</w:t>
            </w:r>
          </w:p>
        </w:tc>
      </w:tr>
      <w:tr>
        <w:trPr>
          <w:trHeight w:val="445"/>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Optional redemption</w:t>
            </w:r>
          </w:p>
        </w:tc>
        <w:tc>
          <w:tcPr>
            <w:tcW w:w="7740" w:type="dxa"/>
            <w:vAlign w:val="bottom"/>
          </w:tcPr>
          <w:p>
            <w:pPr>
              <w:ind w:left="940"/>
              <w:spacing w:after="0"/>
              <w:rPr>
                <w:sz w:val="20"/>
                <w:szCs w:val="20"/>
                <w:color w:val="auto"/>
              </w:rPr>
            </w:pPr>
            <w:r>
              <w:rPr>
                <w:rFonts w:ascii="Arial" w:cs="Arial" w:eastAsia="Arial" w:hAnsi="Arial"/>
                <w:sz w:val="18"/>
                <w:szCs w:val="18"/>
                <w:color w:val="auto"/>
                <w:w w:val="91"/>
              </w:rPr>
              <w:t>We may redeem some or all of the Notes at any time, or from time to time, upon not less than</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30 days’ nor more than 60 days’ written notice prior to the date fixed for redemption thereof,</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at a redemption price equal to the greater of (1) 100% of the principal amount of the</w:t>
            </w:r>
          </w:p>
        </w:tc>
      </w:tr>
      <w:tr>
        <w:trPr>
          <w:trHeight w:val="365"/>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Arial" w:cs="Arial" w:eastAsia="Arial" w:hAnsi="Arial"/>
                <w:sz w:val="18"/>
                <w:szCs w:val="18"/>
                <w:color w:val="auto"/>
              </w:rPr>
              <w:t>S-3</w:t>
            </w:r>
          </w:p>
        </w:tc>
      </w:tr>
    </w:tbl>
    <w:p>
      <w:pPr>
        <w:ind w:left="214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300" w:right="40"/>
        <w:spacing w:after="0" w:line="289" w:lineRule="auto"/>
        <w:rPr>
          <w:sz w:val="20"/>
          <w:szCs w:val="20"/>
          <w:color w:val="auto"/>
        </w:rPr>
      </w:pPr>
      <w:r>
        <w:rPr>
          <w:rFonts w:ascii="Arial" w:cs="Arial" w:eastAsia="Arial" w:hAnsi="Arial"/>
          <w:sz w:val="16"/>
          <w:szCs w:val="16"/>
          <w:color w:val="auto"/>
        </w:rPr>
        <w:t xml:space="preserve">Notes to be redeemed or (2) 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 plus, in each case, accrued and unpaid interest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we redeem any Notes on or after February 1, 2026 (the date falling three months prior to the maturity date of the Notes), the redemption price for the Notes will be equal to 100% of the principal amount of the Notes to be redeemed, plus accrued and unpaid interest, if any, to, but excluding, the date of redemption.</w:t>
      </w:r>
    </w:p>
    <w:p>
      <w:pPr>
        <w:spacing w:after="0" w:line="193" w:lineRule="exact"/>
        <w:rPr>
          <w:sz w:val="20"/>
          <w:szCs w:val="20"/>
          <w:color w:val="auto"/>
        </w:rPr>
      </w:pPr>
    </w:p>
    <w:p>
      <w:pPr>
        <w:ind w:left="4300" w:right="60"/>
        <w:spacing w:after="0" w:line="308" w:lineRule="auto"/>
        <w:rPr>
          <w:sz w:val="20"/>
          <w:szCs w:val="20"/>
          <w:color w:val="auto"/>
        </w:rPr>
      </w:pPr>
      <w:r>
        <w:rPr>
          <w:rFonts w:ascii="Arial" w:cs="Arial" w:eastAsia="Arial" w:hAnsi="Arial"/>
          <w:sz w:val="17"/>
          <w:szCs w:val="17"/>
          <w:color w:val="auto"/>
        </w:rPr>
        <w:t>Any exercise of our option to redeem the Notes will be done in compliance with the 1940 Act and the related rules, regulations and interpretations, to the extent applicable.</w:t>
      </w:r>
    </w:p>
    <w:p>
      <w:pPr>
        <w:spacing w:after="0" w:line="173" w:lineRule="exact"/>
        <w:rPr>
          <w:sz w:val="20"/>
          <w:szCs w:val="20"/>
          <w:color w:val="auto"/>
        </w:rPr>
      </w:pPr>
    </w:p>
    <w:p>
      <w:pPr>
        <w:ind w:left="4300" w:right="60"/>
        <w:spacing w:after="0" w:line="301" w:lineRule="auto"/>
        <w:rPr>
          <w:sz w:val="20"/>
          <w:szCs w:val="20"/>
          <w:color w:val="auto"/>
        </w:rPr>
      </w:pPr>
      <w:r>
        <w:rPr>
          <w:rFonts w:ascii="Arial" w:cs="Arial" w:eastAsia="Arial" w:hAnsi="Arial"/>
          <w:sz w:val="16"/>
          <w:szCs w:val="16"/>
          <w:color w:val="auto"/>
        </w:rPr>
        <w:t>If we redeem only some of the Notes, the Trustee or DTC, as applicable, will determine the method for selection of the particular Notes to be redeemed, in accordance with the 1940 Act, to the extent applicable. Unless we default in payment of the redemption price, on and after the date of redemption interest will cease to accrue on the Notes called for redemption.</w:t>
      </w:r>
    </w:p>
    <w:p>
      <w:pPr>
        <w:spacing w:after="0" w:line="184"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color w:val="auto"/>
        </w:rPr>
        <w:t>Sinking fund</w:t>
      </w:r>
      <w:r>
        <w:rPr>
          <w:sz w:val="20"/>
          <w:szCs w:val="20"/>
          <w:color w:val="auto"/>
        </w:rPr>
        <w:tab/>
      </w:r>
      <w:r>
        <w:rPr>
          <w:rFonts w:ascii="Arial" w:cs="Arial" w:eastAsia="Arial" w:hAnsi="Arial"/>
          <w:sz w:val="16"/>
          <w:szCs w:val="16"/>
          <w:color w:val="auto"/>
        </w:rPr>
        <w:t>The Notes will not be subject to any sinking fund.</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 to Purchase upon a Change of Control Repurchase  If a Change of Control Repurchase Event (as defined below) occurs prior to maturity, unless</w:t>
      </w:r>
    </w:p>
    <w:p>
      <w:pPr>
        <w:spacing w:after="0" w:line="46" w:lineRule="exact"/>
        <w:rPr>
          <w:sz w:val="20"/>
          <w:szCs w:val="20"/>
          <w:color w:val="auto"/>
        </w:rPr>
      </w:pPr>
    </w:p>
    <w:p>
      <w:pPr>
        <w:ind w:left="4300" w:right="140" w:hanging="4099"/>
        <w:spacing w:after="0" w:line="273" w:lineRule="auto"/>
        <w:tabs>
          <w:tab w:leader="none" w:pos="4280" w:val="left"/>
        </w:tabs>
        <w:rPr>
          <w:sz w:val="20"/>
          <w:szCs w:val="20"/>
          <w:color w:val="auto"/>
        </w:rPr>
      </w:pPr>
      <w:r>
        <w:rPr>
          <w:rFonts w:ascii="Arial" w:cs="Arial" w:eastAsia="Arial" w:hAnsi="Arial"/>
          <w:sz w:val="17"/>
          <w:szCs w:val="17"/>
          <w:color w:val="auto"/>
        </w:rPr>
        <w:t>Event</w:t>
      </w:r>
      <w:r>
        <w:rPr>
          <w:sz w:val="20"/>
          <w:szCs w:val="20"/>
          <w:color w:val="auto"/>
        </w:rPr>
        <w:tab/>
      </w:r>
      <w:r>
        <w:rPr>
          <w:rFonts w:ascii="Arial" w:cs="Arial" w:eastAsia="Arial" w:hAnsi="Arial"/>
          <w:sz w:val="17"/>
          <w:szCs w:val="17"/>
          <w:color w:val="auto"/>
        </w:rPr>
        <w:t>we have exercised our right to redeem the Notes in full, holders of the Notes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ectPr>
          <w:pgSz w:w="11900" w:h="16838" w:orient="portrait"/>
          <w:cols w:equalWidth="0" w:num="1">
            <w:col w:w="11120"/>
          </w:cols>
          <w:pgMar w:left="320" w:top="459" w:right="45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Defeasance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Notes are subject to defeasance by us.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0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Covenant defeasance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The Notes are subject to covenant defeasance by us.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 of Notes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Trustee, Paying Agent, Registrar and Transfer Agent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American Stock Transfer &amp; Trust Company, LLC</w:t>
      </w:r>
    </w:p>
    <w:p>
      <w:pPr>
        <w:spacing w:after="0" w:line="194" w:lineRule="exact"/>
        <w:rPr>
          <w:sz w:val="20"/>
          <w:szCs w:val="20"/>
          <w:color w:val="auto"/>
        </w:rPr>
      </w:pPr>
    </w:p>
    <w:p>
      <w:pPr>
        <w:sectPr>
          <w:pgSz w:w="11900" w:h="16838" w:orient="portrait"/>
          <w:cols w:equalWidth="0" w:num="2">
            <w:col w:w="3920" w:space="380"/>
            <w:col w:w="68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120"/>
          </w:cols>
          <w:pgMar w:left="320" w:top="459"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46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519"/>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Other covenants</w:t>
            </w:r>
          </w:p>
        </w:tc>
        <w:tc>
          <w:tcPr>
            <w:tcW w:w="7280" w:type="dxa"/>
            <w:vAlign w:val="bottom"/>
          </w:tcPr>
          <w:p>
            <w:pPr>
              <w:ind w:left="48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3"/>
              </w:rPr>
              <w:t>violate Section 18(a)(1)(A) of the 1940 Act as modified by Section 61(a)(1) and (2)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89"/>
              </w:rPr>
              <w:t>1940 Act or any successor provisions, as such obligations may be amended or superseded,</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giving effect to any exemptive relief granted to us by the SEC.</w:t>
            </w: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w w:val="93"/>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0"/>
              </w:rPr>
              <w:t>the Securities Exchange Act of 1934, as amended, or the Exchange Act, to file any periodic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3"/>
              </w:rPr>
              <w:t>reports with the SEC, we agree to publish on our website and to furnish to holders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2"/>
              </w:rPr>
              <w:t>Notes and the Trustee, for the period of time during which the Notes are outstanding, our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0"/>
              </w:rPr>
              <w:t>audited annual consolidated financial statements, within 90 days of our fiscal year end, and</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4"/>
              </w:rPr>
              <w:t>unaudited interim consolidated financial statements, within 45 days of our fiscal quarter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2"/>
              </w:rPr>
              <w:t>end (other than our fourth fiscal quarter). All such financial statements will be prepared, in</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w w:val="94"/>
              </w:rPr>
              <w:t>all material respects, in accordance with applicable U.S. generally accepted accounting</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principles, or GAAP.</w:t>
            </w:r>
          </w:p>
        </w:tc>
      </w:tr>
      <w:tr>
        <w:trPr>
          <w:trHeight w:val="338"/>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 The lien covenant included in the form of indenture will not apply to the Notes.</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7280" w:type="dxa"/>
            <w:vAlign w:val="bottom"/>
          </w:tcPr>
          <w:p>
            <w:pPr>
              <w:ind w:left="480"/>
              <w:spacing w:after="0"/>
              <w:rPr>
                <w:sz w:val="20"/>
                <w:szCs w:val="20"/>
                <w:color w:val="auto"/>
              </w:rPr>
            </w:pPr>
            <w:r>
              <w:rPr>
                <w:rFonts w:ascii="Arial" w:cs="Arial" w:eastAsia="Arial" w:hAnsi="Arial"/>
                <w:sz w:val="18"/>
                <w:szCs w:val="18"/>
                <w:color w:val="auto"/>
                <w:w w:val="91"/>
              </w:rPr>
              <w:t>If an event of default (as described under “</w:t>
            </w:r>
            <w:r>
              <w:rPr>
                <w:rFonts w:ascii="Arial" w:cs="Arial" w:eastAsia="Arial" w:hAnsi="Arial"/>
                <w:sz w:val="18"/>
                <w:szCs w:val="18"/>
                <w:i w:val="1"/>
                <w:iCs w:val="1"/>
                <w:color w:val="auto"/>
                <w:w w:val="91"/>
              </w:rPr>
              <w:t>Description of the Notes</w:t>
            </w:r>
            <w:r>
              <w:rPr>
                <w:rFonts w:ascii="Arial" w:cs="Arial" w:eastAsia="Arial" w:hAnsi="Arial"/>
                <w:sz w:val="18"/>
                <w:szCs w:val="18"/>
                <w:color w:val="auto"/>
                <w:w w:val="91"/>
              </w:rPr>
              <w:t>”) on the Notes occurs,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involving the Company.</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Further Issuances</w:t>
            </w:r>
          </w:p>
        </w:tc>
        <w:tc>
          <w:tcPr>
            <w:tcW w:w="7280" w:type="dxa"/>
            <w:vAlign w:val="bottom"/>
          </w:tcPr>
          <w:p>
            <w:pPr>
              <w:ind w:left="480"/>
              <w:spacing w:after="0"/>
              <w:rPr>
                <w:sz w:val="20"/>
                <w:szCs w:val="20"/>
                <w:color w:val="auto"/>
              </w:rPr>
            </w:pPr>
            <w:r>
              <w:rPr>
                <w:rFonts w:ascii="Arial" w:cs="Arial" w:eastAsia="Arial" w:hAnsi="Arial"/>
                <w:sz w:val="18"/>
                <w:szCs w:val="18"/>
                <w:color w:val="auto"/>
                <w:w w:val="91"/>
              </w:rPr>
              <w:t>We have the ability to issue additional debt securities under the indenture with terms different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5"/>
              </w:rPr>
              <w:t>from the Notes and, without consent of the holders thereof, to reopen the Notes and issue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2"/>
              </w:rPr>
              <w:t>additional Notes. If we issue additional debt securities, these additional debt securities could</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3"/>
              </w:rPr>
              <w:t>have a lien or other security interest greater than that accorded to the holders of the Notes,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which are unsecured.</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Global Clearance and Settlement Procedures</w:t>
            </w:r>
          </w:p>
        </w:tc>
        <w:tc>
          <w:tcPr>
            <w:tcW w:w="7280" w:type="dxa"/>
            <w:vAlign w:val="bottom"/>
          </w:tcPr>
          <w:p>
            <w:pPr>
              <w:ind w:left="48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1"/>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4"/>
              </w:rPr>
              <w:t>Agent will have any responsibility for the performance by DTC or its participants or indirect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5"/>
              </w:rPr>
              <w:t>participants of their respective obligations under the rules and procedures governing their</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operations.</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7280" w:type="dxa"/>
            <w:vAlign w:val="bottom"/>
          </w:tcPr>
          <w:p>
            <w:pPr>
              <w:ind w:left="480"/>
              <w:spacing w:after="0"/>
              <w:rPr>
                <w:sz w:val="20"/>
                <w:szCs w:val="20"/>
                <w:color w:val="auto"/>
              </w:rPr>
            </w:pPr>
            <w:r>
              <w:rPr>
                <w:rFonts w:ascii="Arial" w:cs="Arial" w:eastAsia="Arial" w:hAnsi="Arial"/>
                <w:sz w:val="18"/>
                <w:szCs w:val="18"/>
                <w:color w:val="auto"/>
                <w:w w:val="93"/>
              </w:rPr>
              <w:t>We estimate that net proceeds we will receive from the sale of the $150.0 million aggregate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w w:val="94"/>
              </w:rPr>
              <w:t>principal amount of the Notes in this offering will be approximately $145.5 million based on</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the public</w:t>
            </w:r>
          </w:p>
        </w:tc>
      </w:tr>
      <w:tr>
        <w:trPr>
          <w:trHeight w:val="365"/>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Arial" w:cs="Arial" w:eastAsia="Arial" w:hAnsi="Arial"/>
                <w:sz w:val="18"/>
                <w:szCs w:val="18"/>
                <w:color w:val="auto"/>
              </w:rPr>
              <w:t>S-5</w:t>
            </w:r>
          </w:p>
        </w:tc>
      </w:tr>
    </w:tbl>
    <w:p>
      <w:pPr>
        <w:ind w:left="168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720" w:type="dxa"/>
            <w:vAlign w:val="bottom"/>
          </w:tcPr>
          <w:p>
            <w:pPr>
              <w:spacing w:after="0"/>
              <w:rPr>
                <w:sz w:val="17"/>
                <w:szCs w:val="17"/>
                <w:color w:val="auto"/>
              </w:rPr>
            </w:pPr>
          </w:p>
        </w:tc>
      </w:tr>
      <w:tr>
        <w:trPr>
          <w:trHeight w:val="519"/>
        </w:trPr>
        <w:tc>
          <w:tcPr>
            <w:tcW w:w="1360" w:type="dxa"/>
            <w:vAlign w:val="bottom"/>
          </w:tcPr>
          <w:p>
            <w:pPr>
              <w:spacing w:after="0"/>
              <w:rPr>
                <w:sz w:val="24"/>
                <w:szCs w:val="24"/>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2"/>
              </w:rPr>
              <w:t>offering price of 99.443% of the aggregate principal amount after deducting the underwriting</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1"/>
              </w:rPr>
              <w:t>discounts and commissions of $3.0 million payable by us and estimated offering expenses of</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4"/>
              </w:rPr>
              <w:t>$0.7 million payable by us. We expect to use the net proceeds from this offering to reduce</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3"/>
              </w:rPr>
              <w:t>outstanding obligations under the Truist Credit Facility, to invest in new or existing portfolio</w:t>
            </w:r>
          </w:p>
        </w:tc>
      </w:tr>
      <w:tr>
        <w:trPr>
          <w:trHeight w:val="230"/>
        </w:trPr>
        <w:tc>
          <w:tcPr>
            <w:tcW w:w="1360" w:type="dxa"/>
            <w:vAlign w:val="bottom"/>
          </w:tcPr>
          <w:p>
            <w:pPr>
              <w:spacing w:after="0"/>
              <w:rPr>
                <w:sz w:val="20"/>
                <w:szCs w:val="20"/>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rPr>
              <w:t>companies or for other general corporate or strategic purposes.</w:t>
            </w:r>
          </w:p>
        </w:tc>
      </w:tr>
      <w:tr>
        <w:trPr>
          <w:trHeight w:val="458"/>
        </w:trPr>
        <w:tc>
          <w:tcPr>
            <w:tcW w:w="13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9720" w:type="dxa"/>
            <w:vAlign w:val="bottom"/>
          </w:tcPr>
          <w:p>
            <w:pPr>
              <w:ind w:left="2940"/>
              <w:spacing w:after="0"/>
              <w:rPr>
                <w:sz w:val="20"/>
                <w:szCs w:val="20"/>
                <w:color w:val="auto"/>
              </w:rPr>
            </w:pPr>
            <w:r>
              <w:rPr>
                <w:rFonts w:ascii="Arial" w:cs="Arial" w:eastAsia="Arial" w:hAnsi="Arial"/>
                <w:sz w:val="18"/>
                <w:szCs w:val="18"/>
                <w:color w:val="auto"/>
                <w:w w:val="92"/>
              </w:rPr>
              <w:t>See “</w:t>
            </w:r>
            <w:r>
              <w:rPr>
                <w:rFonts w:ascii="Arial" w:cs="Arial" w:eastAsia="Arial" w:hAnsi="Arial"/>
                <w:sz w:val="18"/>
                <w:szCs w:val="18"/>
                <w:i w:val="1"/>
                <w:iCs w:val="1"/>
                <w:color w:val="auto"/>
                <w:w w:val="92"/>
              </w:rPr>
              <w:t>Risk Factors</w:t>
            </w:r>
            <w:r>
              <w:rPr>
                <w:rFonts w:ascii="Arial" w:cs="Arial" w:eastAsia="Arial" w:hAnsi="Arial"/>
                <w:sz w:val="18"/>
                <w:szCs w:val="18"/>
                <w:color w:val="auto"/>
                <w:w w:val="92"/>
              </w:rPr>
              <w:t>” beginning on page S-12 of this prospectus supplement and beginning on</w:t>
            </w:r>
          </w:p>
        </w:tc>
      </w:tr>
      <w:tr>
        <w:trPr>
          <w:trHeight w:val="216"/>
        </w:trPr>
        <w:tc>
          <w:tcPr>
            <w:tcW w:w="1360" w:type="dxa"/>
            <w:vAlign w:val="bottom"/>
          </w:tcPr>
          <w:p>
            <w:pPr>
              <w:spacing w:after="0"/>
              <w:rPr>
                <w:sz w:val="18"/>
                <w:szCs w:val="18"/>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w w:val="90"/>
              </w:rPr>
              <w:t>page 7 of the accompanying prospectus for a discussion of risks you should carefully consider</w:t>
            </w:r>
          </w:p>
        </w:tc>
      </w:tr>
      <w:tr>
        <w:trPr>
          <w:trHeight w:val="230"/>
        </w:trPr>
        <w:tc>
          <w:tcPr>
            <w:tcW w:w="1360" w:type="dxa"/>
            <w:vAlign w:val="bottom"/>
          </w:tcPr>
          <w:p>
            <w:pPr>
              <w:spacing w:after="0"/>
              <w:rPr>
                <w:sz w:val="20"/>
                <w:szCs w:val="20"/>
                <w:color w:val="auto"/>
              </w:rPr>
            </w:pPr>
          </w:p>
        </w:tc>
        <w:tc>
          <w:tcPr>
            <w:tcW w:w="9720" w:type="dxa"/>
            <w:vAlign w:val="bottom"/>
          </w:tcPr>
          <w:p>
            <w:pPr>
              <w:ind w:left="2940"/>
              <w:spacing w:after="0"/>
              <w:rPr>
                <w:sz w:val="20"/>
                <w:szCs w:val="20"/>
                <w:color w:val="auto"/>
              </w:rPr>
            </w:pPr>
            <w:r>
              <w:rPr>
                <w:rFonts w:ascii="Arial" w:cs="Arial" w:eastAsia="Arial" w:hAnsi="Arial"/>
                <w:sz w:val="18"/>
                <w:szCs w:val="18"/>
                <w:color w:val="auto"/>
              </w:rPr>
              <w:t>before deciding to invest in the Notes.</w:t>
            </w:r>
          </w:p>
        </w:tc>
      </w:tr>
      <w:tr>
        <w:trPr>
          <w:trHeight w:val="365"/>
        </w:trPr>
        <w:tc>
          <w:tcPr>
            <w:tcW w:w="1360" w:type="dxa"/>
            <w:vAlign w:val="bottom"/>
          </w:tcPr>
          <w:p>
            <w:pPr>
              <w:spacing w:after="0"/>
              <w:rPr>
                <w:sz w:val="24"/>
                <w:szCs w:val="24"/>
                <w:color w:val="auto"/>
              </w:rPr>
            </w:pPr>
          </w:p>
        </w:tc>
        <w:tc>
          <w:tcPr>
            <w:tcW w:w="9720" w:type="dxa"/>
            <w:vAlign w:val="bottom"/>
          </w:tcPr>
          <w:p>
            <w:pPr>
              <w:ind w:left="4140"/>
              <w:spacing w:after="0"/>
              <w:rPr>
                <w:sz w:val="20"/>
                <w:szCs w:val="20"/>
                <w:color w:val="auto"/>
              </w:rPr>
            </w:pPr>
            <w:r>
              <w:rPr>
                <w:rFonts w:ascii="Arial" w:cs="Arial" w:eastAsia="Arial" w:hAnsi="Arial"/>
                <w:sz w:val="18"/>
                <w:szCs w:val="18"/>
                <w:color w:val="auto"/>
              </w:rPr>
              <w:t>S-6</w:t>
            </w:r>
          </w:p>
        </w:tc>
      </w:tr>
    </w:tbl>
    <w:p>
      <w:pPr>
        <w:ind w:left="414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78"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i w:val="1"/>
          <w:iCs w:val="1"/>
          <w:color w:val="auto"/>
        </w:rPr>
        <w:t>In this prospectus supplement and the accompanying prospectus, except where the context suggests otherwise, the terms “Company,” “we,” “our” or “us” refers to PennantPark Investment Corporation and its consolidated subsidiaries; “PennantPark Investment” refers to only PennantPark Investment Corporation; “SBIC II” refers to our consolidated subsidiary, PennantPark SBIC II LP; “Taxable Subsidiaries” refers to PNNT Cascade Environmental Holdings, LLC, PNNT CI (Galls) Prime Investment Holdings, LLC, PNNT ecoserve, LLC, PNNT Investment Holdings, LLC and PNNT New Gulf Resources, LLC; “PSLF” refers to PennantPark Senior Loan Fund, LLC, an unconsolidated joint venture; “Investment Adviser” refers to PennantPark Investment Advisers, LLC; “Administrator” refers to PennantPark Investment Administration, LLC; “SBA” refers to the Small Business Administration; “SBIC” refers to a small business investment company under the Small Business Investment Act of 1958, as amended, or the “1958 Act”; “Truist Credit Facility” refers to our multi-currency, senior secured revolving credit facility with Truist Bank (formerly SunTrust Bank), as amended and restated; “2024 Notes” refers to our 5.50% Notes due 2024;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to a lesser extent, equity investments.</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Certain biographical information about our directors and officers is set forth in our proxy statement on Schedule 14A filed with the SEC on December 8, 2020, which is incorporated by reference herein. In addition, Samuel Katz, one of our independent directors, serves as the Chief Executive Officer and director of TZP Strategies Acquisition Corp. (Nasdaq: TZPS), a special purpose acquisition company incorporated in the Cayman Islands.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6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July 31, 2020, we and certain entities and managed accounts of the private credit investment manager of Pantheon Ventures (UK) LLP entered into a limited liability company agreement to co-manage PSLF, a newly formed unconsolidated joint venture. PSLF invests primarily in middle-market and other corporate debt securities consistent with our strategy.</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utilize the investing experience and contacts of our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$11.4 billion across 588 transactions with approximately 190 different financial sponsors through its managed funds.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Structure—There are significant potential conflicts of interest which could impact our investment returns</w:t>
      </w:r>
      <w:r>
        <w:rPr>
          <w:rFonts w:ascii="Arial" w:cs="Arial" w:eastAsia="Arial" w:hAnsi="Arial"/>
          <w:sz w:val="18"/>
          <w:szCs w:val="18"/>
          <w:color w:val="auto"/>
        </w:rPr>
        <w:t>” in our most recent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and 2024 Notes are quoted on The Nasdaq Global Select Market under the symbols “PNNT” and “PNNTG”, respectively.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Estimates of Certain Financial Highlights</w:t>
      </w:r>
    </w:p>
    <w:p>
      <w:pPr>
        <w:spacing w:after="0" w:line="131" w:lineRule="exact"/>
        <w:rPr>
          <w:sz w:val="20"/>
          <w:szCs w:val="20"/>
          <w:color w:val="auto"/>
        </w:rPr>
      </w:pPr>
    </w:p>
    <w:p>
      <w:pPr>
        <w:ind w:left="1080" w:right="2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asset value per share is estimated to be between $9.15 and $9.25 per common share as of March 31, 2021. This compares to a GAAP net asset value per common share of $8.78 as of December 31, 2020.</w:t>
      </w:r>
    </w:p>
    <w:p>
      <w:pPr>
        <w:spacing w:after="0" w:line="75" w:lineRule="exact"/>
        <w:rPr>
          <w:rFonts w:ascii="Arial" w:cs="Arial" w:eastAsia="Arial" w:hAnsi="Arial"/>
          <w:sz w:val="18"/>
          <w:szCs w:val="18"/>
          <w:color w:val="auto"/>
        </w:rPr>
      </w:pPr>
    </w:p>
    <w:p>
      <w:pPr>
        <w:ind w:left="1080" w:right="70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 investment income is estimated to be between $0.12 and $0.14 per common share for the quarter ended March 31, 2021. This compares to net investment income of $0.12 per common share for the quarter ended December 31, 2020.</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loans were on non-accrual status as of March 31, 2021.</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31, 2021, at cost, we had approximately $375.5 million of borrowings outstanding under the Truist Credit Facility, approximately $86.3 million in aggregate principal amount of 2024 Notes outstanding and $108.5 million of indebtedness outstanding under the SBA debentures.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March 31, 2021, we had approximately $33.9 million in cash and cash equivalents.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These estimates are subject to the completion of our financial closing procedures and are not a comprehensive statement of our financial position, results of operations or cash flows for the quarter ended March 31, 2021. Final results may differ materially from these estimates as a result of the completion of our financial closing procedures, as well as any subsequent events, including the discovery of information affecting fair values of our portfolio investments as of March 31, 2021, arising between the date hereof and the completion of our financial statements and the filing of our Form 10-Q for the quarter then ended.</w:t>
      </w:r>
    </w:p>
    <w:p>
      <w:pPr>
        <w:spacing w:after="0" w:line="188"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The preliminary financial estimates provided herein have been prepared by, and are the responsibility of our management. RSM US LLP, our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statements for any reason, including the factors in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supplement and the accompanying prospectus, in the documents incorporated by reference, and elsewhere in this prospectus supplement and the accompanying prospectus.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our most recent Quarterly Report on Form 10-Q or any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the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2020, we had approximately $355.5 million in outstanding borrowings under the Truist Credit Facility. The Truist Credit Facility is secured by substantially all of our assets excluding assets held by SBIC II. The indebtedness under the Truist Credit Facility is therefore effectively senior to the Notes to the extent of the value of such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Notes are obligations exclusively of PennantPark Investment Corporation and not of any of our subsidiaries. None of our subsidiaries is or acts as a guarantor of the Notes, and the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the Notes.</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December 31, 2020, SBIC II had $118.5 million of indebtedness outstanding under the SBA debentures. All of such indebtedness would be structurally senior to the Notes. In addition, our subsidiaries may incur substantial additional indebtedness in the future, all of which would be structurally senior to the Notes.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50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other than in connection with a Change of Control Repurchase Event (as defined below).</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w:t>
      </w:r>
      <w:r>
        <w:rPr>
          <w:rFonts w:ascii="Arial" w:cs="Arial" w:eastAsia="Arial" w:hAnsi="Arial"/>
          <w:sz w:val="18"/>
          <w:szCs w:val="18"/>
          <w:i w:val="1"/>
          <w:iCs w:val="1"/>
          <w:color w:val="auto"/>
        </w:rPr>
        <w:t>Risk Factors—Risks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and Structure</w:t>
      </w:r>
      <w:r>
        <w:rPr>
          <w:rFonts w:ascii="Arial" w:cs="Arial" w:eastAsia="Arial" w:hAnsi="Arial"/>
          <w:sz w:val="18"/>
          <w:szCs w:val="18"/>
          <w:color w:val="auto"/>
        </w:rPr>
        <w:t>” including “</w:t>
      </w:r>
      <w:r>
        <w:rPr>
          <w:rFonts w:ascii="Arial" w:cs="Arial" w:eastAsia="Arial" w:hAnsi="Arial"/>
          <w:sz w:val="18"/>
          <w:szCs w:val="18"/>
          <w:i w:val="1"/>
          <w:iCs w:val="1"/>
          <w:color w:val="auto"/>
        </w:rPr>
        <w:t>Risk Factors—Risks Relating to Our Business and Structure—We are subject to various covenants under our Credit Facility which, if not complied with, could result in reduced availability and/or mandatory prepayments under our Credit Facility and SBA debentures</w:t>
      </w:r>
      <w:r>
        <w:rPr>
          <w:rFonts w:ascii="Arial" w:cs="Arial" w:eastAsia="Arial" w:hAnsi="Arial"/>
          <w:sz w:val="18"/>
          <w:szCs w:val="18"/>
          <w:color w:val="auto"/>
        </w:rPr>
        <w:t>” in our most recent Annual Report on Form 10-K for more information. In addition, other debt we issue or incur in the future could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more protections for its holders than the indenture and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Notes, including additional covenants and events of default. The issuance or incurrence of any such debt with incremental protections could affect the market for and trading levels and prices of the Notes.</w:t>
      </w:r>
    </w:p>
    <w:p>
      <w:pPr>
        <w:spacing w:after="0" w:line="274"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Notes—Optional Redemption</w:t>
      </w:r>
      <w:r>
        <w:rPr>
          <w:rFonts w:ascii="Arial" w:cs="Arial" w:eastAsia="Arial" w:hAnsi="Arial"/>
          <w:sz w:val="18"/>
          <w:szCs w:val="18"/>
          <w:color w:val="auto"/>
        </w:rPr>
        <w:t>.” We may choose to redeem the Notes at times when prevailing interest rates are lower than the interest rate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In this circumstance, you may not be able to reinvest the redemption proceeds in a comparable security at an effective interest rate as high as the Notes being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be able to repurchase the Notes upon a Change of Control Repurchase Event.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sources will be available at the time of any Change of Control Repurchase Event to make required repurchases of Notes tendered. Before making any such repurchase of Notes, we may have to comply with certain requirements under our then existing financing arrangements, such as the Truist Credit Facility, the 2024 Notes and the SBA debentures. Our future debt instruments may also contain similar restrictions and provisions. If the holders of the Notes exercise their right to require us to repurchase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Arial" w:cs="Arial" w:eastAsia="Arial" w:hAnsi="Arial"/>
          <w:sz w:val="16"/>
          <w:szCs w:val="16"/>
          <w:i w:val="1"/>
          <w:iCs w:val="1"/>
          <w:color w:val="auto"/>
        </w:rPr>
        <w:t>Description of the Notes—Offer to Repurchase Upon a Change of Control Repurchase Event</w:t>
      </w:r>
      <w:r>
        <w:rPr>
          <w:rFonts w:ascii="Arial" w:cs="Arial" w:eastAsia="Arial" w:hAnsi="Arial"/>
          <w:sz w:val="16"/>
          <w:szCs w:val="16"/>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There is no active trading market for the Notes. If an active trading market does not develop for the Notes, you may not be able to sell them.</w:t>
      </w:r>
    </w:p>
    <w:p>
      <w:pPr>
        <w:spacing w:after="0" w:line="14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the Truist Credit Facility, the 2024 Notes, the SBA debentures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Truist Credit Facility, the 2024 Notes, the SBA debentures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relating to the Truist Credit Facility, the 2024 Notes, the SBA debentures or other debt that we may incur in the future to avoid being in default. If we breach our covenants under the Truist Credit Facility, the 2024 Notes, the SBA debentures or other debt and seek a waiver, we may not be able to obtain a waiver from the required lenders or holders. If this occurs, we would be in default and our lenders or holders could exercise their rights as described above, and we could be forced into bankruptcy or liquidation. If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are unable to repay debt, lenders having secured obligations, including the lenders under the Truist Credit Facility and the SBA debentures, could proceed against the collateral securing such debt. Because the Truist Credit Facility, the 2024 Notes and the SBA debentures have, and any future debt will likely have, customary cross-default provisions, if the indebtedness thereunder or under any future credit facility is accelerated, we may be unable to repay or finance the amounts due.</w:t>
      </w:r>
    </w:p>
    <w:p>
      <w:pPr>
        <w:spacing w:after="0" w:line="291"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or change in the debt markets could cause the liquidity or market value of the Notes to decline significantly.</w:t>
      </w:r>
    </w:p>
    <w:p>
      <w:pPr>
        <w:spacing w:after="0" w:line="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the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289"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There are material limitations with making available preliminary estimates of our financial results for the quarter ended March 31, 2021 prior to the completion of our and our auditors’ financial review procedures for such period.</w:t>
      </w:r>
    </w:p>
    <w:p>
      <w:pPr>
        <w:spacing w:after="0" w:line="5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preliminary financial estimates contained in “</w:t>
      </w:r>
      <w:r>
        <w:rPr>
          <w:rFonts w:ascii="Arial" w:cs="Arial" w:eastAsia="Arial" w:hAnsi="Arial"/>
          <w:sz w:val="17"/>
          <w:szCs w:val="17"/>
          <w:i w:val="1"/>
          <w:iCs w:val="1"/>
          <w:color w:val="auto"/>
        </w:rPr>
        <w:t>Prospectus Supplement Summary — Recent Developments</w:t>
      </w:r>
      <w:r>
        <w:rPr>
          <w:rFonts w:ascii="Arial" w:cs="Arial" w:eastAsia="Arial" w:hAnsi="Arial"/>
          <w:sz w:val="17"/>
          <w:szCs w:val="17"/>
          <w:color w:val="auto"/>
        </w:rPr>
        <w:t>” are not a comprehensive statement of our financial results for the quarter ended March 31, 2021 and have not been audited, reviewed, compiled, examined or subject to any procedures by our independent registered public accounting firm or any other independent accountants. Our consolidated financial statements for the quarter ended March 31, 2021 will not be available until after this offering is completed and, consequently, will not be available to you prior to making an investment decision. Our actual financial results for the quarter ended March 31, 2021 could differ materially from the preliminary financial estimates we have provided as a result of the completion of our financial closing procedures and related internal controls over financial reporting, final adjustments, execution of our disclosures and procedures and other developments arising between now and the time that our financial results for the quarter ended March 31, 2021 are finalized. The preliminary financial data included herein has been prepared by, and is the responsibility of, management. Our independent registered public accounting firm has not audited, reviewed, compiled, examined or performed any procedures with respect to such preliminary estimates, and, accordingly, does not express an opinion or any other form of assurance with respect thereto. Our final results of operations will include financial information not included in this prospectus supplement, including, for example, a schedule of investments and industry information on our portfolio.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We estimate that the net proceeds we will receive from the sale of $150.0 million aggregate principal amount of the Notes in this offering will be approximately $145.5 million, based on the public offering price of 99.443% of the aggregate principal amount, after deducting the underwriting discounts and commissions of $3.0 million payable by us and estimated offering expenses of $0.7 million payable by us.</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expect to use the net proceeds from this offering to reduce outstanding obligations under the Truist Credit Facility, to invest in new or existing portfolio companies or for other general corporate or strategic purposes. Affiliates of certain of the underwriters serve as lenders under the Truist Credit Facility. Accordingly, affiliates of certain of the underwriters are expected to receive proceeds from this offering that are used to reduce our outstanding obligations under the Truist Credit Facility.</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As of December 31, 2020, we had approximately $355.5 million in outstanding borrowings under the Truist Credit Facility. The Truist Credit Facility had a weighted average interest rate of 2.4%, exclusive of the fee on undrawn commitments as of December 31, 2020. The Truist Credit Facility has a stated maturity date of September 4, 2024 ($40.0 million of the $475 million commitment will mature May 25, 2022), a one-year term-out period on September 4, 2023 ($40.0 million of the $475 million commitment has a one year term-out period on May 25, 2021) and bear interest at an annual rate equal to LIBOR (or an alternative risk-free interest rate index) plus 225 basis points. The Truist Credit Facility is secured by substantially all of our assets excluding assets held by SBIC II.</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 Investments</w:t>
      </w:r>
      <w:r>
        <w:rPr>
          <w:rFonts w:ascii="Arial" w:cs="Arial" w:eastAsia="Arial" w:hAnsi="Arial"/>
          <w:sz w:val="17"/>
          <w:szCs w:val="17"/>
          <w:color w:val="auto"/>
        </w:rPr>
        <w:t>” in our most recently filed Annual Report on Form 10- K for more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Information about our senior securities is shown in the following tables for the fiscal years ended September 30, 2020, 2019, 2018, 2017, 2016, 2015, 2014, 2013, 2012 and 2011. The annual information has been derived from our audited financial statements for each respective period, which have been audited by RSM US LLP, our independent registered public accounting firm. RSM US LLP’s report on the senior securities table as of September 30, 2020 is attached as Exhibit 99.5 to our Annual Report on Form 10-K for the fiscal year ended September 30, 2020. The information as of December 31, 2020 has been derived from our unaudited financial statements for such period and was not audited by RSM US LLP.</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b w:val="1"/>
                <w:bCs w:val="1"/>
                <w:color w:val="auto"/>
              </w:rPr>
              <w:t>Asset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60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Arial" w:cs="Arial" w:eastAsia="Arial" w:hAnsi="Arial"/>
                <w:sz w:val="14"/>
                <w:szCs w:val="14"/>
                <w:b w:val="1"/>
                <w:bCs w:val="1"/>
                <w:color w:val="auto"/>
                <w:w w:val="93"/>
              </w:rPr>
              <w:t>Coverage</w:t>
            </w:r>
          </w:p>
        </w:tc>
        <w:tc>
          <w:tcPr>
            <w:tcW w:w="170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56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4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 (3)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90"/>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Truist Credit Facility</w:t>
            </w: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2021 (through December 31, 2020) (unaudited)</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355,545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388,252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301,636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79,393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136,864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BNP Credit Facility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 Notes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2021 (through December 31, 2020) (unaudited)</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24.32(4)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2025 Notes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24.68(5)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b w:val="1"/>
          <w:bCs w:val="1"/>
          <w:color w:val="auto"/>
        </w:rPr>
      </w:pPr>
    </w:p>
    <w:p>
      <w:pPr>
        <w:ind w:left="540" w:right="180" w:hanging="424"/>
        <w:spacing w:after="0" w:line="250"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b w:val="1"/>
          <w:bCs w:val="1"/>
          <w:color w:val="auto"/>
        </w:rPr>
      </w:pPr>
    </w:p>
    <w:p>
      <w:pPr>
        <w:ind w:left="540" w:right="300" w:hanging="424"/>
        <w:spacing w:after="0" w:line="260"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342" w:lineRule="auto"/>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29" w:lineRule="exact"/>
        <w:rPr>
          <w:rFonts w:ascii="Arial" w:cs="Arial" w:eastAsia="Arial" w:hAnsi="Arial"/>
          <w:sz w:val="16"/>
          <w:szCs w:val="16"/>
          <w:b w:val="1"/>
          <w:bCs w:val="1"/>
          <w:color w:val="auto"/>
        </w:rPr>
      </w:pPr>
    </w:p>
    <w:p>
      <w:pPr>
        <w:ind w:left="540" w:hanging="424"/>
        <w:spacing w:after="0" w:line="263"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The following table sets forth our cash and capitalization on December 31, 2020 (1) on an actual basis and (2) on an as-adjusted basis to reflect the effects of the sale of $150.0 million aggregate principal amount of Notes in this offering based on the public offering price of 99.443% of the aggregate principal amount, after deducting the underwriting discounts and commissions of $3.0 million payable by us and estimated offering expenses of</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$0.7 million payable by us. The as-adjusted information is illustrative only; our capitalization following the completion of this offering is subject to further adjustments, such as the potential repayment of certain of the amounts borrowed under the Truist Credit Facility. You should read this table together with “</w:t>
      </w:r>
      <w:r>
        <w:rPr>
          <w:rFonts w:ascii="Arial" w:cs="Arial" w:eastAsia="Arial" w:hAnsi="Arial"/>
          <w:sz w:val="18"/>
          <w:szCs w:val="18"/>
          <w:i w:val="1"/>
          <w:iCs w:val="1"/>
          <w:color w:val="auto"/>
        </w:rPr>
        <w:t>Use of Proceeds</w:t>
      </w:r>
      <w:r>
        <w:rPr>
          <w:rFonts w:ascii="Arial" w:cs="Arial" w:eastAsia="Arial" w:hAnsi="Arial"/>
          <w:sz w:val="18"/>
          <w:szCs w:val="18"/>
          <w:color w:val="auto"/>
        </w:rPr>
        <w:t>” set forth in this prospectus supplement. You should also read this table with our Consolidated Financial Statements and related notes thereto, in conjunction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As of December 31, 2020</w:t>
            </w:r>
          </w:p>
        </w:tc>
      </w:tr>
      <w:tr>
        <w:trPr>
          <w:trHeight w:val="234"/>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(unaudited)</w:t>
            </w:r>
          </w:p>
        </w:tc>
      </w:tr>
      <w:tr>
        <w:trPr>
          <w:trHeight w:val="209"/>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As adjusted</w:t>
            </w:r>
          </w:p>
        </w:tc>
        <w:tc>
          <w:tcPr>
            <w:tcW w:w="120" w:type="dxa"/>
            <w:vAlign w:val="bottom"/>
          </w:tcPr>
          <w:p>
            <w:pPr>
              <w:spacing w:after="0"/>
              <w:rPr>
                <w:sz w:val="18"/>
                <w:szCs w:val="18"/>
                <w:color w:val="auto"/>
              </w:rPr>
            </w:pP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(cost—$20,114,225 and $165,578,725,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20,157,299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165,621,799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Truist Credit Facility payable, at fair value (cost—$355,544,900)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349,104,144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349,104,144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2024 Notes payable, net (par—$86,250,000)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84,003,935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84,003,935</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net (par—$118,500,000)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115,862,617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115,862,617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Notes (par—$150,000,000)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145,464,500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w w:val="90"/>
              </w:rPr>
              <w:t>Common stock, 67,045,105 shares issued and outstanding, Par value $0.001 per share and 100,000,000 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67,045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67,045</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787,625,031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787,625,031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Accumulated distributable net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(198,894,886)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(198,894,886)</w:t>
            </w:r>
          </w:p>
        </w:tc>
      </w:tr>
      <w:tr>
        <w:trPr>
          <w:trHeight w:val="27"/>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588,797,190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588,797,190</w:t>
            </w:r>
          </w:p>
        </w:tc>
      </w:tr>
      <w:tr>
        <w:trPr>
          <w:trHeight w:val="365"/>
        </w:trPr>
        <w:tc>
          <w:tcPr>
            <w:tcW w:w="8140" w:type="dxa"/>
            <w:vAlign w:val="bottom"/>
          </w:tcPr>
          <w:p>
            <w:pPr>
              <w:ind w:left="5340"/>
              <w:spacing w:after="0"/>
              <w:rPr>
                <w:sz w:val="20"/>
                <w:szCs w:val="20"/>
                <w:color w:val="auto"/>
              </w:rPr>
            </w:pPr>
            <w:r>
              <w:rPr>
                <w:rFonts w:ascii="Arial" w:cs="Arial" w:eastAsia="Arial" w:hAnsi="Arial"/>
                <w:sz w:val="18"/>
                <w:szCs w:val="18"/>
                <w:color w:val="auto"/>
              </w:rPr>
              <w:t>S-20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840"/>
        <w:spacing w:after="0" w:line="308" w:lineRule="auto"/>
        <w:rPr>
          <w:sz w:val="20"/>
          <w:szCs w:val="20"/>
          <w:color w:val="auto"/>
        </w:rPr>
      </w:pPr>
      <w:r>
        <w:rPr>
          <w:rFonts w:ascii="Arial" w:cs="Arial" w:eastAsia="Arial" w:hAnsi="Arial"/>
          <w:sz w:val="17"/>
          <w:szCs w:val="17"/>
          <w:i w:val="1"/>
          <w:iCs w:val="1"/>
          <w:color w:val="auto"/>
        </w:rPr>
        <w:t>We will issue the Notes under that certain base indenture, dated as of January 22, 2013, or the base indenture, as supplemented by the fourth supplemental indenture, or the supplemental indenture, to be dated as of the settlement date for the offering of the Notes.</w:t>
      </w:r>
    </w:p>
    <w:p>
      <w:pPr>
        <w:spacing w:after="0" w:line="14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Investment Corporation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the Company’s direct, general, unsecured, unsubordinated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$150.0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mature on May 1, 2026, unless earlier redeemed or repurchased, as discussed below;</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bear cash interest from April 21, 2021 at an annual rate of 4.50% payable semi-annually in arrears on May 1 and November 1 of each year, beginning on November 1,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will be subject to redemption at the Company’s option as described under “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the Company at the option of the holders following a Change of Control Repurchase Event (as defined below under “ </w:t>
      </w:r>
      <w:r>
        <w:rPr>
          <w:rFonts w:ascii="Arial" w:cs="Arial" w:eastAsia="Arial" w:hAnsi="Arial"/>
          <w:sz w:val="17"/>
          <w:szCs w:val="17"/>
          <w:i w:val="1"/>
          <w:iCs w:val="1"/>
          <w:color w:val="auto"/>
        </w:rPr>
        <w:t>—Offer to Repurchase Upon a Change of Control Repurchase Event</w:t>
      </w:r>
      <w:r>
        <w:rPr>
          <w:rFonts w:ascii="Arial" w:cs="Arial" w:eastAsia="Arial" w:hAnsi="Arial"/>
          <w:sz w:val="17"/>
          <w:szCs w:val="17"/>
          <w:color w:val="auto"/>
        </w:rPr>
        <w:t xml:space="preserve">”),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will be represented by one or more registered Notes in global form, but in certain limited circumstances may be represented by Notes in definitive form. See “ </w:t>
      </w:r>
      <w:r>
        <w:rPr>
          <w:rFonts w:ascii="Arial" w:cs="Arial" w:eastAsia="Arial" w:hAnsi="Arial"/>
          <w:sz w:val="18"/>
          <w:szCs w:val="18"/>
          <w:i w:val="1"/>
          <w:iCs w:val="1"/>
          <w:color w:val="auto"/>
        </w:rPr>
        <w:t>—Book-Entry, Settlement and Clearance</w:t>
      </w:r>
      <w:r>
        <w:rPr>
          <w:rFonts w:ascii="Arial" w:cs="Arial" w:eastAsia="Arial" w:hAnsi="Arial"/>
          <w:sz w:val="18"/>
          <w:szCs w:val="18"/>
          <w:color w:val="auto"/>
        </w:rPr>
        <w:t>”.</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 </w:t>
      </w:r>
      <w:r>
        <w:rPr>
          <w:rFonts w:ascii="Arial" w:cs="Arial" w:eastAsia="Arial" w:hAnsi="Arial"/>
          <w:sz w:val="17"/>
          <w:szCs w:val="17"/>
          <w:i w:val="1"/>
          <w:iCs w:val="1"/>
          <w:color w:val="auto"/>
        </w:rPr>
        <w:t>—Offer to Repurchase Upon a Change of Control Repurchase Event</w:t>
      </w:r>
      <w:r>
        <w:rPr>
          <w:rFonts w:ascii="Arial" w:cs="Arial" w:eastAsia="Arial" w:hAnsi="Arial"/>
          <w:sz w:val="17"/>
          <w:szCs w:val="17"/>
          <w:color w:val="auto"/>
        </w:rPr>
        <w:t xml:space="preserve">” and “ </w:t>
      </w:r>
      <w:r>
        <w:rPr>
          <w:rFonts w:ascii="Arial" w:cs="Arial" w:eastAsia="Arial" w:hAnsi="Arial"/>
          <w:sz w:val="17"/>
          <w:szCs w:val="17"/>
          <w:i w:val="1"/>
          <w:iCs w:val="1"/>
          <w:color w:val="auto"/>
        </w:rPr>
        <w:t>—Merger, Consolidation or Sale of Assets</w:t>
      </w:r>
      <w:r>
        <w:rPr>
          <w:rFonts w:ascii="Arial" w:cs="Arial" w:eastAsia="Arial" w:hAnsi="Arial"/>
          <w:sz w:val="17"/>
          <w:szCs w:val="17"/>
          <w:color w:val="auto"/>
        </w:rPr>
        <w:t>” 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offering price, the first payment date and the date from which interest may accrue may be different) in an unlimited aggregate principal amount;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additional Notes must be part of the same issue as the Notes offered hereby for U.S. federal income tax purposes if represented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CUSIP number as the Notes offered hereby.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will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Notes that are not in global form, at our option, payment of interest may be made by check mailed to the address of the person entitled thereto as such address will appear in the security register.</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Notes will bear cash interest at a rate of 4.50% per year until maturity. Interest on the Notes will accrue from April 21, 2021 or from the most recent date on which interest has been paid or duly provided for. Interest will be payable semiannually in arrears on May 1 and November 1 of each year, beginning on November 1, 2021.</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or the close of business, on or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the Company’s direct, general unsecured obligations that will rank:</w:t>
      </w:r>
    </w:p>
    <w:p>
      <w:pPr>
        <w:spacing w:after="0" w:line="252" w:lineRule="exact"/>
        <w:rPr>
          <w:sz w:val="20"/>
          <w:szCs w:val="20"/>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 $86.3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outstanding under our 2024 Notes, as of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80" w:hanging="424"/>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including approximately $355.5 million aggregate principal amount of borrowings outstanding under the Truist Credit Facility, to the extent of the value of the assets securing the Truist Credit Facility, as of December 31, 2020; and</w:t>
      </w:r>
    </w:p>
    <w:p>
      <w:pPr>
        <w:spacing w:after="0" w:line="76" w:lineRule="exact"/>
        <w:rPr>
          <w:rFonts w:ascii="Arial" w:cs="Arial" w:eastAsia="Arial" w:hAnsi="Arial"/>
          <w:sz w:val="17"/>
          <w:szCs w:val="17"/>
          <w:color w:val="auto"/>
        </w:rPr>
      </w:pPr>
    </w:p>
    <w:p>
      <w:pPr>
        <w:ind w:left="1080" w:right="44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structurally subordinated to all existing and future indebtedness and other obligations of any of our subsidiaries, financing vehicles or similar facilities, including $118.5 million of indebtedness outstanding under our SBA debentures as of December 31, 2020.</w:t>
      </w:r>
    </w:p>
    <w:p>
      <w:pPr>
        <w:spacing w:after="0" w:line="124"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As of December 31, 2020, we had approximately $560.3 million of debt outstanding, of which approximately $86.3 million was unsecured and unsubordinated indebtedness, approximately $355.5 million was indebtedness secured by substantially all of our assets (excluding assets held by SBIC</w:t>
      </w:r>
    </w:p>
    <w:p>
      <w:pPr>
        <w:ind w:left="120" w:right="560" w:hanging="4"/>
        <w:spacing w:after="0" w:line="255"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$118.5 million was indebtedness secured by all the investment portfolio assets of SBIC II. After giving effect to the issuance of the Notes, assuming no repayment of amounts owed under the Truist Credit Facility, our total indebtedness would have been approximately $710.3 million aggregate principal amount outstanding as of December 31, 2020.</w:t>
      </w:r>
    </w:p>
    <w:p>
      <w:pPr>
        <w:spacing w:after="0" w:line="19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of March 31, 2021, we had approximately $570.3 million of debt outstanding, of which approximately $86.3 million was unsecured and unsubordinated indebtedness, approximately $375.5 million was indebtedness secured by substantially all of our assets (excluding assets held by SBIC II) and $108.5 million was indebtedness secured by all the investment portfolio assets of SBIC II.</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we redeem any of the Notes on or after February 1, 2026 (the date falling three months prior to the maturity date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redemption price for the Notes will be equal to 100% of the principal amount of the Notes to be redeemed, plus accrued and unpaid interest, if any, to, but excluding, the date of redemption.</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extent practicable, or, if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is not practicable for any reason, by lot or in such other manner as the Trustee deems fair and appropriate, and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 xml:space="preserve">any case in accordance with the applicable procedures of DTC and in accordance with the 1940 Act as directed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partial redemption will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187"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“Reference Treasury Dealer”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or a Primary Treasury Dealer, we shall select another Primary Treasury Dealer.</w:t>
      </w:r>
    </w:p>
    <w:p>
      <w:pPr>
        <w:spacing w:after="0" w:line="15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will,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8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w:t>
      </w:r>
      <w:r>
        <w:rPr>
          <w:rFonts w:ascii="Arial" w:cs="Arial" w:eastAsia="Arial" w:hAnsi="Arial"/>
          <w:sz w:val="16"/>
          <w:szCs w:val="16"/>
          <w:i w:val="1"/>
          <w:iCs w:val="1"/>
          <w:color w:val="auto"/>
        </w:rPr>
        <w:t>Ranking</w:t>
      </w:r>
      <w:r>
        <w:rPr>
          <w:rFonts w:ascii="Arial" w:cs="Arial" w:eastAsia="Arial" w:hAnsi="Arial"/>
          <w:sz w:val="16"/>
          <w:szCs w:val="16"/>
          <w:color w:val="auto"/>
        </w:rPr>
        <w:t>” above as well as the documents incorporated by reference herein for a general discussion of our indebtedness. Before making any such repurchase of Notes, we would also have to comply with certain requirements under the Truist Credit Facility, to the extent such requirements remain in effect at such time, or otherwise obtain consent from the lenders under the Truist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 default. It is possible that we will not have sufficient funds at the time of the Change of Control Repurchase Event to make the required repurchase of the Notes or its other debt. See “</w:t>
      </w:r>
      <w:r>
        <w:rPr>
          <w:rFonts w:ascii="Arial" w:cs="Arial" w:eastAsia="Arial" w:hAnsi="Arial"/>
          <w:sz w:val="16"/>
          <w:szCs w:val="16"/>
          <w:i w:val="1"/>
          <w:iCs w:val="1"/>
          <w:color w:val="auto"/>
        </w:rPr>
        <w:t>Risk Factors—Risks Relating to the Notes—We may not be able to repurchase the Notes upon a Change of Control Repurchase Event</w:t>
      </w:r>
      <w:r>
        <w:rPr>
          <w:rFonts w:ascii="Arial" w:cs="Arial" w:eastAsia="Arial" w:hAnsi="Arial"/>
          <w:sz w:val="16"/>
          <w:szCs w:val="16"/>
          <w:color w:val="auto"/>
        </w:rPr>
        <w:t>.”</w:t>
      </w:r>
    </w:p>
    <w:p>
      <w:pPr>
        <w:spacing w:after="0" w:line="172"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will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will not be deemed to have occurred in respect of a particular Change of Control (and thus will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75"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will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40" w:hanging="532"/>
        <w:spacing w:after="0" w:line="279"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or any successor thereto.</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 from any Rating Agency selected by us as a replacement Rating Agency).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Holders” means (i) the Company and (ii) one or more of the Company’s Controlled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will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a pledge of assets pursuant to any secured debt instrument of the Company or its subsidiaries will not be deemed to be any such sale, transfer, lease, conveyance or disposition;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covenant will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20" w:hanging="424"/>
        <w:spacing w:after="0" w:line="286"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is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United States of America or any state or territory thereof or the District of Columbia;</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be continuing; and</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Accordingly, in certain circumstances there may be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1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the Company is subject thereto, Section 18(a)(1)(A) as modified by Section 61(a) of the 1940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will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r>
        <w:rPr>
          <w:rFonts w:ascii="Arial" w:cs="Arial" w:eastAsia="Arial" w:hAnsi="Arial"/>
          <w:sz w:val="18"/>
          <w:szCs w:val="18"/>
          <w:i w:val="1"/>
          <w:iCs w:val="1"/>
          <w:color w:val="auto"/>
        </w:rPr>
        <w:t>Changes Requiring Your Approval</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w:t>
      </w:r>
      <w:r>
        <w:rPr>
          <w:rFonts w:ascii="Arial" w:cs="Arial" w:eastAsia="Arial" w:hAnsi="Arial"/>
          <w:sz w:val="16"/>
          <w:szCs w:val="16"/>
          <w:i w:val="1"/>
          <w:iCs w:val="1"/>
          <w:color w:val="auto"/>
        </w:rPr>
        <w:t>Defeasance—Legal Defeasance.</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Article 1, Rule 1-02 of Regulation S-X under the Exchange Act (as applicable to business development companies)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is hereafter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73"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Section 18(a)(1)(C)(ii) and Section 61 of the 1940 Act, or any successor provisions, on the last business day of each of 24 consecutive calendar months, any class of securities has an asset coverage (as such term is used in the 1940 Act) of less than 100%, giving effect to any amendments to such provisions of the 1940 Act or to any exemptive relief granted to us by the SEC; and</w:t>
      </w:r>
    </w:p>
    <w:p>
      <w:pPr>
        <w:spacing w:after="0" w:line="70"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will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w:t>
      </w:r>
    </w:p>
    <w:p>
      <w:pPr>
        <w:spacing w:after="0" w:line="17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direction will not be in conflict with any rule of law or with this indenture, (ii) the trustee may take any other action deemed proper by the trustee that is not inconsistent with such direction and</w:t>
      </w:r>
    </w:p>
    <w:p>
      <w:pPr>
        <w:spacing w:after="0" w:line="4" w:lineRule="exact"/>
        <w:rPr>
          <w:sz w:val="20"/>
          <w:szCs w:val="20"/>
          <w:color w:val="auto"/>
        </w:rPr>
      </w:pPr>
    </w:p>
    <w:p>
      <w:pPr>
        <w:jc w:val="both"/>
        <w:ind w:left="120" w:hanging="4"/>
        <w:spacing w:after="0" w:line="255" w:lineRule="auto"/>
        <w:tabs>
          <w:tab w:leader="none" w:pos="4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90"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whether, to the knowledge of the signers, we are in default in the performance of any of the terms, provisions or conditions of the indenture.</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Within 90 days after the occurrence of any default under the indenture with respect to the Notes, the trustee will transmit notice of such default actually known to a responsible officer of the trustee, unless such default has been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 xml:space="preserve">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ind w:left="1080" w:right="40" w:hanging="424"/>
        <w:spacing w:after="0" w:line="31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54"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238" w:lineRule="exact"/>
        <w:rPr>
          <w:sz w:val="20"/>
          <w:szCs w:val="20"/>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deposit in trust for the benefit of all holders of the Notes a combination of money and United States government or United States government agency notes or bonds that will generate enough cash,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40"/>
        <w:spacing w:after="0" w:line="277" w:lineRule="auto"/>
        <w:rPr>
          <w:sz w:val="20"/>
          <w:szCs w:val="20"/>
          <w:color w:val="auto"/>
        </w:rPr>
      </w:pPr>
      <w:r>
        <w:rPr>
          <w:rFonts w:ascii="Arial" w:cs="Arial" w:eastAsia="Arial" w:hAnsi="Arial"/>
          <w:sz w:val="18"/>
          <w:szCs w:val="18"/>
          <w:color w:val="auto"/>
        </w:rPr>
        <w:t>in the opinion of a nationally recognized investment bank, appraisal firm or firm of independent public accountants, to make interest, principal and any other payments on the Notes on their various due dates.</w:t>
      </w:r>
    </w:p>
    <w:p>
      <w:pPr>
        <w:spacing w:after="0" w:line="76" w:lineRule="exact"/>
        <w:rPr>
          <w:sz w:val="20"/>
          <w:szCs w:val="20"/>
          <w:color w:val="auto"/>
        </w:rPr>
      </w:pPr>
    </w:p>
    <w:p>
      <w:pPr>
        <w:ind w:left="1080" w:right="60" w:hanging="424"/>
        <w:spacing w:after="0" w:line="293"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69"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American Stock Transfer &amp; Trust Company, LLC also serves as transfer agent for our common stock and as trustee for the 2024 Notes.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The Trustee may resign or be removed with respect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w:t>
      </w:r>
    </w:p>
    <w:p>
      <w:pPr>
        <w:spacing w:after="0" w:line="77" w:lineRule="exact"/>
        <w:rPr>
          <w:sz w:val="20"/>
          <w:szCs w:val="20"/>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None of the Company, the trustee nor the underwriters is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40" w:hanging="331"/>
        <w:spacing w:after="0" w:line="277"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78"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In connection with any proposed transfer outside the book entry only system, there will be provided to the trustee all information reasonably requested by the trustee that is necessary to allow the trustee to comply with any applicable tax reporting obligations, including without limitation any cost basis reporting obligations under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Section 6045 of the Code. The trustee may rely on the information provided to it and will have no responsibility to verify or ensure the accuracy of such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540" w:hanging="331"/>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6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any Notes, the United States federal income tax treatment of a partner of the partnership generally will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depend upon the status of the partner, the activities of the partnership and certain determinations made at the partner level. Partners of partnerships holding Notes should consult their own tax advisors.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accruals of interest on a Note generally will be taxable to a U.S. holder as ordinary interest income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and this discussion assumes, that the Notes will not be treated as issued with original issue discount for U.S. federal income tax purposes.</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7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United States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61"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i w:val="1"/>
          <w:iCs w:val="1"/>
          <w:u w:val="single" w:color="auto"/>
          <w:color w:val="auto"/>
        </w:rPr>
        <w:t>Taxation of Non-U.S. Holders</w:t>
      </w:r>
      <w:r>
        <w:rPr>
          <w:rFonts w:ascii="Arial" w:cs="Arial" w:eastAsia="Arial" w:hAnsi="Arial"/>
          <w:sz w:val="18"/>
          <w:szCs w:val="18"/>
          <w:color w:val="auto"/>
        </w:rPr>
        <w:t>. A non-U.S. holder generally will not be subject to United States federal income or withholding taxes on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or interest on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penalties of perjury that includes its name and address and certifies that it is not a United States person in compliance with applicable requirements, or satisfies documentary evidence requirements for establishing that it is a non-U.S. holder. 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7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 xml:space="preserve">Generally, a non-U.S. holder will not be subject to United States federal income or withholding taxes on any amount that constitutes capital gain upon the sale, exchange, redemption or retirement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timely furnished to the IRS.</w:t>
      </w:r>
    </w:p>
    <w:p>
      <w:pPr>
        <w:spacing w:after="0" w:line="18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24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Raymond James &amp; Associates, Inc., Keefe, Bruyette &amp; Woods, Inc. and Truist Securities, Inc. are acting as representatives of the several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8"/>
        </w:trPr>
        <w:tc>
          <w:tcPr>
            <w:tcW w:w="5520" w:type="dxa"/>
            <w:vAlign w:val="bottom"/>
            <w:gridSpan w:val="3"/>
            <w:vMerge w:val="continue"/>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Raymond James &amp; Associates, Inc.</w:t>
            </w: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2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2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Compass Point Research &amp; Trading, LLC</w:t>
            </w:r>
          </w:p>
        </w:tc>
        <w:tc>
          <w:tcPr>
            <w:tcW w:w="2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2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2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2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the Investment Adviser and the Administrator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00" w:type="dxa"/>
            <w:vAlign w:val="bottom"/>
          </w:tcPr>
          <w:p>
            <w:pPr>
              <w:jc w:val="right"/>
              <w:ind w:right="275"/>
              <w:spacing w:after="0"/>
              <w:rPr>
                <w:sz w:val="20"/>
                <w:szCs w:val="20"/>
                <w:color w:val="auto"/>
              </w:rPr>
            </w:pPr>
            <w:r>
              <w:rPr>
                <w:rFonts w:ascii="Arial" w:cs="Arial" w:eastAsia="Arial" w:hAnsi="Arial"/>
                <w:sz w:val="14"/>
                <w:szCs w:val="14"/>
                <w:b w:val="1"/>
                <w:bCs w:val="1"/>
                <w:color w:val="auto"/>
              </w:rPr>
              <w:t>Per Note</w:t>
            </w:r>
          </w:p>
        </w:tc>
        <w:tc>
          <w:tcPr>
            <w:tcW w:w="300" w:type="dxa"/>
            <w:vAlign w:val="bottom"/>
          </w:tcPr>
          <w:p>
            <w:pPr>
              <w:spacing w:after="0"/>
              <w:rPr>
                <w:sz w:val="14"/>
                <w:szCs w:val="14"/>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99.443%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149,164,500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2900" w:type="dxa"/>
            <w:vAlign w:val="bottom"/>
          </w:tcPr>
          <w:p>
            <w:pPr>
              <w:jc w:val="right"/>
              <w:ind w:right="115"/>
              <w:spacing w:after="0"/>
              <w:rPr>
                <w:sz w:val="20"/>
                <w:szCs w:val="20"/>
                <w:color w:val="auto"/>
              </w:rPr>
            </w:pPr>
            <w:r>
              <w:rPr>
                <w:rFonts w:ascii="Arial" w:cs="Arial" w:eastAsia="Arial" w:hAnsi="Arial"/>
                <w:sz w:val="18"/>
                <w:szCs w:val="18"/>
                <w:color w:val="auto"/>
              </w:rPr>
              <w:t>2.000%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2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97.443%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146,164,500</w:t>
            </w:r>
          </w:p>
        </w:tc>
      </w:tr>
    </w:tbl>
    <w:p>
      <w:pPr>
        <w:spacing w:after="0" w:line="20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and some of the Notes to certain other dealers at the public offering price less a concession not in excess of 0.40% of the aggregate principal amount of the Notes. The underwriters may allow, and the dealers may reallow, a discount not in excess of 0.25% of the aggregate principal amount of the Notes. After the initial offering of the Notes to the public, the public offering price and other selling terms may be changed. No such change will change the amount of proceeds to be received by us as set forth on the cover page of this prospectus supplement.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expenses of the offering, not including the underwriting discount, are estimated at $0.7 million 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representatives.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has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have a lending relationship with us, certain of those underwriters or their affiliates routinely hedge, and certain other of those underwriters and their affiliates may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Affiliates of certain of the underwriters serve as lenders under the Truist Credit Facility and may serve as lenders under any future credit facilities. Some of the underwriters and/or their affiliates were underwriters in connection with our initial public offerings and follow-on public offerings for which they received customary fees. Affiliates of the underwriters are expected to receive part of the proceeds of the offering by reason of the repayment of certain amounts outstanding under the Truist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expect that delivery of the Notes will be made to investors on or about April 21, 2021, which will be the fifth business day following the date of pricing of the notes (such settlement cycle being herein referred to as “T+5”). Under Rule 15c6-1 under the Exchange Act, trades in the secondary market generally are required to settle in two business days, unless the parties to any such trade expressly agree otherwise. Accordingly, purchasers who wish to trade notes on any day prior to the second business day before delivery will be required, by virtue of the fact that the notes initially will settle T+5, to specify an alternate settlement cycle at the time of any such trade to prevent a failed settlement. Purchasers of notes who wish to trade notes on any day prior to the second business day before delivery should consult their own advisor.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principal business address of Raymond James &amp; Associates, Inc. is 880 Carillon Parkway, St. Petersburg, Florida 33716. The principal business address of Keefe, Bruyette &amp; Woods, Inc. is 787 7th Avenue, 4th Floor, New York, NY 10019. The principal business address of Truist Securities, Inc. is 3333 Peachtree Road NE, Atlanta, GA 30326. The principal business address of J.P. Morgan Securities LLC is 383 Madison Avenue, New York, NY 10179. The principal business address of Compass Point Research &amp; Trading, LLC is 1055 Thomas Jefferson Street NW, Suite 303, Washington, DC</w:t>
      </w:r>
    </w:p>
    <w:p>
      <w:pPr>
        <w:spacing w:after="0" w:line="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20007. The principal business address of JMP Securities LLC is 600 Montgomery Street, 11th Floor, San Francisco, CA 94111. The principal business address of Ladenburg Thalmann &amp; Co. Inc. is 277 Park Avenue, 26th Floor, New York, NY 10172. The principal business address of Capital One Securities, Inc. is 299 Park Avenue, New York, NY 10171.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w:t>
      </w:r>
    </w:p>
    <w:p>
      <w:pPr>
        <w:ind w:left="120"/>
        <w:spacing w:after="0" w:line="252" w:lineRule="auto"/>
        <w:rPr>
          <w:sz w:val="20"/>
          <w:szCs w:val="20"/>
          <w:color w:val="auto"/>
        </w:rPr>
      </w:pPr>
      <w:r>
        <w:rPr>
          <w:rFonts w:ascii="Arial" w:cs="Arial" w:eastAsia="Arial" w:hAnsi="Arial"/>
          <w:sz w:val="18"/>
          <w:szCs w:val="18"/>
          <w:color w:val="auto"/>
        </w:rPr>
        <w:t>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Notes may not be offered, sold or otherwise made available to any retail investor in the European Economic Area, or EEA. For these purposes: (a) a retail investor means a person who is one (or more) of the following: (i) a retail client as defined in point (11) of Article 4(1) of Article 4(1) of Directive 2014/65/EU (as amended or superseded, or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in any form and by any means of sufficient information on the terms of the offer and the Notes to be offered so as to enable an investor to decide to purchase or subscribe the Notes.</w:t>
      </w:r>
    </w:p>
    <w:p>
      <w:pPr>
        <w:spacing w:after="0" w:line="17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For the purposes of this provision: the expression “retail investor” means a person who is one (or more) of the following: (i) a retail client as defined in point (8) of Article 2 of Regulation (EU) No 2017/565 as it forms part of domestic law by virtue of the European Union (Withdrawal) Act 2018 (“EUWA”); or (ii) a customer within the meaning of the provisions of the Financial Services and Markets Act 2000 (as amended, the “FSMA”) of the United Kingdom and any rules or regulations made under the FSMA to implement Directive (EU) 2016/97, where that customer would not qualify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(the “UK Prospectus Regulation”); and (b) the expression “offer” includes the communication in any form and by any means of sufficient information on the terms of the offer and the Notes to be offered so as to enable an investor to decide to purchase or subscribe for the Notes.</w:t>
      </w:r>
    </w:p>
    <w:p>
      <w:pPr>
        <w:spacing w:after="0" w:line="17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This prospectus supplement and the accompanying prospectus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spacing w:after="0" w:line="166"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in the United Kingdom, each underwriter has represented and agreed the Notes may not be offered other than by an underwriter that: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has complied and will comply with all applicable provisions of the FSMA with respect to anything done by it in relation to the Notes in, from or otherwise involving the United Kingdom.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or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underwriters by Proskauer Rose LLP.</w:t>
      </w:r>
    </w:p>
    <w:p>
      <w:pPr>
        <w:spacing w:after="0" w:line="3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Investment Corporation as of September 30, 2020 and 2019 and for each of the years in the three-year period ended September 30, 2020 and the effectiveness of internal control over financial reporting as of September 30, 2020 incorporated in this prospectus supplement by reference from our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right="1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September 30, 2020, filed with the SEC on </w:t>
      </w:r>
      <w:hyperlink r:id="rId61">
        <w:r>
          <w:rPr>
            <w:rFonts w:ascii="Arial" w:cs="Arial" w:eastAsia="Arial" w:hAnsi="Arial"/>
            <w:sz w:val="18"/>
            <w:szCs w:val="18"/>
            <w:u w:val="single" w:color="auto"/>
            <w:color w:val="0000EE"/>
          </w:rPr>
          <w:t>November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amended on </w:t>
      </w:r>
      <w:hyperlink r:id="rId62">
        <w:r>
          <w:rPr>
            <w:rFonts w:ascii="Arial" w:cs="Arial" w:eastAsia="Arial" w:hAnsi="Arial"/>
            <w:sz w:val="18"/>
            <w:szCs w:val="18"/>
            <w:u w:val="single" w:color="auto"/>
            <w:color w:val="0000EE"/>
          </w:rPr>
          <w:t>March 26,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December 31, 2020, filed with the SEC on February 9,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64">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SEC on February 12, 2021;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2"/>
        </w:numPr>
        <w:rPr>
          <w:rFonts w:ascii="Arial" w:cs="Arial" w:eastAsia="Arial" w:hAnsi="Arial"/>
          <w:sz w:val="18"/>
          <w:szCs w:val="18"/>
          <w:color w:val="0000EE"/>
        </w:rPr>
      </w:pPr>
      <w:r>
        <w:rPr>
          <w:rFonts w:ascii="Arial" w:cs="Arial" w:eastAsia="Arial" w:hAnsi="Arial"/>
          <w:sz w:val="18"/>
          <w:szCs w:val="18"/>
          <w:color w:val="auto"/>
        </w:rPr>
        <w:t xml:space="preserve">our Definitive Proxy Statement on </w:t>
      </w:r>
      <w:hyperlink r:id="rId65">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xml:space="preserve">, filed with the SEC on December 8, 2020 (to the extent incorporated by reference into </w:t>
      </w:r>
      <w:hyperlink r:id="rId66">
        <w:r>
          <w:rPr>
            <w:rFonts w:ascii="Arial" w:cs="Arial" w:eastAsia="Arial" w:hAnsi="Arial"/>
            <w:sz w:val="18"/>
            <w:szCs w:val="18"/>
            <w:u w:val="single" w:color="auto"/>
            <w:color w:val="0000EE"/>
          </w:rPr>
          <w:t>Part III</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fiscal year ended September 30, 2020).</w:t>
      </w:r>
    </w:p>
    <w:p>
      <w:pPr>
        <w:spacing w:after="0" w:line="17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To obtain copies of these filings, see “</w:t>
      </w:r>
      <w:r>
        <w:rPr>
          <w:rFonts w:ascii="Arial" w:cs="Arial" w:eastAsia="Arial" w:hAnsi="Arial"/>
          <w:sz w:val="18"/>
          <w:szCs w:val="18"/>
          <w:i w:val="1"/>
          <w:iCs w:val="1"/>
          <w:color w:val="auto"/>
        </w:rPr>
        <w:t>Available Information</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139700</wp:posOffset>
            </wp:positionV>
            <wp:extent cx="1765935" cy="42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left="120" w:right="28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62">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68">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27"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January 28, 2020 was $6.58 per share, and our net asset value on September 30, 2019 was $8.68 per share. Our 5.50% notes due 2024, or the 2024 Notes, are traded on The Nasdaq Global Select Market under the symbol “PNNTG.” The last reported closing price of the 2024 Notes on January 28, 2020 was $25.65 per $25 unit.</w:t>
      </w:r>
    </w:p>
    <w:p>
      <w:pPr>
        <w:spacing w:after="0" w:line="62" w:lineRule="exact"/>
        <w:rPr>
          <w:sz w:val="20"/>
          <w:szCs w:val="20"/>
          <w:color w:val="auto"/>
        </w:rPr>
      </w:pPr>
    </w:p>
    <w:p>
      <w:pPr>
        <w:ind w:left="120" w:right="4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2" w:lineRule="exact"/>
        <w:rPr>
          <w:sz w:val="20"/>
          <w:szCs w:val="20"/>
          <w:color w:val="auto"/>
        </w:rPr>
      </w:pPr>
    </w:p>
    <w:p>
      <w:pPr>
        <w:ind w:left="120" w:right="6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30, 2020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5"/>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86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USE OF PROCEEDS</w:t>
              </w:r>
            </w:hyperlink>
          </w:p>
        </w:tc>
        <w:tc>
          <w:tcPr>
            <w:tcW w:w="91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PORTFOLIO COMPANIES</w:t>
              </w:r>
            </w:hyperlink>
          </w:p>
        </w:tc>
        <w:tc>
          <w:tcPr>
            <w:tcW w:w="86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DIVIDEND REINVESTMENT PLAN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13">
              <w:r>
                <w:rPr>
                  <w:rFonts w:ascii="Arial" w:cs="Arial" w:eastAsia="Arial" w:hAnsi="Arial"/>
                  <w:sz w:val="18"/>
                  <w:szCs w:val="18"/>
                  <w:color w:val="0000EE"/>
                  <w:w w:val="91"/>
                </w:rPr>
                <w:t>DESCRIPTION OF OUR UNITS</w:t>
              </w:r>
            </w:hyperlink>
          </w:p>
        </w:tc>
        <w:tc>
          <w:tcPr>
            <w:tcW w:w="83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INDEPENDENT REGISTERED PUBLIC ACCOUNTING FIRM/INDEPENDENT AUDITOR</w:t>
              </w:r>
            </w:hyperlink>
          </w:p>
        </w:tc>
        <w:tc>
          <w:tcPr>
            <w:tcW w:w="3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306"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“2024 Notes” refers to our 5.50% Notes due 2024; “2025 Notes” refers to our 6.25% notes due 2025;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3"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 SBIC II may rely on an exclusion from the definition of “investment company” under the 1940 Act. As such, it will not elect to be regulated as a BDC under the 1940 Act.</w:t>
      </w:r>
    </w:p>
    <w:p>
      <w:pPr>
        <w:spacing w:after="0" w:line="192"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66"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00" w:right="140" w:firstLine="532"/>
        <w:spacing w:after="0" w:line="275"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33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20" w:type="dxa"/>
            <w:vAlign w:val="bottom"/>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w:t>
            </w: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right="820" w:hanging="424"/>
        <w:spacing w:after="0" w:line="25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2019.</w:t>
      </w:r>
    </w:p>
    <w:p>
      <w:pPr>
        <w:spacing w:after="0" w:line="9" w:lineRule="exact"/>
        <w:rPr>
          <w:rFonts w:ascii="Arial" w:cs="Arial" w:eastAsia="Arial" w:hAnsi="Arial"/>
          <w:sz w:val="18"/>
          <w:szCs w:val="18"/>
          <w:color w:val="auto"/>
        </w:rPr>
      </w:pPr>
    </w:p>
    <w:p>
      <w:pPr>
        <w:jc w:val="both"/>
        <w:ind w:left="540" w:right="100" w:hanging="424"/>
        <w:spacing w:after="0" w:line="28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1.50% of our average adjusted gross assets up to 200% of the Company’s total net assets as of the immediately preceding quarter-end and 1.00% for amounts that exceed such amount on September 30, 2019. See “Business— Investment Management Agreement” and “Business—Management Fees” in our most recent Annual Report on Form 10-K for more information.</w:t>
      </w:r>
    </w:p>
    <w:p>
      <w:pPr>
        <w:spacing w:after="0" w:line="1"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“Business—Management Fees” in our most recent Annual Report on Form 10-K for more information.</w:t>
      </w:r>
    </w:p>
    <w:p>
      <w:pPr>
        <w:spacing w:after="0" w:line="1" w:lineRule="exact"/>
        <w:rPr>
          <w:rFonts w:ascii="Arial" w:cs="Arial" w:eastAsia="Arial" w:hAnsi="Arial"/>
          <w:sz w:val="17"/>
          <w:szCs w:val="17"/>
          <w:color w:val="auto"/>
        </w:rPr>
      </w:pPr>
    </w:p>
    <w:p>
      <w:pPr>
        <w:ind w:left="540" w:right="60" w:hanging="424"/>
        <w:spacing w:after="0" w:line="273"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of September 30, 2019, we had $252.4 million of unused borrowing capacity, subject to maintenance of the applicable total assets to debt ratio, under the 1940 Act. As of such date, we had $301.6 million in borrowings outstanding under our $475.0 million SunTrust Credit Facility, $171.0 million in borrowings outstanding under our $250.0 million BNP Credit Facility and $75.0 million in aggregate principal of 2024 Notes. As of September 30, 2019, our SBIC Funds had debenture commitments from the SBA in the amount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68" w:lineRule="auto"/>
        <w:rPr>
          <w:sz w:val="20"/>
          <w:szCs w:val="20"/>
          <w:color w:val="auto"/>
        </w:rPr>
      </w:pPr>
      <w:r>
        <w:rPr>
          <w:rFonts w:ascii="Arial" w:cs="Arial" w:eastAsia="Arial" w:hAnsi="Arial"/>
          <w:sz w:val="17"/>
          <w:szCs w:val="17"/>
          <w:color w:val="auto"/>
        </w:rPr>
        <w:t>of $150.0 million, all of which were outstanding with a weighted average interest rate of 3.11%, exclusive of the 3.43% of upfront fees. We may use proceeds of an offering of securities under this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2019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540" w:right="20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6"/>
          <w:szCs w:val="16"/>
          <w:color w:val="auto"/>
        </w:rPr>
      </w:pPr>
    </w:p>
    <w:p>
      <w:pPr>
        <w:ind w:left="540" w:right="20" w:hanging="424"/>
        <w:spacing w:after="0" w:line="270"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5.39%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10.40%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254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10 Years</w:t>
            </w:r>
          </w:p>
        </w:tc>
      </w:tr>
      <w:tr>
        <w:trPr>
          <w:trHeight w:val="175"/>
        </w:trPr>
        <w:tc>
          <w:tcPr>
            <w:tcW w:w="6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Assuming a 5% annual return (assumes no return from net realized capital gains or</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312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w w:val="98"/>
              </w:rPr>
              <w:t>Assuming a 5% annual return (assumes return from only realized capital gains and</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spacing w:after="0"/>
              <w:rPr>
                <w:sz w:val="20"/>
                <w:szCs w:val="20"/>
                <w:color w:val="auto"/>
              </w:rPr>
            </w:pPr>
            <w:r>
              <w:rPr>
                <w:rFonts w:ascii="Arial" w:cs="Arial" w:eastAsia="Arial" w:hAnsi="Arial"/>
                <w:sz w:val="18"/>
                <w:szCs w:val="18"/>
                <w:color w:val="auto"/>
              </w:rPr>
              <w:t>$ 140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332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r>
    </w:tbl>
    <w:p>
      <w:pPr>
        <w:spacing w:after="0" w:line="20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21,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120" w:right="640" w:hanging="4"/>
        <w:spacing w:after="0" w:line="323" w:lineRule="auto"/>
        <w:tabs>
          <w:tab w:leader="none" w:pos="4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September 30, 2019, 2018, 2017, 2016, 2015, 2014, 2013, 2012, 2011, and 2010,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598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Coverage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2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20" w:type="dxa"/>
            <w:vAlign w:val="bottom"/>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(2),(3)</w:t>
            </w:r>
          </w:p>
        </w:tc>
        <w:tc>
          <w:tcPr>
            <w:tcW w:w="120" w:type="dxa"/>
            <w:vAlign w:val="bottom"/>
          </w:tcPr>
          <w:p>
            <w:pPr>
              <w:spacing w:after="0"/>
              <w:rPr>
                <w:sz w:val="15"/>
                <w:szCs w:val="15"/>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SunTrust Credit Facility</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301,636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80,520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79,393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136,864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55,226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240,900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BNP Credit Facility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24.87</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24.68</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25.13</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24.51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24.79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540" w:right="460" w:hanging="424"/>
        <w:spacing w:after="0" w:line="28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540" w:right="200" w:hanging="424"/>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 and no amounts were outstanding as of September 30, 2019.</w:t>
      </w: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Fiscal 2010 includes SBIC LP’s SBA debentures in the total amount outstanding and our asset coverage per unit computation.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2017. On January 28, 2020, the last reported closing price of our common stock was $6.58 per share.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8"/>
              </w:rPr>
              <w:t>Closing Sales Price</w:t>
            </w:r>
          </w:p>
        </w:tc>
        <w:tc>
          <w:tcPr>
            <w:tcW w:w="420" w:type="dxa"/>
            <w:vAlign w:val="bottom"/>
            <w:vMerge w:val="restart"/>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88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5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900" w:type="dxa"/>
            <w:vAlign w:val="bottom"/>
            <w:vMerge w:val="restart"/>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2020</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 (As of January 28, 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N/A</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$ 6.68</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6.54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8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8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2019</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(23)</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8.74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6.23</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(17)</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6.30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(16)</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(30)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7.04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6.41</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6.91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right="160" w:hanging="424"/>
        <w:spacing w:after="0" w:line="25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September 30, 2019 and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9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Arial" w:cs="Arial" w:eastAsia="Arial" w:hAnsi="Arial"/>
                <w:sz w:val="16"/>
                <w:szCs w:val="16"/>
                <w:color w:val="auto"/>
              </w:rPr>
              <w:t>Total NAV held by stockholder A</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NAV per share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11,250</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4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106,875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6.88 %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160"/>
              <w:spacing w:after="0"/>
              <w:rPr>
                <w:sz w:val="20"/>
                <w:szCs w:val="20"/>
                <w:color w:val="auto"/>
              </w:rPr>
            </w:pPr>
            <w:r>
              <w:rPr>
                <w:rFonts w:ascii="Arial" w:cs="Arial" w:eastAsia="Arial" w:hAnsi="Arial"/>
                <w:sz w:val="16"/>
                <w:szCs w:val="16"/>
                <w:color w:val="auto"/>
              </w:rPr>
              <w:t>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109,863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9.86 %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(2,988)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9.77</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(0.27)</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NAV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0.44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2018 from ordinary income (including short-term gains, if any), totaled $48.4 million and $50.6 million, or $0.72 and $0.72 per share, respectively, based on weighted average shares outstanding for the respective periods.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2019 Consolidated Financial Statements included in our most recent Annual Report on Form 10-K.</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our Credit Facilities. Unless otherwise noted, we held no voting board membership on any of our portfolio companies.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0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8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9"/>
              </w:rPr>
              <w:t>Consumer</w:t>
            </w:r>
          </w:p>
        </w:tc>
        <w:tc>
          <w:tcPr>
            <w:tcW w:w="32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Products</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9"/>
              </w:rPr>
              <w:t>Business Services</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AH Holdings, Inc.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Education</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Preferred Equity</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and Childcare</w:t>
            </w: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Warrants</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L+600, 07/24/2025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American Insulated Glass,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Building Materials</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31,247</w:t>
            </w:r>
          </w:p>
        </w:tc>
        <w:tc>
          <w:tcPr>
            <w:tcW w:w="0" w:type="dxa"/>
            <w:vAlign w:val="bottom"/>
          </w:tcPr>
          <w:p>
            <w:pPr>
              <w:spacing w:after="0"/>
              <w:rPr>
                <w:sz w:val="1"/>
                <w:szCs w:val="1"/>
                <w:color w:val="auto"/>
              </w:rPr>
            </w:pPr>
          </w:p>
        </w:tc>
      </w:tr>
      <w:tr>
        <w:trPr>
          <w:trHeight w:val="149"/>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L+550, 12/21/2023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Conley, GA 30288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 LCG Holdings, Inc.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Education</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Novi, MI 48375</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Autumn Games,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Broadcasting and</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54 Thompson Street</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Entertainment</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New York, NY 10012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Bazaarvoice, Inc.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Printing and Publishing</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L+575, 02/01/2024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78759</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32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Bottom Line Systems, LLC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21,718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1M L+600, 02/13/2023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27,219</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12/02/2022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Trevose, PA 19053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16,052</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12.0% fixed (PIK 2.0%), 03/17/2025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36,185</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L+625, 12/23/2021</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47,884</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15.0% fixed (PIK 15.0%), 08/20/2021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Woodinville, WA 98072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Buildings and Real Estate</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10,860</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Confie Seguros Holding Co.</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Insurance</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13,594</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10/31/2025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Huntington Beach, CA 92647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Beverage, Food</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26,279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and Tobacco</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DermaRite Industries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Manufacturing / Basic</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9,256</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7777 West Side Avenue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Industries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L+700, 03/03/2022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North Bergen, NJ 07047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Consumer</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Austin, TX, 78738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32,013</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1980 Industrial Drive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L+825, 07/06/2026</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Sterling, IL 61081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Media</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17,969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L+625, 12/10/2024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8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Impact Group,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Personal, Food</w:t>
            </w:r>
          </w:p>
        </w:tc>
        <w:tc>
          <w:tcPr>
            <w:tcW w:w="200" w:type="dxa"/>
            <w:vAlign w:val="bottom"/>
            <w:tcBorders>
              <w:top w:val="single" w:sz="8" w:color="CCEEFF"/>
            </w:tcBorders>
            <w:shd w:val="clear" w:color="auto" w:fill="CCEEFF"/>
          </w:tcPr>
          <w:p>
            <w:pPr>
              <w:spacing w:after="0"/>
              <w:rPr>
                <w:sz w:val="9"/>
                <w:szCs w:val="9"/>
                <w:color w:val="auto"/>
              </w:rPr>
            </w:pPr>
          </w:p>
        </w:tc>
        <w:tc>
          <w:tcPr>
            <w:tcW w:w="30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19,901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L+650, 06/27/2023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Infogroup,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 Media</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22,213</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L+925, 04/03/2024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1020 E 1st Street</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Papillion, NE 68046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Personal, Food</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16,470</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L+850, 12/22/2021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Kadmon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450 East 29 Street, 5 Floor</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10016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Chemicals,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27,259</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Plastics and Rubber</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L+475, 12/20/2023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Kentucky Downs,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Hotels, Motels,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10,332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03/07/2025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5629 Nashville Road</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Franklin, KY 42134</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Environmental Services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Lombart Brothers,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17,539</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L+625, 04/13/2023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Printing and Publishing</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35,724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MBS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Telecommunications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19,624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01/02/2024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Birmingham, AL 35213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MeritDirect,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Media</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19,828</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Ox Two,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Building Materials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24,073</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22260 Haggerty Road #365</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02/27/2023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Northville, MI 48167</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Peninsula Pacific Entertainment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Hotels, Motels,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8,495</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3M L+725, 11/13/2024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Kent, VA 23124</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Beverage, Food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141 Hamilton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and Tobacco</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L+525, 06/01/2023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Hamburg, Ontario, Canada N3A 2H1</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PlayPower,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Consumer Products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05/08/2026</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Huntersville, NC 28078</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Nature of Business</w:t>
            </w:r>
          </w:p>
        </w:tc>
        <w:tc>
          <w:tcPr>
            <w:tcW w:w="3300" w:type="dxa"/>
            <w:vAlign w:val="bottom"/>
            <w:gridSpan w:val="2"/>
            <w:vMerge w:val="continue"/>
          </w:tcPr>
          <w:p>
            <w:pPr>
              <w:spacing w:after="0"/>
              <w:rPr>
                <w:sz w:val="12"/>
                <w:szCs w:val="12"/>
                <w:color w:val="auto"/>
              </w:rPr>
            </w:pPr>
          </w:p>
        </w:tc>
        <w:tc>
          <w:tcPr>
            <w:tcW w:w="1220" w:type="dxa"/>
            <w:vAlign w:val="bottom"/>
            <w:gridSpan w:val="2"/>
          </w:tcPr>
          <w:p>
            <w:pPr>
              <w:jc w:val="center"/>
              <w:ind w:right="33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PRA Events,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2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1.5</w:t>
            </w:r>
          </w:p>
        </w:tc>
        <w:tc>
          <w:tcPr>
            <w:tcW w:w="400" w:type="dxa"/>
            <w:vAlign w:val="bottom"/>
            <w:tcBorders>
              <w:top w:val="single" w:sz="8" w:color="CCEEFF"/>
            </w:tcBorders>
            <w:shd w:val="clear" w:color="auto" w:fill="CCEEFF"/>
          </w:tcPr>
          <w:p>
            <w:pPr>
              <w:jc w:val="right"/>
              <w:ind w:right="21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20,640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L+700, 08/08/2022</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Provation Medical,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Electronics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26,422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L+700, 03/11/2024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Minneapolis, MN 55401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14,775</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L+525, 09/04/2024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22,016</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09/09/2024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L+575, 03/31/2025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Research Horizons,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30,416</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Research Now Group, Inc. and Survey Sampling International</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9,940</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L+550, 12/20/2024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06/20/2025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L+500, 07/14/2025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Shift4 Payments,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Financial Services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Second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L+850, 11/28/2025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Chemicals, Plastics and</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16,354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Rubber</w:t>
            </w: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P+650, 05/03/2024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Communications</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L+575, 01/17/2024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7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Electronics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Triad Manufacturing,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Manufacturing / Basic</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21,374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4321 Semple Avenue</w:t>
            </w: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Industries</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L+1,325, 12/28/2020</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Transportation</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34,757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L+550, 01/18/2024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TWS Acquisition Corporation</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Education</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9,146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Aerospace and Defense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Printing and Publishing</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US Med Acquisition, Inc.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Doral, FL 33122</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(8)</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VT Topco,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12,318</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 Veracity Holdings, LP)</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L+700, 08/24/2026</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Suite 3200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Walker Edison Furniture Company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Home and Office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27,205</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(JWC-WE Holdings, L.P.)</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Furnishings</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L+650, 09/26/2024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Salt Lake City, UT 84120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Whitney, Bradley &amp; Brown,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Aerospace and Defense</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12,399</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11790 Sunrise Valley Drive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Auto Sector</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49,955</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(Wheel Pros Holdings, L.P.)</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04/06/2026</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Lakewood, CO 80228</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6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15.3%</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22,717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(ETX Energy Management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Company, LLC)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10441 S. Regal Blvd. Ste. 210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Tulsa, OK 74133</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37,059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L+575, 03/13/2024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Braddan, Isle of Man IM4 4LH</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2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26,632</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1"/>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1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center"/>
              <w:ind w:right="458"/>
              <w:spacing w:after="0" w:line="145"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1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PT Network Intermediate Holdings,</w:t>
            </w:r>
          </w:p>
        </w:tc>
        <w:tc>
          <w:tcPr>
            <w:tcW w:w="1740" w:type="dxa"/>
            <w:vAlign w:val="bottom"/>
            <w:tcBorders>
              <w:top w:val="single" w:sz="8" w:color="CCEEFF"/>
            </w:tcBorders>
            <w:shd w:val="clear" w:color="auto" w:fill="CCEEFF"/>
          </w:tcPr>
          <w:p>
            <w:pPr>
              <w:ind w:left="120"/>
              <w:spacing w:after="0" w:line="109" w:lineRule="exact"/>
              <w:rPr>
                <w:sz w:val="20"/>
                <w:szCs w:val="20"/>
                <w:color w:val="auto"/>
              </w:rPr>
            </w:pPr>
            <w:r>
              <w:rPr>
                <w:rFonts w:ascii="Arial" w:cs="Arial" w:eastAsia="Arial" w:hAnsi="Arial"/>
                <w:sz w:val="12"/>
                <w:szCs w:val="12"/>
                <w:color w:val="auto"/>
              </w:rPr>
              <w:t>LLC</w:t>
            </w:r>
            <w:r>
              <w:rPr>
                <w:rFonts w:ascii="Arial" w:cs="Arial" w:eastAsia="Arial" w:hAnsi="Arial"/>
                <w:sz w:val="10"/>
                <w:szCs w:val="10"/>
                <w:color w:val="auto"/>
              </w:rPr>
              <w:t>(5)</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20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62.1</w:t>
            </w:r>
          </w:p>
        </w:tc>
        <w:tc>
          <w:tcPr>
            <w:tcW w:w="50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72,434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(5)</w:t>
            </w:r>
            <w:r>
              <w:rPr>
                <w:rFonts w:ascii="Arial" w:cs="Arial" w:eastAsia="Arial" w:hAnsi="Arial"/>
                <w:sz w:val="14"/>
                <w:szCs w:val="14"/>
                <w:color w:val="auto"/>
              </w:rPr>
              <w:t>)</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L+1,000 PIK, 11/30/2024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74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Energy and Utilities</w:t>
            </w:r>
          </w:p>
        </w:tc>
        <w:tc>
          <w:tcPr>
            <w:tcW w:w="3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178"/>
              <w:spacing w:after="0"/>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123,958</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(RAM Energy Holdings LLC)</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8.0% fixed, 07/01/2022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w w:val="96"/>
              </w:rPr>
              <w:t>2100 South Utica Avenue, Ste. 165</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spacing w:after="0"/>
              <w:rPr>
                <w:sz w:val="20"/>
                <w:szCs w:val="20"/>
                <w:color w:val="auto"/>
              </w:rPr>
            </w:pPr>
            <w:r>
              <w:rPr>
                <w:rFonts w:ascii="Arial" w:cs="Arial" w:eastAsia="Arial" w:hAnsi="Arial"/>
                <w:sz w:val="14"/>
                <w:szCs w:val="14"/>
                <w:color w:val="auto"/>
              </w:rPr>
              <w:t>Tulsa, OK 74114</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1,219,433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25"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540" w:right="6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540" w:right="36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5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ind w:left="540" w:hanging="424"/>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Portfolio company partially subject to temporary contractual restriction on sales as of September 30, 2019.</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2019:</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PT Network Intermediate Holdings, LLC (CI (PTN) Investment Holdings II, LLC) is a provider of physical therapy, corporate wellness and occupational health services.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RAM Energy LLC (RAM Energy Holdings LLC) (Energy and Utilities)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RAM Energy LLC (RAM Energy Holdings LLC) is an exploration and production company focused on operations in the East Texas.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 2019</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6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vMerge w:val="restart"/>
          </w:tcPr>
          <w:p>
            <w:pPr>
              <w:jc w:val="right"/>
              <w:ind w:right="611"/>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59" w:right="11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420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0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company</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Joint Venture</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Direct Lending</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Funds</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28,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85"/>
        </w:trPr>
        <w:tc>
          <w:tcPr>
            <w:tcW w:w="88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Corporation</w:t>
            </w:r>
            <w:r>
              <w:rPr>
                <w:rFonts w:ascii="Arial" w:cs="Arial" w:eastAsia="Arial" w:hAnsi="Arial"/>
                <w:sz w:val="12"/>
                <w:szCs w:val="12"/>
                <w:b w:val="1"/>
                <w:bCs w:val="1"/>
                <w:color w:val="auto"/>
                <w:w w:val="94"/>
              </w:rPr>
              <w:t>(1)</w:t>
            </w:r>
          </w:p>
        </w:tc>
      </w:tr>
      <w:tr>
        <w:trPr>
          <w:trHeight w:val="196"/>
        </w:trPr>
        <w:tc>
          <w:tcPr>
            <w:tcW w:w="8820" w:type="dxa"/>
            <w:vAlign w:val="bottom"/>
            <w:shd w:val="clear" w:color="auto" w:fill="CCEEFF"/>
          </w:tcPr>
          <w:p>
            <w:pPr>
              <w:spacing w:after="0" w:line="195"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Jose A. Briones</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r>
      <w:tr>
        <w:trPr>
          <w:trHeight w:val="206"/>
        </w:trPr>
        <w:tc>
          <w:tcPr>
            <w:tcW w:w="882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80" w:hanging="424"/>
        <w:spacing w:after="0" w:line="29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28, 2020 was $6.58 per share. As of December 31, 2019, we had 9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In September 2019, we issued $75.0 million in aggregate principal amount of 2024 Notes, for net proceeds of $72.3 million after deducting underwriting discounts and offering costs. Interest on the 2024 Notes is paid quarterly on January 15, April 15, July 15 and October 15, at a rate of</w:t>
      </w:r>
    </w:p>
    <w:p>
      <w:pPr>
        <w:ind w:left="120" w:right="60"/>
        <w:spacing w:after="0" w:line="253" w:lineRule="auto"/>
        <w:rPr>
          <w:sz w:val="20"/>
          <w:szCs w:val="20"/>
          <w:color w:val="auto"/>
        </w:rPr>
      </w:pPr>
      <w:r>
        <w:rPr>
          <w:rFonts w:ascii="Arial" w:cs="Arial" w:eastAsia="Arial" w:hAnsi="Arial"/>
          <w:sz w:val="18"/>
          <w:szCs w:val="18"/>
          <w:color w:val="auto"/>
        </w:rPr>
        <w:t>5.50% per year, commencing January 15, 2020. The 2024 Notes mature on October 15, 2024. The 2024 Notes are direct unsecured obligations and rank pari passu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2019,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Interest on the 2019 Notes accrued at a rate of 4.50% per year and was paid semi-annually. The 2019 Notes were prepaid at 100% of the principal amount, plus accrued and unpaid interest through the payment date of March 4, 2019, as well as a make-whole premium. As of September 30, 2019 and 2018, we had zero and $250.0 million in aggregate principal amount of 2019 Notes outstanding, respectively.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SunTrust Credit Facility.</w:t>
      </w:r>
    </w:p>
    <w:p>
      <w:pPr>
        <w:spacing w:after="0" w:line="16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or exchange of other offered securities, or underlying debt securities may be issued under the indenture in one or more series.</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2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60" w:hanging="4884"/>
        <w:spacing w:after="0" w:line="490" w:lineRule="auto"/>
        <w:tabs>
          <w:tab w:leader="none" w:pos="10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080" w:right="4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120" w:right="20" w:hanging="4"/>
        <w:spacing w:after="0" w:line="252" w:lineRule="auto"/>
        <w:tabs>
          <w:tab w:leader="none" w:pos="3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jc w:val="both"/>
        <w:ind w:left="1540" w:hanging="439"/>
        <w:spacing w:after="0" w:line="286" w:lineRule="auto"/>
        <w:tabs>
          <w:tab w:leader="none" w:pos="15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serves as trustee for our 2024 Notes.</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w:t>
      </w:r>
      <w:r>
        <w:rPr>
          <w:rFonts w:ascii="Arial" w:cs="Arial" w:eastAsia="Arial" w:hAnsi="Arial"/>
          <w:sz w:val="14"/>
          <w:szCs w:val="14"/>
          <w:color w:val="auto"/>
        </w:rPr>
        <w:t>nd</w:t>
      </w:r>
      <w:r>
        <w:rPr>
          <w:rFonts w:ascii="Arial" w:cs="Arial" w:eastAsia="Arial" w:hAnsi="Arial"/>
          <w:sz w:val="17"/>
          <w:szCs w:val="17"/>
          <w:color w:val="auto"/>
        </w:rPr>
        <w:t xml:space="preserve">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of RAM Energy Holdings LLC and subsidiaries as of and for the year ended September 30, 2019 incorporated by reference in this Prospectus have been so incorporated in reliance on the report of BDO USA, LLP, an independent auditor, incorporated herein by reference, given on the authority of said firm as experts in auditing and accounting.</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21, 2019, including the information specifically incorporated by reference to the Form 10-K from out Definitive Proxy Statement on </w:t>
      </w:r>
      <w:hyperlink r:id="rId155">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5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001-33418), as filed with the SEC on April 19, 2007,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1268730</wp:posOffset>
            </wp:positionV>
            <wp:extent cx="1765935"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$150,000,000</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4.50% Notes due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1037590</wp:posOffset>
            </wp:positionV>
            <wp:extent cx="1474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460" w:type="dxa"/>
            <w:vAlign w:val="bottom"/>
          </w:tcPr>
          <w:p>
            <w:pPr>
              <w:ind w:left="440"/>
              <w:spacing w:after="0"/>
              <w:rPr>
                <w:sz w:val="20"/>
                <w:szCs w:val="20"/>
                <w:color w:val="auto"/>
              </w:rPr>
            </w:pPr>
            <w:r>
              <w:rPr>
                <w:rFonts w:ascii="Arial" w:cs="Arial" w:eastAsia="Arial" w:hAnsi="Arial"/>
                <w:sz w:val="22"/>
                <w:szCs w:val="22"/>
                <w:b w:val="1"/>
                <w:bCs w:val="1"/>
                <w:color w:val="auto"/>
              </w:rPr>
              <w:t>Raymond James</w:t>
            </w:r>
          </w:p>
        </w:tc>
        <w:tc>
          <w:tcPr>
            <w:tcW w:w="3280" w:type="dxa"/>
            <w:vAlign w:val="bottom"/>
            <w:gridSpan w:val="2"/>
          </w:tcPr>
          <w:p>
            <w:pPr>
              <w:ind w:left="840"/>
              <w:spacing w:after="0"/>
              <w:rPr>
                <w:sz w:val="20"/>
                <w:szCs w:val="20"/>
                <w:color w:val="auto"/>
              </w:rPr>
            </w:pPr>
            <w:r>
              <w:rPr>
                <w:rFonts w:ascii="Arial" w:cs="Arial" w:eastAsia="Arial" w:hAnsi="Arial"/>
                <w:sz w:val="22"/>
                <w:szCs w:val="22"/>
                <w:b w:val="1"/>
                <w:bCs w:val="1"/>
                <w:color w:val="auto"/>
                <w:w w:val="92"/>
              </w:rPr>
              <w:t>Keefe, Bruyette &amp; Woods</w:t>
            </w:r>
          </w:p>
        </w:tc>
        <w:tc>
          <w:tcPr>
            <w:tcW w:w="940" w:type="dxa"/>
            <w:vAlign w:val="bottom"/>
          </w:tcPr>
          <w:p>
            <w:pPr>
              <w:spacing w:after="0"/>
              <w:rPr>
                <w:sz w:val="22"/>
                <w:szCs w:val="22"/>
                <w:color w:val="auto"/>
              </w:rPr>
            </w:pPr>
          </w:p>
        </w:tc>
        <w:tc>
          <w:tcPr>
            <w:tcW w:w="2280" w:type="dxa"/>
            <w:vAlign w:val="bottom"/>
          </w:tcPr>
          <w:p>
            <w:pPr>
              <w:ind w:left="440"/>
              <w:spacing w:after="0"/>
              <w:rPr>
                <w:sz w:val="20"/>
                <w:szCs w:val="20"/>
                <w:color w:val="auto"/>
              </w:rPr>
            </w:pPr>
            <w:r>
              <w:rPr>
                <w:rFonts w:ascii="Arial" w:cs="Arial" w:eastAsia="Arial" w:hAnsi="Arial"/>
                <w:sz w:val="22"/>
                <w:szCs w:val="22"/>
                <w:b w:val="1"/>
                <w:bCs w:val="1"/>
                <w:color w:val="auto"/>
              </w:rPr>
              <w:t>Truist Securities</w:t>
            </w:r>
          </w:p>
        </w:tc>
        <w:tc>
          <w:tcPr>
            <w:tcW w:w="2060" w:type="dxa"/>
            <w:vAlign w:val="bottom"/>
          </w:tcPr>
          <w:p>
            <w:pPr>
              <w:ind w:left="660"/>
              <w:spacing w:after="0"/>
              <w:rPr>
                <w:sz w:val="20"/>
                <w:szCs w:val="20"/>
                <w:color w:val="auto"/>
              </w:rPr>
            </w:pPr>
            <w:r>
              <w:rPr>
                <w:rFonts w:ascii="Arial" w:cs="Arial" w:eastAsia="Arial" w:hAnsi="Arial"/>
                <w:sz w:val="22"/>
                <w:szCs w:val="22"/>
                <w:b w:val="1"/>
                <w:bCs w:val="1"/>
                <w:color w:val="auto"/>
              </w:rPr>
              <w:t>J.P. Morgan</w:t>
            </w:r>
          </w:p>
        </w:tc>
      </w:tr>
      <w:tr>
        <w:trPr>
          <w:trHeight w:val="230"/>
        </w:trPr>
        <w:tc>
          <w:tcPr>
            <w:tcW w:w="2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i w:val="1"/>
                <w:iCs w:val="1"/>
                <w:color w:val="auto"/>
                <w:w w:val="94"/>
              </w:rPr>
              <w:t>A Stifel Company</w:t>
            </w: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3"/>
        </w:trPr>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gridSpan w:val="3"/>
          </w:tcPr>
          <w:p>
            <w:pPr>
              <w:ind w:left="760"/>
              <w:spacing w:after="0"/>
              <w:rPr>
                <w:sz w:val="20"/>
                <w:szCs w:val="20"/>
                <w:color w:val="auto"/>
              </w:rPr>
            </w:pPr>
            <w:r>
              <w:rPr>
                <w:rFonts w:ascii="Arial" w:cs="Arial" w:eastAsia="Arial" w:hAnsi="Arial"/>
                <w:sz w:val="14"/>
                <w:szCs w:val="14"/>
                <w:i w:val="1"/>
                <w:iCs w:val="1"/>
                <w:color w:val="auto"/>
              </w:rPr>
              <w:t>Co-Managers</w:t>
            </w:r>
          </w:p>
        </w:tc>
        <w:tc>
          <w:tcPr>
            <w:tcW w:w="2060" w:type="dxa"/>
            <w:vAlign w:val="bottom"/>
          </w:tcPr>
          <w:p>
            <w:pPr>
              <w:spacing w:after="0"/>
              <w:rPr>
                <w:sz w:val="24"/>
                <w:szCs w:val="24"/>
                <w:color w:val="auto"/>
              </w:rPr>
            </w:pPr>
          </w:p>
        </w:tc>
      </w:tr>
      <w:tr>
        <w:trPr>
          <w:trHeight w:val="444"/>
        </w:trPr>
        <w:tc>
          <w:tcPr>
            <w:tcW w:w="2460" w:type="dxa"/>
            <w:vAlign w:val="bottom"/>
          </w:tcPr>
          <w:p>
            <w:pPr>
              <w:spacing w:after="0"/>
              <w:rPr>
                <w:sz w:val="20"/>
                <w:szCs w:val="20"/>
                <w:color w:val="auto"/>
              </w:rPr>
            </w:pPr>
            <w:r>
              <w:rPr>
                <w:rFonts w:ascii="Arial" w:cs="Arial" w:eastAsia="Arial" w:hAnsi="Arial"/>
                <w:sz w:val="18"/>
                <w:szCs w:val="18"/>
                <w:b w:val="1"/>
                <w:bCs w:val="1"/>
                <w:color w:val="auto"/>
              </w:rPr>
              <w:t>Compass Point</w:t>
            </w:r>
          </w:p>
        </w:tc>
        <w:tc>
          <w:tcPr>
            <w:tcW w:w="3280" w:type="dxa"/>
            <w:vAlign w:val="bottom"/>
            <w:gridSpan w:val="2"/>
          </w:tcPr>
          <w:p>
            <w:pPr>
              <w:ind w:left="500"/>
              <w:spacing w:after="0"/>
              <w:rPr>
                <w:sz w:val="20"/>
                <w:szCs w:val="20"/>
                <w:color w:val="auto"/>
              </w:rPr>
            </w:pPr>
            <w:r>
              <w:rPr>
                <w:rFonts w:ascii="Arial" w:cs="Arial" w:eastAsia="Arial" w:hAnsi="Arial"/>
                <w:sz w:val="18"/>
                <w:szCs w:val="18"/>
                <w:b w:val="1"/>
                <w:bCs w:val="1"/>
                <w:color w:val="auto"/>
              </w:rPr>
              <w:t>JMP Securities</w:t>
            </w:r>
          </w:p>
        </w:tc>
        <w:tc>
          <w:tcPr>
            <w:tcW w:w="3220" w:type="dxa"/>
            <w:vAlign w:val="bottom"/>
            <w:gridSpan w:val="2"/>
          </w:tcPr>
          <w:p>
            <w:pPr>
              <w:ind w:left="80"/>
              <w:spacing w:after="0"/>
              <w:rPr>
                <w:sz w:val="20"/>
                <w:szCs w:val="20"/>
                <w:color w:val="auto"/>
              </w:rPr>
            </w:pPr>
            <w:r>
              <w:rPr>
                <w:rFonts w:ascii="Arial" w:cs="Arial" w:eastAsia="Arial" w:hAnsi="Arial"/>
                <w:sz w:val="18"/>
                <w:szCs w:val="18"/>
                <w:b w:val="1"/>
                <w:bCs w:val="1"/>
                <w:color w:val="auto"/>
              </w:rPr>
              <w:t>Ladenburg Thalmann</w:t>
            </w:r>
          </w:p>
        </w:tc>
        <w:tc>
          <w:tcPr>
            <w:tcW w:w="2060" w:type="dxa"/>
            <w:vAlign w:val="bottom"/>
          </w:tcPr>
          <w:p>
            <w:pPr>
              <w:ind w:left="320"/>
              <w:spacing w:after="0"/>
              <w:rPr>
                <w:sz w:val="20"/>
                <w:szCs w:val="20"/>
                <w:color w:val="auto"/>
              </w:rPr>
            </w:pPr>
            <w:r>
              <w:rPr>
                <w:rFonts w:ascii="Arial" w:cs="Arial" w:eastAsia="Arial" w:hAnsi="Arial"/>
                <w:sz w:val="18"/>
                <w:szCs w:val="18"/>
                <w:b w:val="1"/>
                <w:bCs w:val="1"/>
                <w:color w:val="auto"/>
                <w:w w:val="89"/>
              </w:rPr>
              <w:t>Capital One Securities</w:t>
            </w:r>
          </w:p>
        </w:tc>
      </w:tr>
      <w:tr>
        <w:trPr>
          <w:trHeight w:val="607"/>
        </w:trPr>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977265</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1037590</wp:posOffset>
            </wp:positionV>
            <wp:extent cx="699516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4"/>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upperLetter"/>
      <w:start w:val="35"/>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lowerRoman"/>
      <w:start w:val="1"/>
    </w:lvl>
  </w:abstractNum>
  <w:abstractNum w:abstractNumId="22">
    <w:nsid w:val="684A481A"/>
    <w:multiLevelType w:val="hybridMultilevel"/>
    <w:lvl w:ilvl="0">
      <w:lvlJc w:val="left"/>
      <w:lvlText w:val="(%1)"/>
      <w:numFmt w:val="lowerRoman"/>
      <w:start w:val="3"/>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7"/>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upperLetter"/>
      <w:start w:val="2"/>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3"/>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lvl w:ilvl="1">
      <w:lvlJc w:val="left"/>
      <w:lvlText w:val="%2)"/>
      <w:numFmt w:val="decimal"/>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jpe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jpe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61" Type="http://schemas.openxmlformats.org/officeDocument/2006/relationships/hyperlink" Target="http://www.sec.gov/Archives/edgar/data/1383414/000156459020054639/pnnt-10k_20200930.htm" TargetMode="External"/><Relationship Id="rId62" Type="http://schemas.openxmlformats.org/officeDocument/2006/relationships/hyperlink" Target="http://www.sec.gov/Archives/edgar/data/0001383414/000156459021015819/pnnt-10ka_20200930.htm" TargetMode="External"/><Relationship Id="rId63" Type="http://schemas.openxmlformats.org/officeDocument/2006/relationships/hyperlink" Target="http://www.sec.gov/Archives/edgar/data/1383414/000156459021004994/pnnt-10q_20201231.htm" TargetMode="External"/><Relationship Id="rId64" Type="http://schemas.openxmlformats.org/officeDocument/2006/relationships/hyperlink" Target="http://www.sec.gov/Archives/edgar/data/1383414/000156459021005778/pnnt-8k_20210209.htm" TargetMode="External"/><Relationship Id="rId65" Type="http://schemas.openxmlformats.org/officeDocument/2006/relationships/hyperlink" Target="http://www.sec.gov/Archives/edgar/data/1383414/000095012320012521/pnnt-def14a_20210930.htm" TargetMode="External"/><Relationship Id="rId66" Type="http://schemas.openxmlformats.org/officeDocument/2006/relationships/hyperlink" Target="http://www.sec.gov/Archives/edgar/data/1383414/000156459020054639/pnnt-10k_20200930.htm#PART_III" TargetMode="External"/><Relationship Id="rId154" Type="http://schemas.openxmlformats.org/officeDocument/2006/relationships/hyperlink" Target="http://www.sec.gov/Archives/edgar/data/1383414/000156459019044110/pnnt-10k_20190930.htm" TargetMode="External"/><Relationship Id="rId155" Type="http://schemas.openxmlformats.org/officeDocument/2006/relationships/hyperlink" Target="http://www.sec.gov/Archives/edgar/data/1383414/000156459019046217/pnnt-def14a_20200930.htm" TargetMode="External"/><Relationship Id="rId156" Type="http://schemas.openxmlformats.org/officeDocument/2006/relationships/hyperlink" Target="http://www.sec.gov/Archives/edgar/data/1383414/00011931250708471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2021-04-15T16:54:29Z</dcterms:created>
  <dcterms:modified xsi:type="dcterms:W3CDTF">2021-04-15T16:54:29Z</dcterms:modified>
</cp:coreProperties>
</file>