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25"/>
          <w:szCs w:val="25"/>
          <w:b w:val="1"/>
          <w:bCs w:val="1"/>
          <w:color w:val="auto"/>
        </w:rPr>
        <w:t>SCHEDULE 14A</w:t>
      </w:r>
    </w:p>
    <w:p>
      <w:pPr>
        <w:spacing w:after="0" w:line="13" w:lineRule="exact"/>
        <w:rPr>
          <w:sz w:val="24"/>
          <w:szCs w:val="24"/>
          <w:color w:val="auto"/>
        </w:rPr>
      </w:pPr>
    </w:p>
    <w:p>
      <w:pPr>
        <w:ind w:left="5160"/>
        <w:spacing w:after="0"/>
        <w:rPr>
          <w:sz w:val="20"/>
          <w:szCs w:val="20"/>
          <w:color w:val="auto"/>
        </w:rPr>
      </w:pPr>
      <w:r>
        <w:rPr>
          <w:rFonts w:ascii="Arial" w:cs="Arial" w:eastAsia="Arial" w:hAnsi="Arial"/>
          <w:sz w:val="14"/>
          <w:szCs w:val="14"/>
          <w:b w:val="1"/>
          <w:bCs w:val="1"/>
          <w:color w:val="auto"/>
        </w:rPr>
        <w:t>(RULE 14a-101)</w:t>
      </w:r>
    </w:p>
    <w:p>
      <w:pPr>
        <w:ind w:left="4480"/>
        <w:spacing w:after="0" w:line="221" w:lineRule="auto"/>
        <w:rPr>
          <w:sz w:val="20"/>
          <w:szCs w:val="20"/>
          <w:color w:val="auto"/>
        </w:rPr>
      </w:pPr>
      <w:r>
        <w:rPr>
          <w:rFonts w:ascii="Arial" w:cs="Arial" w:eastAsia="Arial" w:hAnsi="Arial"/>
          <w:sz w:val="14"/>
          <w:szCs w:val="14"/>
          <w:b w:val="1"/>
          <w:bCs w:val="1"/>
          <w:color w:val="auto"/>
        </w:rPr>
        <w:t>Information Required in Proxy Statement</w:t>
      </w:r>
    </w:p>
    <w:p>
      <w:pPr>
        <w:ind w:left="4860"/>
        <w:spacing w:after="0" w:line="221" w:lineRule="auto"/>
        <w:rPr>
          <w:sz w:val="20"/>
          <w:szCs w:val="20"/>
          <w:color w:val="auto"/>
        </w:rPr>
      </w:pPr>
      <w:r>
        <w:rPr>
          <w:rFonts w:ascii="Arial" w:cs="Arial" w:eastAsia="Arial" w:hAnsi="Arial"/>
          <w:sz w:val="14"/>
          <w:szCs w:val="14"/>
          <w:b w:val="1"/>
          <w:bCs w:val="1"/>
          <w:color w:val="auto"/>
        </w:rPr>
        <w:t>Schedule 14A Information</w:t>
      </w:r>
    </w:p>
    <w:p>
      <w:pPr>
        <w:jc w:val="center"/>
        <w:ind w:left="640"/>
        <w:spacing w:after="0" w:line="222" w:lineRule="auto"/>
        <w:rPr>
          <w:sz w:val="20"/>
          <w:szCs w:val="20"/>
          <w:color w:val="auto"/>
        </w:rPr>
      </w:pPr>
      <w:r>
        <w:rPr>
          <w:rFonts w:ascii="Arial" w:cs="Arial" w:eastAsia="Arial" w:hAnsi="Arial"/>
          <w:sz w:val="14"/>
          <w:szCs w:val="14"/>
          <w:b w:val="1"/>
          <w:bCs w:val="1"/>
          <w:color w:val="auto"/>
        </w:rPr>
        <w:t>Proxy Statement Pursuant to Section 14(a) of the</w:t>
      </w:r>
    </w:p>
    <w:p>
      <w:pPr>
        <w:jc w:val="center"/>
        <w:ind w:left="640"/>
        <w:spacing w:after="0"/>
        <w:rPr>
          <w:sz w:val="20"/>
          <w:szCs w:val="20"/>
          <w:color w:val="auto"/>
        </w:rPr>
      </w:pPr>
      <w:r>
        <w:rPr>
          <w:rFonts w:ascii="Arial" w:cs="Arial" w:eastAsia="Arial" w:hAnsi="Arial"/>
          <w:sz w:val="14"/>
          <w:szCs w:val="14"/>
          <w:b w:val="1"/>
          <w:bCs w:val="1"/>
          <w:color w:val="auto"/>
        </w:rPr>
        <w:t>Securities Exchange Act of 1934</w:t>
      </w:r>
    </w:p>
    <w:p>
      <w:pPr>
        <w:spacing w:after="0" w:line="163" w:lineRule="exact"/>
        <w:rPr>
          <w:sz w:val="24"/>
          <w:szCs w:val="24"/>
          <w:color w:val="auto"/>
        </w:rPr>
      </w:pPr>
    </w:p>
    <w:p>
      <w:pPr>
        <w:spacing w:after="0" w:line="207" w:lineRule="exact"/>
        <w:tabs>
          <w:tab w:leader="none" w:pos="75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860" w:hanging="2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860" w:hanging="2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860" w:hanging="268"/>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860" w:hanging="26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77" w:lineRule="exact"/>
        <w:rPr>
          <w:sz w:val="24"/>
          <w:szCs w:val="24"/>
          <w:color w:val="auto"/>
        </w:rPr>
      </w:pPr>
    </w:p>
    <w:p>
      <w:pPr>
        <w:ind w:left="860" w:hanging="268"/>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379" w:lineRule="exact"/>
        <w:rPr>
          <w:sz w:val="24"/>
          <w:szCs w:val="24"/>
          <w:color w:val="auto"/>
        </w:rPr>
      </w:pPr>
    </w:p>
    <w:p>
      <w:pPr>
        <w:jc w:val="center"/>
        <w:ind w:left="720"/>
        <w:spacing w:after="0"/>
        <w:rPr>
          <w:sz w:val="20"/>
          <w:szCs w:val="20"/>
          <w:color w:val="auto"/>
        </w:rPr>
      </w:pPr>
      <w:r>
        <w:rPr>
          <w:rFonts w:ascii="Arial" w:cs="Arial" w:eastAsia="Arial" w:hAnsi="Arial"/>
          <w:sz w:val="31"/>
          <w:szCs w:val="31"/>
          <w:b w:val="1"/>
          <w:bCs w:val="1"/>
          <w:color w:val="auto"/>
        </w:rPr>
        <w:t>PennantPark Investment Corporation</w:t>
      </w:r>
    </w:p>
    <w:p>
      <w:pPr>
        <w:spacing w:after="0" w:line="25" w:lineRule="exact"/>
        <w:rPr>
          <w:sz w:val="24"/>
          <w:szCs w:val="24"/>
          <w:color w:val="auto"/>
        </w:rPr>
      </w:pPr>
    </w:p>
    <w:p>
      <w:pPr>
        <w:ind w:left="4560"/>
        <w:spacing w:after="0"/>
        <w:rPr>
          <w:sz w:val="20"/>
          <w:szCs w:val="20"/>
          <w:color w:val="auto"/>
        </w:rPr>
      </w:pPr>
      <w:r>
        <w:rPr>
          <w:rFonts w:ascii="Arial" w:cs="Arial" w:eastAsia="Arial" w:hAnsi="Arial"/>
          <w:sz w:val="11"/>
          <w:szCs w:val="11"/>
          <w:b w:val="1"/>
          <w:bCs w:val="1"/>
          <w:color w:val="auto"/>
        </w:rPr>
        <w:t>(Name of Registrant as Specified in Its Charter)</w:t>
      </w:r>
    </w:p>
    <w:p>
      <w:pPr>
        <w:ind w:left="4080"/>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200" w:lineRule="exact"/>
        <w:rPr>
          <w:sz w:val="24"/>
          <w:szCs w:val="24"/>
          <w:color w:val="auto"/>
        </w:rPr>
      </w:pPr>
    </w:p>
    <w:p>
      <w:pPr>
        <w:spacing w:after="0" w:line="21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1540" w:hanging="995"/>
        <w:spacing w:after="0"/>
        <w:tabs>
          <w:tab w:leader="none" w:pos="1540"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No fee required.</w:t>
      </w:r>
    </w:p>
    <w:p>
      <w:pPr>
        <w:spacing w:after="0" w:line="50" w:lineRule="exact"/>
        <w:rPr>
          <w:sz w:val="24"/>
          <w:szCs w:val="24"/>
          <w:color w:val="auto"/>
        </w:rPr>
      </w:pPr>
    </w:p>
    <w:p>
      <w:pPr>
        <w:ind w:left="1540" w:hanging="995"/>
        <w:spacing w:after="0"/>
        <w:tabs>
          <w:tab w:leader="none" w:pos="1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45" w:lineRule="exact"/>
        <w:rPr>
          <w:rFonts w:ascii="MS PGothic" w:cs="MS PGothic" w:eastAsia="MS PGothic" w:hAnsi="MS PGothic"/>
          <w:sz w:val="16"/>
          <w:szCs w:val="16"/>
          <w:color w:val="auto"/>
        </w:rPr>
      </w:pPr>
    </w:p>
    <w:p>
      <w:pPr>
        <w:ind w:left="1540" w:hanging="447"/>
        <w:spacing w:after="0"/>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5"/>
          <w:szCs w:val="15"/>
          <w:color w:val="auto"/>
        </w:rPr>
        <w:t>___________________________________________________________________________________________________________</w:t>
      </w:r>
    </w:p>
    <w:p>
      <w:pPr>
        <w:spacing w:after="0" w:line="57" w:lineRule="exact"/>
        <w:rPr>
          <w:rFonts w:ascii="Arial" w:cs="Arial" w:eastAsia="Arial" w:hAnsi="Arial"/>
          <w:sz w:val="16"/>
          <w:szCs w:val="16"/>
          <w:color w:val="auto"/>
        </w:rPr>
      </w:pPr>
    </w:p>
    <w:p>
      <w:pPr>
        <w:ind w:left="1540" w:hanging="447"/>
        <w:spacing w:after="0"/>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5"/>
          <w:szCs w:val="15"/>
          <w:color w:val="auto"/>
        </w:rPr>
        <w:t>___________________________________________________________________________________________________________</w:t>
      </w:r>
    </w:p>
    <w:p>
      <w:pPr>
        <w:spacing w:after="0" w:line="57" w:lineRule="exact"/>
        <w:rPr>
          <w:rFonts w:ascii="Arial" w:cs="Arial" w:eastAsia="Arial" w:hAnsi="Arial"/>
          <w:sz w:val="16"/>
          <w:szCs w:val="16"/>
          <w:color w:val="auto"/>
        </w:rPr>
      </w:pPr>
    </w:p>
    <w:p>
      <w:pPr>
        <w:ind w:left="1540" w:right="560" w:hanging="447"/>
        <w:spacing w:after="0" w:line="181" w:lineRule="auto"/>
        <w:tabs>
          <w:tab w:leader="none" w:pos="1540" w:val="left"/>
        </w:tabs>
        <w:numPr>
          <w:ilvl w:val="1"/>
          <w:numId w:val="5"/>
        </w:numPr>
        <w:rPr>
          <w:rFonts w:ascii="Arial" w:cs="Arial" w:eastAsia="Arial" w:hAnsi="Arial"/>
          <w:sz w:val="31"/>
          <w:szCs w:val="31"/>
          <w:color w:val="auto"/>
          <w:vertAlign w:val="subscript"/>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4" w:lineRule="exact"/>
        <w:rPr>
          <w:rFonts w:ascii="Arial" w:cs="Arial" w:eastAsia="Arial" w:hAnsi="Arial"/>
          <w:sz w:val="31"/>
          <w:szCs w:val="31"/>
          <w:color w:val="auto"/>
          <w:vertAlign w:val="subscript"/>
        </w:rPr>
      </w:pPr>
    </w:p>
    <w:p>
      <w:pPr>
        <w:ind w:left="1540"/>
        <w:spacing w:after="0"/>
        <w:rPr>
          <w:rFonts w:ascii="Arial" w:cs="Arial" w:eastAsia="Arial" w:hAnsi="Arial"/>
          <w:sz w:val="31"/>
          <w:szCs w:val="31"/>
          <w:color w:val="auto"/>
          <w:vertAlign w:val="subscript"/>
        </w:rPr>
      </w:pPr>
      <w:r>
        <w:rPr>
          <w:rFonts w:ascii="Arial" w:cs="Arial" w:eastAsia="Arial" w:hAnsi="Arial"/>
          <w:sz w:val="15"/>
          <w:szCs w:val="15"/>
          <w:color w:val="auto"/>
        </w:rPr>
        <w:t>___________________________________________________________________________________________________________</w:t>
      </w:r>
    </w:p>
    <w:p>
      <w:pPr>
        <w:spacing w:after="0" w:line="57" w:lineRule="exact"/>
        <w:rPr>
          <w:rFonts w:ascii="Arial" w:cs="Arial" w:eastAsia="Arial" w:hAnsi="Arial"/>
          <w:sz w:val="31"/>
          <w:szCs w:val="31"/>
          <w:color w:val="auto"/>
          <w:vertAlign w:val="subscript"/>
        </w:rPr>
      </w:pPr>
    </w:p>
    <w:p>
      <w:pPr>
        <w:ind w:left="1540" w:hanging="447"/>
        <w:spacing w:after="0"/>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5"/>
          <w:szCs w:val="15"/>
          <w:color w:val="auto"/>
        </w:rPr>
        <w:t>___________________________________________________________________________________________________________</w:t>
      </w:r>
    </w:p>
    <w:p>
      <w:pPr>
        <w:spacing w:after="0" w:line="57" w:lineRule="exact"/>
        <w:rPr>
          <w:rFonts w:ascii="Arial" w:cs="Arial" w:eastAsia="Arial" w:hAnsi="Arial"/>
          <w:sz w:val="16"/>
          <w:szCs w:val="16"/>
          <w:color w:val="auto"/>
        </w:rPr>
      </w:pPr>
    </w:p>
    <w:p>
      <w:pPr>
        <w:ind w:left="1540" w:hanging="447"/>
        <w:spacing w:after="0"/>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5"/>
          <w:szCs w:val="15"/>
          <w:color w:val="auto"/>
        </w:rPr>
        <w:t>___________________________________________________________________________________________________________</w:t>
      </w:r>
    </w:p>
    <w:p>
      <w:pPr>
        <w:spacing w:after="0" w:line="57" w:lineRule="exact"/>
        <w:rPr>
          <w:rFonts w:ascii="Arial" w:cs="Arial" w:eastAsia="Arial" w:hAnsi="Arial"/>
          <w:sz w:val="16"/>
          <w:szCs w:val="16"/>
          <w:color w:val="auto"/>
        </w:rPr>
      </w:pPr>
    </w:p>
    <w:p>
      <w:pPr>
        <w:ind w:left="1540" w:hanging="995"/>
        <w:spacing w:after="0"/>
        <w:tabs>
          <w:tab w:leader="none" w:pos="1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3" w:lineRule="exact"/>
        <w:rPr>
          <w:rFonts w:ascii="MS PGothic" w:cs="MS PGothic" w:eastAsia="MS PGothic" w:hAnsi="MS PGothic"/>
          <w:sz w:val="16"/>
          <w:szCs w:val="16"/>
          <w:color w:val="auto"/>
        </w:rPr>
      </w:pPr>
    </w:p>
    <w:p>
      <w:pPr>
        <w:ind w:left="1540" w:right="460" w:hanging="995"/>
        <w:spacing w:after="0" w:line="227" w:lineRule="auto"/>
        <w:tabs>
          <w:tab w:leader="none" w:pos="1540" w:val="left"/>
        </w:tabs>
        <w:numPr>
          <w:ilvl w:val="0"/>
          <w:numId w:val="5"/>
        </w:numPr>
        <w:rPr>
          <w:rFonts w:ascii="MS PGothic" w:cs="MS PGothic" w:eastAsia="MS PGothic" w:hAnsi="MS PGothic"/>
          <w:sz w:val="27"/>
          <w:szCs w:val="27"/>
          <w:color w:val="auto"/>
          <w:vertAlign w:val="subscript"/>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9" w:lineRule="exact"/>
        <w:rPr>
          <w:rFonts w:ascii="MS PGothic" w:cs="MS PGothic" w:eastAsia="MS PGothic" w:hAnsi="MS PGothic"/>
          <w:sz w:val="27"/>
          <w:szCs w:val="27"/>
          <w:color w:val="auto"/>
          <w:vertAlign w:val="subscript"/>
        </w:rPr>
      </w:pPr>
    </w:p>
    <w:p>
      <w:pPr>
        <w:ind w:left="1540" w:hanging="447"/>
        <w:spacing w:after="0"/>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5"/>
          <w:szCs w:val="15"/>
          <w:color w:val="auto"/>
        </w:rPr>
        <w:t>___________________________________________________________________________________________________________</w:t>
      </w:r>
    </w:p>
    <w:p>
      <w:pPr>
        <w:spacing w:after="0" w:line="57" w:lineRule="exact"/>
        <w:rPr>
          <w:rFonts w:ascii="Arial" w:cs="Arial" w:eastAsia="Arial" w:hAnsi="Arial"/>
          <w:sz w:val="16"/>
          <w:szCs w:val="16"/>
          <w:color w:val="auto"/>
        </w:rPr>
      </w:pPr>
    </w:p>
    <w:p>
      <w:pPr>
        <w:ind w:left="1540" w:hanging="447"/>
        <w:spacing w:after="0"/>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5"/>
          <w:szCs w:val="15"/>
          <w:color w:val="auto"/>
        </w:rPr>
        <w:t>___________________________________________________________________________________________________________</w:t>
      </w:r>
    </w:p>
    <w:p>
      <w:pPr>
        <w:spacing w:after="0" w:line="57" w:lineRule="exact"/>
        <w:rPr>
          <w:rFonts w:ascii="Arial" w:cs="Arial" w:eastAsia="Arial" w:hAnsi="Arial"/>
          <w:sz w:val="16"/>
          <w:szCs w:val="16"/>
          <w:color w:val="auto"/>
        </w:rPr>
      </w:pPr>
    </w:p>
    <w:p>
      <w:pPr>
        <w:ind w:left="1540" w:hanging="447"/>
        <w:spacing w:after="0"/>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5"/>
          <w:szCs w:val="15"/>
          <w:color w:val="auto"/>
        </w:rPr>
        <w:t>___________________________________________________________________________________________________________</w:t>
      </w:r>
    </w:p>
    <w:p>
      <w:pPr>
        <w:spacing w:after="0" w:line="57" w:lineRule="exact"/>
        <w:rPr>
          <w:rFonts w:ascii="Arial" w:cs="Arial" w:eastAsia="Arial" w:hAnsi="Arial"/>
          <w:sz w:val="16"/>
          <w:szCs w:val="16"/>
          <w:color w:val="auto"/>
        </w:rPr>
      </w:pPr>
    </w:p>
    <w:p>
      <w:pPr>
        <w:ind w:left="1540" w:hanging="447"/>
        <w:spacing w:after="0"/>
        <w:tabs>
          <w:tab w:leader="none" w:pos="15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5"/>
          <w:szCs w:val="15"/>
          <w:color w:val="auto"/>
        </w:rPr>
        <w:t>___________________________________________________________________________________________________________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wp:posOffset>
            </wp:positionH>
            <wp:positionV relativeFrom="paragraph">
              <wp:posOffset>389890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20"/>
          </w:cols>
          <w:pgMar w:left="600" w:top="522" w:right="579" w:bottom="1440" w:gutter="0" w:footer="0" w:header="0"/>
        </w:sectPr>
      </w:pPr>
    </w:p>
    <w:bookmarkStart w:id="1" w:name="page2"/>
    <w:bookmarkEnd w:id="1"/>
    <w:p>
      <w:pPr>
        <w:jc w:val="center"/>
        <w:spacing w:after="0"/>
        <w:rPr>
          <w:sz w:val="20"/>
          <w:szCs w:val="20"/>
          <w:color w:val="auto"/>
        </w:rPr>
      </w:pPr>
      <w:r>
        <w:rPr>
          <w:rFonts w:ascii="Arial" w:cs="Arial" w:eastAsia="Arial" w:hAnsi="Arial"/>
          <w:sz w:val="36"/>
          <w:szCs w:val="36"/>
          <w:b w:val="1"/>
          <w:bCs w:val="1"/>
          <w:color w:val="FF0000"/>
        </w:rPr>
        <w:drawing>
          <wp:anchor simplePos="0" relativeHeight="251657728" behindDoc="1" locked="0" layoutInCell="0" allowOverlap="1">
            <wp:simplePos x="0" y="0"/>
            <wp:positionH relativeFrom="page">
              <wp:posOffset>2841625</wp:posOffset>
            </wp:positionH>
            <wp:positionV relativeFrom="page">
              <wp:posOffset>88900</wp:posOffset>
            </wp:positionV>
            <wp:extent cx="1886585"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86585" cy="428625"/>
                    </a:xfrm>
                    <a:prstGeom prst="rect">
                      <a:avLst/>
                    </a:prstGeom>
                    <a:noFill/>
                  </pic:spPr>
                </pic:pic>
              </a:graphicData>
            </a:graphic>
          </wp:anchor>
        </w:drawing>
        <w:t>IMPORTANT NOTICE REGARDING YOUR INVESTMENT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PENNANTPARK INVESTMENT CORPORATION</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February 15, 2018</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RE: Adjourned Annual Meeting of Stockholders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Dear Stockholder:</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are almost there, but we need your help.</w:t>
      </w:r>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PennantPark Investment Corporation (“PennantPark”) recently held its annual meeting of stockholders (the “Annual Meeting”) on Tuesday, February 6, 2018. The proposals that were considered at the Annual Meeting are described in detail in PennantPark’s definitive proxy statement for the Annual Meeting as filed with the Securities and Exchange Commission on December 8, 2017 (the “Proxy”).</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At the Annual Meeting, our stockholders voted to approve the second proposal found in the Proxy.</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Annual Meeting has been adjourned until Tuesday, February 27, 2018 to afford additional time to solicit stockholder votes for the first proposal found in the Proxy.</w:t>
      </w:r>
    </w:p>
    <w:p>
      <w:pPr>
        <w:spacing w:after="0" w:line="49" w:lineRule="exact"/>
        <w:rPr>
          <w:sz w:val="20"/>
          <w:szCs w:val="20"/>
          <w:color w:val="auto"/>
        </w:rPr>
      </w:pPr>
    </w:p>
    <w:p>
      <w:pPr>
        <w:jc w:val="both"/>
        <w:ind w:left="380" w:right="380"/>
        <w:spacing w:after="0" w:line="273" w:lineRule="auto"/>
        <w:rPr>
          <w:sz w:val="20"/>
          <w:szCs w:val="20"/>
          <w:color w:val="auto"/>
        </w:rPr>
      </w:pPr>
      <w:r>
        <w:rPr>
          <w:rFonts w:ascii="Arial" w:cs="Arial" w:eastAsia="Arial" w:hAnsi="Arial"/>
          <w:sz w:val="19"/>
          <w:szCs w:val="19"/>
          <w:color w:val="auto"/>
        </w:rPr>
        <w:t xml:space="preserve">Our records indicate that PennantPark, in which you are invested, has yet to receive sufficient voting participation for Proposal 1. </w:t>
      </w:r>
      <w:r>
        <w:rPr>
          <w:rFonts w:ascii="Arial" w:cs="Arial" w:eastAsia="Arial" w:hAnsi="Arial"/>
          <w:sz w:val="19"/>
          <w:szCs w:val="19"/>
          <w:b w:val="1"/>
          <w:bCs w:val="1"/>
          <w:color w:val="auto"/>
        </w:rPr>
        <w:t>We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apologize </w:t>
      </w:r>
      <w:r>
        <w:rPr>
          <w:rFonts w:ascii="Arial" w:cs="Arial" w:eastAsia="Arial" w:hAnsi="Arial"/>
          <w:sz w:val="19"/>
          <w:szCs w:val="19"/>
          <w:color w:val="auto"/>
        </w:rPr>
        <w:t>for the continued follow-up regarding this matter. However, it is critical that we receive your proxy vote by February 27,</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2018. </w:t>
      </w:r>
      <w:r>
        <w:rPr>
          <w:rFonts w:ascii="Arial" w:cs="Arial" w:eastAsia="Arial" w:hAnsi="Arial"/>
          <w:sz w:val="19"/>
          <w:szCs w:val="19"/>
          <w:u w:val="single" w:color="auto"/>
          <w:color w:val="auto"/>
        </w:rPr>
        <w:t>Please help us to avoid further delay and cost by taking a moment to cast your vote today.</w:t>
      </w:r>
    </w:p>
    <w:p>
      <w:pPr>
        <w:spacing w:after="0" w:line="44"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We value your time and have set up convenient voting options. After careful consideration, the Board of Directors unanimously recommends that stockholders vote “FOR” Proposal 1 listed in both the Proxy and on the enclosed copy of your proxy card(s). Thank you in advance to your attention to this important matter.</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Chief Executive Officer and</w:t>
      </w:r>
    </w:p>
    <w:p>
      <w:pPr>
        <w:spacing w:after="0"/>
        <w:rPr>
          <w:sz w:val="20"/>
          <w:szCs w:val="20"/>
          <w:color w:val="auto"/>
        </w:rPr>
      </w:pPr>
      <w:r>
        <w:rPr>
          <w:rFonts w:ascii="Arial" w:cs="Arial" w:eastAsia="Arial" w:hAnsi="Arial"/>
          <w:sz w:val="20"/>
          <w:szCs w:val="20"/>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Voting is easy. </w:t>
      </w:r>
      <w:r>
        <w:rPr>
          <w:rFonts w:ascii="Arial" w:cs="Arial" w:eastAsia="Arial" w:hAnsi="Arial"/>
          <w:sz w:val="20"/>
          <w:szCs w:val="20"/>
          <w:color w:val="auto"/>
        </w:rPr>
        <w:t>Please take a moment now to cast your vote using one of the voting options listed below:</w:t>
      </w:r>
    </w:p>
    <w:p>
      <w:pPr>
        <w:spacing w:after="0" w:line="243" w:lineRule="exact"/>
        <w:rPr>
          <w:sz w:val="20"/>
          <w:szCs w:val="20"/>
          <w:color w:val="auto"/>
        </w:rPr>
      </w:pPr>
    </w:p>
    <w:p>
      <w:pPr>
        <w:ind w:left="1760" w:hanging="280"/>
        <w:spacing w:after="0" w:line="267"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Vote by Phone. </w:t>
      </w:r>
      <w:r>
        <w:rPr>
          <w:rFonts w:ascii="Arial" w:cs="Arial" w:eastAsia="Arial" w:hAnsi="Arial"/>
          <w:sz w:val="20"/>
          <w:szCs w:val="20"/>
          <w:color w:val="auto"/>
        </w:rPr>
        <w:t>Simply dial the toll-free number located on the enclosed proxy card. Please have the proxy card available</w:t>
      </w:r>
      <w:r>
        <w:rPr>
          <w:rFonts w:ascii="Arial" w:cs="Arial" w:eastAsia="Arial" w:hAnsi="Arial"/>
          <w:sz w:val="20"/>
          <w:szCs w:val="20"/>
          <w:b w:val="1"/>
          <w:bCs w:val="1"/>
          <w:color w:val="auto"/>
        </w:rPr>
        <w:t xml:space="preserve"> </w:t>
      </w:r>
      <w:r>
        <w:rPr>
          <w:rFonts w:ascii="Arial" w:cs="Arial" w:eastAsia="Arial" w:hAnsi="Arial"/>
          <w:sz w:val="20"/>
          <w:szCs w:val="20"/>
          <w:color w:val="auto"/>
        </w:rPr>
        <w:t>at the time of the call.</w:t>
      </w:r>
    </w:p>
    <w:p>
      <w:pPr>
        <w:spacing w:after="0" w:line="204" w:lineRule="exact"/>
        <w:rPr>
          <w:rFonts w:ascii="Arial" w:cs="Arial" w:eastAsia="Arial" w:hAnsi="Arial"/>
          <w:sz w:val="18"/>
          <w:szCs w:val="18"/>
          <w:color w:val="auto"/>
        </w:rPr>
      </w:pPr>
    </w:p>
    <w:p>
      <w:pPr>
        <w:ind w:left="1760" w:hanging="280"/>
        <w:spacing w:after="0" w:line="267"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Vote via the Internet. </w:t>
      </w:r>
      <w:r>
        <w:rPr>
          <w:rFonts w:ascii="Arial" w:cs="Arial" w:eastAsia="Arial" w:hAnsi="Arial"/>
          <w:sz w:val="20"/>
          <w:szCs w:val="20"/>
          <w:color w:val="auto"/>
        </w:rPr>
        <w:t>Simply visit the website indicated on the enclosed proxy card and follow the instructions on the</w:t>
      </w:r>
      <w:r>
        <w:rPr>
          <w:rFonts w:ascii="Arial" w:cs="Arial" w:eastAsia="Arial" w:hAnsi="Arial"/>
          <w:sz w:val="20"/>
          <w:szCs w:val="20"/>
          <w:b w:val="1"/>
          <w:bCs w:val="1"/>
          <w:color w:val="auto"/>
        </w:rPr>
        <w:t xml:space="preserve"> </w:t>
      </w:r>
      <w:r>
        <w:rPr>
          <w:rFonts w:ascii="Arial" w:cs="Arial" w:eastAsia="Arial" w:hAnsi="Arial"/>
          <w:sz w:val="20"/>
          <w:szCs w:val="20"/>
          <w:color w:val="auto"/>
        </w:rPr>
        <w:t>website.</w:t>
      </w:r>
    </w:p>
    <w:p>
      <w:pPr>
        <w:spacing w:after="0" w:line="190" w:lineRule="exact"/>
        <w:rPr>
          <w:rFonts w:ascii="Arial" w:cs="Arial" w:eastAsia="Arial" w:hAnsi="Arial"/>
          <w:sz w:val="18"/>
          <w:szCs w:val="18"/>
          <w:color w:val="auto"/>
        </w:rPr>
      </w:pPr>
    </w:p>
    <w:p>
      <w:pPr>
        <w:ind w:left="1760" w:hanging="280"/>
        <w:spacing w:after="0" w:line="267"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Vote by Mail. </w:t>
      </w:r>
      <w:r>
        <w:rPr>
          <w:rFonts w:ascii="Arial" w:cs="Arial" w:eastAsia="Arial" w:hAnsi="Arial"/>
          <w:sz w:val="20"/>
          <w:szCs w:val="20"/>
          <w:color w:val="auto"/>
        </w:rPr>
        <w:t>You may cast your vote by signing, dating and mailing the enclosed proxy card in the postage-prepaid</w:t>
      </w:r>
      <w:r>
        <w:rPr>
          <w:rFonts w:ascii="Arial" w:cs="Arial" w:eastAsia="Arial" w:hAnsi="Arial"/>
          <w:sz w:val="20"/>
          <w:szCs w:val="20"/>
          <w:b w:val="1"/>
          <w:bCs w:val="1"/>
          <w:color w:val="auto"/>
        </w:rPr>
        <w:t xml:space="preserve"> </w:t>
      </w:r>
      <w:r>
        <w:rPr>
          <w:rFonts w:ascii="Arial" w:cs="Arial" w:eastAsia="Arial" w:hAnsi="Arial"/>
          <w:sz w:val="20"/>
          <w:szCs w:val="20"/>
          <w:color w:val="auto"/>
        </w:rPr>
        <w:t>return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-1210310</wp:posOffset>
            </wp:positionV>
            <wp:extent cx="694690" cy="1363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690" cy="136334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 w:name="page3"/>
    <w:bookmarkEnd w:id="2"/>
    <w:p>
      <w:pPr>
        <w:ind w:left="7240"/>
        <w:spacing w:after="0"/>
        <w:rPr>
          <w:sz w:val="20"/>
          <w:szCs w:val="20"/>
          <w:color w:val="auto"/>
        </w:rPr>
      </w:pPr>
      <w:r>
        <w:rPr>
          <w:rFonts w:ascii="Arial" w:cs="Arial" w:eastAsia="Arial" w:hAnsi="Arial"/>
          <w:sz w:val="28"/>
          <w:szCs w:val="28"/>
          <w:b w:val="1"/>
          <w:bCs w:val="1"/>
          <w:i w:val="1"/>
          <w:iCs w:val="1"/>
          <w:color w:val="17365D"/>
        </w:rPr>
        <w:drawing>
          <wp:anchor simplePos="0" relativeHeight="251657728" behindDoc="1" locked="0" layoutInCell="0" allowOverlap="1">
            <wp:simplePos x="0" y="0"/>
            <wp:positionH relativeFrom="page">
              <wp:posOffset>637540</wp:posOffset>
            </wp:positionH>
            <wp:positionV relativeFrom="page">
              <wp:posOffset>363220</wp:posOffset>
            </wp:positionV>
            <wp:extent cx="188658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86585" cy="428625"/>
                    </a:xfrm>
                    <a:prstGeom prst="rect">
                      <a:avLst/>
                    </a:prstGeom>
                    <a:noFill/>
                  </pic:spPr>
                </pic:pic>
              </a:graphicData>
            </a:graphic>
          </wp:anchor>
        </w:drawing>
        <w:t>Stockholder Services</w:t>
      </w:r>
    </w:p>
    <w:p>
      <w:pPr>
        <w:spacing w:after="0" w:line="200" w:lineRule="exact"/>
        <w:rPr>
          <w:sz w:val="20"/>
          <w:szCs w:val="20"/>
          <w:color w:val="auto"/>
        </w:rPr>
      </w:pPr>
    </w:p>
    <w:p>
      <w:pPr>
        <w:spacing w:after="0" w:line="327" w:lineRule="exact"/>
        <w:rPr>
          <w:sz w:val="20"/>
          <w:szCs w:val="20"/>
          <w:color w:val="auto"/>
        </w:rPr>
      </w:pPr>
    </w:p>
    <w:p>
      <w:pPr>
        <w:ind w:left="7620"/>
        <w:spacing w:after="0"/>
        <w:rPr>
          <w:sz w:val="20"/>
          <w:szCs w:val="20"/>
          <w:color w:val="auto"/>
        </w:rPr>
      </w:pPr>
      <w:r>
        <w:rPr>
          <w:rFonts w:ascii="Arial" w:cs="Arial" w:eastAsia="Arial" w:hAnsi="Arial"/>
          <w:sz w:val="23"/>
          <w:szCs w:val="23"/>
          <w:color w:val="auto"/>
        </w:rPr>
        <w:t>February 15,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Stockholder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3</w:t>
      </w:r>
    </w:p>
    <w:p>
      <w:pPr>
        <w:spacing w:after="0" w:line="200" w:lineRule="exact"/>
        <w:rPr>
          <w:sz w:val="20"/>
          <w:szCs w:val="20"/>
          <w:color w:val="auto"/>
        </w:rPr>
      </w:pPr>
    </w:p>
    <w:p>
      <w:pPr>
        <w:spacing w:after="0" w:line="302" w:lineRule="exact"/>
        <w:rPr>
          <w:sz w:val="20"/>
          <w:szCs w:val="20"/>
          <w:color w:val="auto"/>
        </w:rPr>
      </w:pPr>
    </w:p>
    <w:p>
      <w:pPr>
        <w:ind w:left="2720"/>
        <w:spacing w:after="0"/>
        <w:rPr>
          <w:sz w:val="20"/>
          <w:szCs w:val="20"/>
          <w:color w:val="auto"/>
        </w:rPr>
      </w:pPr>
      <w:r>
        <w:rPr>
          <w:rFonts w:ascii="Arial" w:cs="Arial" w:eastAsia="Arial" w:hAnsi="Arial"/>
          <w:sz w:val="40"/>
          <w:szCs w:val="40"/>
          <w:b w:val="1"/>
          <w:bCs w:val="1"/>
          <w:color w:val="auto"/>
        </w:rPr>
        <w:t>IMPORTANT NOTICE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 PennantPark Investment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We have tried unsuccessfully to contact you regarding a very important matter concerning your investment in PennantPark Investment Corporation. This matter pertains to important operating initiatives for the PennantPark which require your response.</w:t>
      </w:r>
    </w:p>
    <w:p>
      <w:pPr>
        <w:spacing w:after="0" w:line="15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It is very important that we speak to you regarding this matter. The call will only take a few moments of your time and there is no confidential information required.</w:t>
      </w:r>
    </w:p>
    <w:p>
      <w:pPr>
        <w:spacing w:after="0" w:line="193"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auto"/>
        </w:rPr>
        <w:t xml:space="preserve">Please contact us toll-free at </w:t>
      </w:r>
      <w:r>
        <w:rPr>
          <w:rFonts w:ascii="Arial" w:cs="Arial" w:eastAsia="Arial" w:hAnsi="Arial"/>
          <w:sz w:val="18"/>
          <w:szCs w:val="18"/>
          <w:b w:val="1"/>
          <w:bCs w:val="1"/>
          <w:color w:val="auto"/>
        </w:rPr>
        <w:t>1-877-536-1560</w:t>
      </w:r>
      <w:r>
        <w:rPr>
          <w:rFonts w:ascii="Arial" w:cs="Arial" w:eastAsia="Arial" w:hAnsi="Arial"/>
          <w:sz w:val="18"/>
          <w:szCs w:val="18"/>
          <w:color w:val="auto"/>
        </w:rPr>
        <w:t xml:space="preserve"> between 9:00 a.m. and 10:00 p.m. Eastern time Monday through Friday. At the time of the call please reference the number listed below. Please contact us before February 27,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of Directors</w:t>
      </w:r>
    </w:p>
    <w:p>
      <w:pPr>
        <w:spacing w:after="0" w:line="200" w:lineRule="exact"/>
        <w:rPr>
          <w:sz w:val="20"/>
          <w:szCs w:val="20"/>
          <w:color w:val="auto"/>
        </w:rPr>
      </w:pPr>
    </w:p>
    <w:p>
      <w:pPr>
        <w:spacing w:after="0" w:line="218" w:lineRule="exact"/>
        <w:rPr>
          <w:sz w:val="20"/>
          <w:szCs w:val="20"/>
          <w:color w:val="auto"/>
        </w:rPr>
      </w:pPr>
    </w:p>
    <w:p>
      <w:pPr>
        <w:jc w:val="right"/>
        <w:spacing w:after="0"/>
        <w:tabs>
          <w:tab w:leader="none" w:pos="1120" w:val="left"/>
        </w:tabs>
        <w:rPr>
          <w:sz w:val="20"/>
          <w:szCs w:val="20"/>
          <w:color w:val="auto"/>
        </w:rPr>
      </w:pPr>
      <w:r>
        <w:rPr>
          <w:rFonts w:ascii="Arial" w:cs="Arial" w:eastAsia="Arial" w:hAnsi="Arial"/>
          <w:sz w:val="25"/>
          <w:szCs w:val="25"/>
          <w:b w:val="1"/>
          <w:bCs w:val="1"/>
          <w:color w:val="FF0000"/>
        </w:rPr>
        <w:t>REFERENCE NUMBER:</w:t>
      </w:r>
      <w:r>
        <w:rPr>
          <w:sz w:val="20"/>
          <w:szCs w:val="20"/>
          <w:color w:val="auto"/>
        </w:rPr>
        <w:tab/>
      </w:r>
      <w:r>
        <w:rPr>
          <w:rFonts w:ascii="Arial" w:cs="Arial" w:eastAsia="Arial" w:hAnsi="Arial"/>
          <w:sz w:val="22"/>
          <w:szCs w:val="22"/>
          <w:b w:val="1"/>
          <w:bCs w:val="1"/>
          <w:color w:val="FF0000"/>
        </w:rPr>
        <w:t>123456789</w:t>
      </w:r>
    </w:p>
    <w:p>
      <w:pPr>
        <w:spacing w:after="0" w:line="31"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PennantPark Investment Corporation</w:t>
      </w:r>
    </w:p>
    <w:p>
      <w:pPr>
        <w:ind w:left="2620"/>
        <w:spacing w:after="0"/>
        <w:rPr>
          <w:sz w:val="20"/>
          <w:szCs w:val="20"/>
          <w:color w:val="auto"/>
        </w:rPr>
      </w:pPr>
      <w:r>
        <w:rPr>
          <w:rFonts w:ascii="Arial" w:cs="Arial" w:eastAsia="Arial" w:hAnsi="Arial"/>
          <w:sz w:val="20"/>
          <w:szCs w:val="20"/>
          <w:color w:val="auto"/>
        </w:rPr>
        <w:t>590 Madison Avenue, 15</w:t>
      </w:r>
      <w:r>
        <w:rPr>
          <w:rFonts w:ascii="Arial" w:cs="Arial" w:eastAsia="Arial" w:hAnsi="Arial"/>
          <w:sz w:val="16"/>
          <w:szCs w:val="16"/>
          <w:color w:val="auto"/>
        </w:rPr>
        <w:t>th</w:t>
      </w:r>
      <w:r>
        <w:rPr>
          <w:rFonts w:ascii="Arial" w:cs="Arial" w:eastAsia="Arial" w:hAnsi="Arial"/>
          <w:sz w:val="20"/>
          <w:szCs w:val="20"/>
          <w:color w:val="auto"/>
        </w:rPr>
        <w:t xml:space="preserve"> Floor •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429260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100"/>
      </w:cols>
      <w:pgMar w:left="1200" w:top="71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2019-12-07T07:32:22Z</dcterms:created>
  <dcterms:modified xsi:type="dcterms:W3CDTF">2019-12-07T07:32:22Z</dcterms:modified>
</cp:coreProperties>
</file>