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March 02,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980"/>
        <w:spacing w:after="0" w:line="250" w:lineRule="auto"/>
        <w:rPr>
          <w:sz w:val="20"/>
          <w:szCs w:val="20"/>
          <w:color w:val="auto"/>
        </w:rPr>
      </w:pPr>
      <w:r>
        <w:rPr>
          <w:rFonts w:ascii="Arial" w:cs="Arial" w:eastAsia="Arial" w:hAnsi="Arial"/>
          <w:sz w:val="22"/>
          <w:szCs w:val="22"/>
          <w:color w:val="auto"/>
        </w:rPr>
        <w:t>On March 2, 2016, PennantPark Investment Corporation issued a press release announcing second fiscal quarter 2016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March 02,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20" w:type="dxa"/>
            <w:vAlign w:val="bottom"/>
          </w:tcPr>
          <w:p>
            <w:pPr>
              <w:spacing w:after="0"/>
              <w:rPr>
                <w:sz w:val="20"/>
                <w:szCs w:val="20"/>
                <w:color w:val="auto"/>
              </w:rPr>
            </w:pPr>
            <w:r>
              <w:rPr>
                <w:rFonts w:ascii="Arial" w:cs="Arial" w:eastAsia="Arial" w:hAnsi="Arial"/>
                <w:sz w:val="22"/>
                <w:szCs w:val="22"/>
                <w:color w:val="auto"/>
              </w:rPr>
              <w:t>Dated: March 02, 2016</w:t>
            </w:r>
          </w:p>
        </w:tc>
        <w:tc>
          <w:tcPr>
            <w:tcW w:w="6620" w:type="dxa"/>
            <w:vAlign w:val="bottom"/>
            <w:gridSpan w:val="3"/>
          </w:tcPr>
          <w:p>
            <w:pPr>
              <w:ind w:left="18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20" w:type="dxa"/>
            <w:vAlign w:val="bottom"/>
          </w:tcPr>
          <w:p>
            <w:pPr>
              <w:spacing w:after="0"/>
              <w:rPr>
                <w:sz w:val="24"/>
                <w:szCs w:val="24"/>
                <w:color w:val="auto"/>
              </w:rPr>
            </w:pPr>
          </w:p>
        </w:tc>
        <w:tc>
          <w:tcPr>
            <w:tcW w:w="6620" w:type="dxa"/>
            <w:vAlign w:val="bottom"/>
            <w:gridSpan w:val="3"/>
          </w:tcPr>
          <w:p>
            <w:pPr>
              <w:ind w:left="1800"/>
              <w:spacing w:after="0"/>
              <w:rPr>
                <w:sz w:val="20"/>
                <w:szCs w:val="20"/>
                <w:color w:val="auto"/>
              </w:rPr>
            </w:pPr>
            <w:r>
              <w:rPr>
                <w:rFonts w:ascii="Arial" w:cs="Arial" w:eastAsia="Arial" w:hAnsi="Arial"/>
                <w:sz w:val="22"/>
                <w:szCs w:val="22"/>
                <w:color w:val="auto"/>
              </w:rPr>
              <w:t>By: /s/ Aviv Efrat</w:t>
            </w:r>
          </w:p>
        </w:tc>
      </w:tr>
      <w:tr>
        <w:trPr>
          <w:trHeight w:val="20"/>
        </w:trPr>
        <w:tc>
          <w:tcPr>
            <w:tcW w:w="3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20" w:type="dxa"/>
            <w:vAlign w:val="bottom"/>
          </w:tcPr>
          <w:p>
            <w:pPr>
              <w:spacing w:after="0"/>
              <w:rPr>
                <w:sz w:val="21"/>
                <w:szCs w:val="21"/>
                <w:color w:val="auto"/>
              </w:rPr>
            </w:pPr>
          </w:p>
        </w:tc>
        <w:tc>
          <w:tcPr>
            <w:tcW w:w="6620" w:type="dxa"/>
            <w:vAlign w:val="bottom"/>
            <w:gridSpan w:val="3"/>
          </w:tcPr>
          <w:p>
            <w:pPr>
              <w:ind w:left="20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20" w:type="dxa"/>
            <w:vAlign w:val="bottom"/>
          </w:tcPr>
          <w:p>
            <w:pPr>
              <w:spacing w:after="0"/>
              <w:rPr>
                <w:sz w:val="23"/>
                <w:szCs w:val="23"/>
                <w:color w:val="auto"/>
              </w:rPr>
            </w:pPr>
          </w:p>
        </w:tc>
        <w:tc>
          <w:tcPr>
            <w:tcW w:w="6620" w:type="dxa"/>
            <w:vAlign w:val="bottom"/>
            <w:gridSpan w:val="3"/>
          </w:tcPr>
          <w:p>
            <w:pPr>
              <w:ind w:left="20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0"/>
              </w:rPr>
              <w:t>March 02,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$0.28 per Share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NEW YORK, NY -- (Marketwired - March 02, 2016) - PennantPark Investment Corporation (the "Company") (NASDAQ: PNNT) declares second fiscal quarter 2016 distribution of $0.28 per share, payable on April 1, 2016 to stockholders of record as of March 18, 2016. Distributions are paid from taxable earnings and may include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2020-05-05T15:07:23Z</dcterms:created>
  <dcterms:modified xsi:type="dcterms:W3CDTF">2020-05-05T15:07:23Z</dcterms:modified>
</cp:coreProperties>
</file>