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29, 2007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333-140092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1120" w:type="dxa"/>
            <w:vAlign w:val="bottom"/>
          </w:tcPr>
          <w:p>
            <w:pPr>
              <w:spacing w:after="0"/>
              <w:rPr>
                <w:sz w:val="24"/>
                <w:szCs w:val="24"/>
                <w:color w:val="auto"/>
              </w:rPr>
            </w:pPr>
          </w:p>
        </w:tc>
        <w:tc>
          <w:tcPr>
            <w:tcW w:w="824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94"/>
              </w:rPr>
              <w:t>WASHINGTON, D.C. 20549</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32"/>
                <w:szCs w:val="32"/>
                <w:b w:val="1"/>
                <w:bCs w:val="1"/>
                <w:color w:val="auto"/>
              </w:rPr>
              <w:t>FORM N-2</w:t>
            </w:r>
          </w:p>
        </w:tc>
        <w:tc>
          <w:tcPr>
            <w:tcW w:w="0" w:type="dxa"/>
            <w:vAlign w:val="bottom"/>
          </w:tcPr>
          <w:p>
            <w:pPr>
              <w:spacing w:after="0"/>
              <w:rPr>
                <w:sz w:val="1"/>
                <w:szCs w:val="1"/>
                <w:color w:val="auto"/>
              </w:rPr>
            </w:pPr>
          </w:p>
        </w:tc>
      </w:tr>
      <w:tr>
        <w:trPr>
          <w:trHeight w:val="174"/>
        </w:trPr>
        <w:tc>
          <w:tcPr>
            <w:tcW w:w="11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1120" w:type="dxa"/>
            <w:vAlign w:val="bottom"/>
            <w:vMerge w:val="continue"/>
          </w:tcPr>
          <w:p>
            <w:pPr>
              <w:spacing w:after="0"/>
              <w:rPr>
                <w:sz w:val="24"/>
                <w:szCs w:val="24"/>
                <w:color w:val="auto"/>
              </w:rPr>
            </w:pPr>
          </w:p>
        </w:tc>
        <w:tc>
          <w:tcPr>
            <w:tcW w:w="8240" w:type="dxa"/>
            <w:vAlign w:val="bottom"/>
            <w:gridSpan w:val="3"/>
          </w:tcPr>
          <w:p>
            <w:pPr>
              <w:jc w:val="center"/>
              <w:ind w:left="1303"/>
              <w:spacing w:after="0"/>
              <w:rPr>
                <w:sz w:val="20"/>
                <w:szCs w:val="20"/>
                <w:color w:val="auto"/>
              </w:rPr>
            </w:pPr>
            <w:r>
              <w:rPr>
                <w:rFonts w:ascii="Arial" w:cs="Arial" w:eastAsia="Arial" w:hAnsi="Arial"/>
                <w:sz w:val="18"/>
                <w:szCs w:val="18"/>
                <w:b w:val="1"/>
                <w:bCs w:val="1"/>
                <w:color w:val="auto"/>
                <w:w w:val="97"/>
              </w:rPr>
              <w:t>REGISTRATION STATEMENT UNDER THE SECURITIES ACT OF 1933</w:t>
            </w:r>
          </w:p>
        </w:tc>
        <w:tc>
          <w:tcPr>
            <w:tcW w:w="0" w:type="dxa"/>
            <w:vAlign w:val="bottom"/>
          </w:tcPr>
          <w:p>
            <w:pPr>
              <w:spacing w:after="0"/>
              <w:rPr>
                <w:sz w:val="1"/>
                <w:szCs w:val="1"/>
                <w:color w:val="auto"/>
              </w:rPr>
            </w:pPr>
          </w:p>
        </w:tc>
      </w:tr>
      <w:tr>
        <w:trPr>
          <w:trHeight w:val="216"/>
        </w:trPr>
        <w:tc>
          <w:tcPr>
            <w:tcW w:w="11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gridSpan w:val="3"/>
          </w:tcPr>
          <w:p>
            <w:pPr>
              <w:jc w:val="center"/>
              <w:ind w:left="1303"/>
              <w:spacing w:after="0"/>
              <w:rPr>
                <w:sz w:val="20"/>
                <w:szCs w:val="20"/>
                <w:color w:val="auto"/>
              </w:rPr>
            </w:pPr>
            <w:r>
              <w:rPr>
                <w:rFonts w:ascii="Arial" w:cs="Arial" w:eastAsia="Arial" w:hAnsi="Arial"/>
                <w:sz w:val="18"/>
                <w:szCs w:val="18"/>
                <w:b w:val="1"/>
                <w:bCs w:val="1"/>
                <w:color w:val="auto"/>
                <w:w w:val="98"/>
              </w:rPr>
              <w:t>PRE-EFFECTIVE AMENDMENT NO. 2</w:t>
            </w:r>
          </w:p>
        </w:tc>
        <w:tc>
          <w:tcPr>
            <w:tcW w:w="0" w:type="dxa"/>
            <w:vAlign w:val="bottom"/>
          </w:tcPr>
          <w:p>
            <w:pPr>
              <w:spacing w:after="0"/>
              <w:rPr>
                <w:sz w:val="1"/>
                <w:szCs w:val="1"/>
                <w:color w:val="auto"/>
              </w:rPr>
            </w:pPr>
          </w:p>
        </w:tc>
      </w:tr>
      <w:tr>
        <w:trPr>
          <w:trHeight w:val="216"/>
        </w:trPr>
        <w:tc>
          <w:tcPr>
            <w:tcW w:w="11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gridSpan w:val="3"/>
          </w:tcPr>
          <w:p>
            <w:pPr>
              <w:jc w:val="center"/>
              <w:ind w:left="1303"/>
              <w:spacing w:after="0"/>
              <w:rPr>
                <w:sz w:val="20"/>
                <w:szCs w:val="20"/>
                <w:color w:val="auto"/>
              </w:rPr>
            </w:pPr>
            <w:r>
              <w:rPr>
                <w:rFonts w:ascii="Arial" w:cs="Arial" w:eastAsia="Arial" w:hAnsi="Arial"/>
                <w:sz w:val="18"/>
                <w:szCs w:val="18"/>
                <w:b w:val="1"/>
                <w:bCs w:val="1"/>
                <w:color w:val="auto"/>
                <w:w w:val="98"/>
              </w:rPr>
              <w:t>POST-EFFECTIVE AMENDMENT NO.</w:t>
            </w:r>
          </w:p>
        </w:tc>
        <w:tc>
          <w:tcPr>
            <w:tcW w:w="0" w:type="dxa"/>
            <w:vAlign w:val="bottom"/>
          </w:tcPr>
          <w:p>
            <w:pPr>
              <w:spacing w:after="0"/>
              <w:rPr>
                <w:sz w:val="1"/>
                <w:szCs w:val="1"/>
                <w:color w:val="auto"/>
              </w:rPr>
            </w:pPr>
          </w:p>
        </w:tc>
      </w:tr>
      <w:tr>
        <w:trPr>
          <w:trHeight w:val="275"/>
        </w:trPr>
        <w:tc>
          <w:tcPr>
            <w:tcW w:w="11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240" w:type="dxa"/>
            <w:vAlign w:val="bottom"/>
            <w:gridSpan w:val="3"/>
          </w:tcPr>
          <w:p>
            <w:pPr>
              <w:jc w:val="center"/>
              <w:ind w:left="1323"/>
              <w:spacing w:after="0"/>
              <w:rPr>
                <w:sz w:val="20"/>
                <w:szCs w:val="20"/>
                <w:color w:val="auto"/>
              </w:rPr>
            </w:pPr>
            <w:r>
              <w:rPr>
                <w:rFonts w:ascii="Arial" w:cs="Arial" w:eastAsia="Arial" w:hAnsi="Arial"/>
                <w:sz w:val="18"/>
                <w:szCs w:val="18"/>
                <w:b w:val="1"/>
                <w:bCs w:val="1"/>
                <w:color w:val="auto"/>
                <w:w w:val="97"/>
              </w:rPr>
              <w:t>REGISTRATION STATEMENT UNDER THE INVESTMENT COMPANY ACT OF 1940</w:t>
            </w: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20" w:type="dxa"/>
            <w:vAlign w:val="bottom"/>
          </w:tcPr>
          <w:p>
            <w:pPr>
              <w:spacing w:after="0"/>
              <w:rPr>
                <w:sz w:val="24"/>
                <w:szCs w:val="24"/>
                <w:color w:val="auto"/>
              </w:rPr>
            </w:pPr>
          </w:p>
        </w:tc>
        <w:tc>
          <w:tcPr>
            <w:tcW w:w="8240" w:type="dxa"/>
            <w:vAlign w:val="bottom"/>
            <w:gridSpan w:val="3"/>
          </w:tcPr>
          <w:p>
            <w:pPr>
              <w:jc w:val="center"/>
              <w:ind w:left="863"/>
              <w:spacing w:after="0"/>
              <w:rPr>
                <w:sz w:val="20"/>
                <w:szCs w:val="20"/>
                <w:color w:val="auto"/>
              </w:rPr>
            </w:pPr>
            <w:r>
              <w:rPr>
                <w:rFonts w:ascii="Arial" w:cs="Arial" w:eastAsia="Arial" w:hAnsi="Arial"/>
                <w:sz w:val="32"/>
                <w:szCs w:val="32"/>
                <w:b w:val="1"/>
                <w:bCs w:val="1"/>
                <w:color w:val="auto"/>
              </w:rPr>
              <w:t>PENNANTPARK INVESTMENT CORPORATION</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8240" w:type="dxa"/>
            <w:vAlign w:val="bottom"/>
            <w:gridSpan w:val="3"/>
          </w:tcPr>
          <w:p>
            <w:pPr>
              <w:jc w:val="center"/>
              <w:ind w:left="843"/>
              <w:spacing w:after="0"/>
              <w:rPr>
                <w:sz w:val="20"/>
                <w:szCs w:val="20"/>
                <w:color w:val="auto"/>
              </w:rPr>
            </w:pPr>
            <w:r>
              <w:rPr>
                <w:rFonts w:ascii="Arial" w:cs="Arial" w:eastAsia="Arial" w:hAnsi="Arial"/>
                <w:sz w:val="18"/>
                <w:szCs w:val="18"/>
                <w:b w:val="1"/>
                <w:bCs w:val="1"/>
                <w:color w:val="auto"/>
                <w:w w:val="88"/>
              </w:rPr>
              <w:t>(Exact Name of Registrant as Specified in Charter)</w:t>
            </w:r>
          </w:p>
        </w:tc>
        <w:tc>
          <w:tcPr>
            <w:tcW w:w="0" w:type="dxa"/>
            <w:vAlign w:val="bottom"/>
          </w:tcPr>
          <w:p>
            <w:pPr>
              <w:spacing w:after="0"/>
              <w:rPr>
                <w:sz w:val="1"/>
                <w:szCs w:val="1"/>
                <w:color w:val="auto"/>
              </w:rPr>
            </w:pPr>
          </w:p>
        </w:tc>
      </w:tr>
      <w:tr>
        <w:trPr>
          <w:trHeight w:val="191"/>
        </w:trPr>
        <w:tc>
          <w:tcPr>
            <w:tcW w:w="11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8"/>
              </w:rPr>
              <w:t>445 Park Avenue, 10</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9"/>
              </w:rPr>
              <w:t>New York, New York 10022</w:t>
            </w: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8240" w:type="dxa"/>
            <w:vAlign w:val="bottom"/>
            <w:gridSpan w:val="3"/>
          </w:tcPr>
          <w:p>
            <w:pPr>
              <w:jc w:val="center"/>
              <w:ind w:left="863"/>
              <w:spacing w:after="0"/>
              <w:rPr>
                <w:sz w:val="20"/>
                <w:szCs w:val="20"/>
                <w:color w:val="auto"/>
              </w:rPr>
            </w:pPr>
            <w:r>
              <w:rPr>
                <w:rFonts w:ascii="Arial" w:cs="Arial" w:eastAsia="Arial" w:hAnsi="Arial"/>
                <w:sz w:val="18"/>
                <w:szCs w:val="18"/>
                <w:b w:val="1"/>
                <w:bCs w:val="1"/>
                <w:color w:val="auto"/>
                <w:w w:val="87"/>
              </w:rPr>
              <w:t>Registrant’s Telephone Number, including Area Code: (212) 307-3280</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92"/>
              </w:rPr>
              <w:t>Arthur H. Penn</w:t>
            </w: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8240" w:type="dxa"/>
            <w:vAlign w:val="bottom"/>
            <w:gridSpan w:val="3"/>
          </w:tcPr>
          <w:p>
            <w:pPr>
              <w:jc w:val="center"/>
              <w:ind w:left="843"/>
              <w:spacing w:after="0"/>
              <w:rPr>
                <w:sz w:val="20"/>
                <w:szCs w:val="20"/>
                <w:color w:val="auto"/>
              </w:rPr>
            </w:pPr>
            <w:r>
              <w:rPr>
                <w:rFonts w:ascii="Arial" w:cs="Arial" w:eastAsia="Arial" w:hAnsi="Arial"/>
                <w:sz w:val="18"/>
                <w:szCs w:val="18"/>
                <w:b w:val="1"/>
                <w:bCs w:val="1"/>
                <w:color w:val="auto"/>
                <w:w w:val="89"/>
              </w:rPr>
              <w:t>PennantPark Investment Corporation</w:t>
            </w: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8"/>
              </w:rPr>
              <w:t>445 Park Avenue, 10</w:t>
            </w:r>
            <w:r>
              <w:rPr>
                <w:rFonts w:ascii="Arial" w:cs="Arial" w:eastAsia="Arial" w:hAnsi="Arial"/>
                <w:sz w:val="22"/>
                <w:szCs w:val="22"/>
                <w:b w:val="1"/>
                <w:bCs w:val="1"/>
                <w:color w:val="auto"/>
                <w:w w:val="88"/>
                <w:vertAlign w:val="superscript"/>
              </w:rPr>
              <w:t>th</w:t>
            </w:r>
            <w:r>
              <w:rPr>
                <w:rFonts w:ascii="Arial" w:cs="Arial" w:eastAsia="Arial" w:hAnsi="Arial"/>
                <w:sz w:val="18"/>
                <w:szCs w:val="18"/>
                <w:b w:val="1"/>
                <w:bCs w:val="1"/>
                <w:color w:val="auto"/>
                <w:w w:val="88"/>
              </w:rPr>
              <w:t xml:space="preserve"> Floor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color w:val="auto"/>
                <w:w w:val="89"/>
              </w:rPr>
              <w:t>New York, New York 10022</w:t>
            </w: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5800" w:type="dxa"/>
            <w:vAlign w:val="bottom"/>
            <w:gridSpan w:val="2"/>
          </w:tcPr>
          <w:p>
            <w:pPr>
              <w:jc w:val="center"/>
              <w:ind w:left="3283"/>
              <w:spacing w:after="0"/>
              <w:rPr>
                <w:sz w:val="20"/>
                <w:szCs w:val="20"/>
                <w:color w:val="auto"/>
              </w:rPr>
            </w:pPr>
            <w:r>
              <w:rPr>
                <w:rFonts w:ascii="Arial" w:cs="Arial" w:eastAsia="Arial" w:hAnsi="Arial"/>
                <w:sz w:val="18"/>
                <w:szCs w:val="18"/>
                <w:b w:val="1"/>
                <w:bCs w:val="1"/>
                <w:color w:val="auto"/>
                <w:w w:val="89"/>
              </w:rPr>
              <w:t>(212) 307-3280</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86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7"/>
              </w:rPr>
              <w:t>(Name And Address of Agent for Service)</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860" w:type="dxa"/>
            <w:vAlign w:val="bottom"/>
            <w:gridSpan w:val="2"/>
          </w:tcPr>
          <w:p>
            <w:pPr>
              <w:jc w:val="center"/>
              <w:ind w:right="2440"/>
              <w:spacing w:after="0"/>
              <w:rPr>
                <w:sz w:val="20"/>
                <w:szCs w:val="20"/>
                <w:color w:val="auto"/>
              </w:rPr>
            </w:pPr>
            <w:r>
              <w:rPr>
                <w:rFonts w:ascii="Arial" w:cs="Arial" w:eastAsia="Arial" w:hAnsi="Arial"/>
                <w:sz w:val="18"/>
                <w:szCs w:val="18"/>
                <w:b w:val="1"/>
                <w:bCs w:val="1"/>
                <w:i w:val="1"/>
                <w:iCs w:val="1"/>
                <w:color w:val="auto"/>
                <w:w w:val="85"/>
              </w:rPr>
              <w:t>Copies of information to:</w:t>
            </w:r>
          </w:p>
        </w:tc>
        <w:tc>
          <w:tcPr>
            <w:tcW w:w="0" w:type="dxa"/>
            <w:vAlign w:val="bottom"/>
          </w:tcPr>
          <w:p>
            <w:pPr>
              <w:spacing w:after="0"/>
              <w:rPr>
                <w:sz w:val="1"/>
                <w:szCs w:val="1"/>
                <w:color w:val="auto"/>
              </w:rPr>
            </w:pPr>
          </w:p>
        </w:tc>
      </w:tr>
    </w:tbl>
    <w:p>
      <w:pPr>
        <w:spacing w:after="0" w:line="136"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Thomas J. Friedmann</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6"/>
              </w:rPr>
              <w:t>Steven B. Boehm</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3"/>
              </w:rPr>
              <w:t>David J. Harris</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3"/>
              </w:rPr>
              <w:t>Cynthia M. Krus</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2"/>
              </w:rPr>
              <w:t>Dechert LLP</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1"/>
              </w:rPr>
              <w:t>Sutherland Asbill &amp; Brennan LLP</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0"/>
              </w:rPr>
              <w:t>1775 I Street, N.W.</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1275 Pennsylvania Avenue, N.W.</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Washington, DC 20006</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9"/>
              </w:rPr>
              <w:t>Washington, DC</w:t>
            </w:r>
          </w:p>
        </w:tc>
      </w:tr>
      <w:tr>
        <w:trPr>
          <w:trHeight w:val="228"/>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(202) 261-3300</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(202) 383-0100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121285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8" w:lineRule="exact"/>
        <w:rPr>
          <w:sz w:val="24"/>
          <w:szCs w:val="24"/>
          <w:color w:val="auto"/>
        </w:rPr>
      </w:pPr>
    </w:p>
    <w:p>
      <w:pPr>
        <w:jc w:val="both"/>
        <w:ind w:right="180" w:firstLine="456"/>
        <w:spacing w:after="0" w:line="227" w:lineRule="exact"/>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 If any securities being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760" w:type="dxa"/>
            <w:vAlign w:val="bottom"/>
            <w:tcBorders>
              <w:top w:val="single" w:sz="8" w:color="auto"/>
              <w:bottom w:val="single" w:sz="8" w:color="auto"/>
            </w:tcBorders>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3480" w:type="dxa"/>
            <w:vAlign w:val="bottom"/>
          </w:tcPr>
          <w:p>
            <w:pPr>
              <w:jc w:val="center"/>
              <w:ind w:left="1350"/>
              <w:spacing w:after="0" w:line="117" w:lineRule="exact"/>
              <w:rPr>
                <w:sz w:val="20"/>
                <w:szCs w:val="20"/>
                <w:color w:val="auto"/>
              </w:rPr>
            </w:pPr>
            <w:r>
              <w:rPr>
                <w:rFonts w:ascii="Arial" w:cs="Arial" w:eastAsia="Arial" w:hAnsi="Arial"/>
                <w:sz w:val="12"/>
                <w:szCs w:val="12"/>
                <w:b w:val="1"/>
                <w:bCs w:val="1"/>
                <w:color w:val="auto"/>
                <w:w w:val="97"/>
              </w:rPr>
              <w:t>Proposed</w:t>
            </w: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80" w:type="dxa"/>
            <w:vAlign w:val="bottom"/>
          </w:tcPr>
          <w:p>
            <w:pPr>
              <w:jc w:val="center"/>
              <w:ind w:left="1330"/>
              <w:spacing w:after="0" w:line="149" w:lineRule="exact"/>
              <w:rPr>
                <w:sz w:val="20"/>
                <w:szCs w:val="20"/>
                <w:color w:val="auto"/>
              </w:rPr>
            </w:pPr>
            <w:r>
              <w:rPr>
                <w:rFonts w:ascii="Arial" w:cs="Arial" w:eastAsia="Arial" w:hAnsi="Arial"/>
                <w:sz w:val="14"/>
                <w:szCs w:val="14"/>
                <w:b w:val="1"/>
                <w:bCs w:val="1"/>
                <w:color w:val="auto"/>
                <w:w w:val="92"/>
              </w:rPr>
              <w:t>Maximum</w:t>
            </w:r>
          </w:p>
        </w:tc>
        <w:tc>
          <w:tcPr>
            <w:tcW w:w="1180" w:type="dxa"/>
            <w:vAlign w:val="bottom"/>
            <w:gridSpan w:val="2"/>
          </w:tcPr>
          <w:p>
            <w:pPr>
              <w:jc w:val="center"/>
              <w:ind w:left="36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80" w:type="dxa"/>
            <w:vAlign w:val="bottom"/>
          </w:tcPr>
          <w:p>
            <w:pPr>
              <w:jc w:val="center"/>
              <w:ind w:left="135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80" w:type="dxa"/>
            <w:vAlign w:val="bottom"/>
            <w:gridSpan w:val="2"/>
          </w:tcPr>
          <w:p>
            <w:pPr>
              <w:jc w:val="center"/>
              <w:ind w:left="34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6760" w:type="dxa"/>
            <w:vAlign w:val="bottom"/>
          </w:tcPr>
          <w:p>
            <w:pPr>
              <w:ind w:left="2860"/>
              <w:spacing w:after="0"/>
              <w:rPr>
                <w:sz w:val="20"/>
                <w:szCs w:val="20"/>
                <w:color w:val="auto"/>
              </w:rPr>
            </w:pPr>
            <w:r>
              <w:rPr>
                <w:rFonts w:ascii="Arial" w:cs="Arial" w:eastAsia="Arial" w:hAnsi="Arial"/>
                <w:sz w:val="14"/>
                <w:szCs w:val="14"/>
                <w:b w:val="1"/>
                <w:bCs w:val="1"/>
                <w:color w:val="auto"/>
              </w:rPr>
              <w:t>Title of Securities Being Registered</w:t>
            </w:r>
          </w:p>
        </w:tc>
        <w:tc>
          <w:tcPr>
            <w:tcW w:w="3480" w:type="dxa"/>
            <w:vAlign w:val="bottom"/>
          </w:tcPr>
          <w:p>
            <w:pPr>
              <w:jc w:val="center"/>
              <w:ind w:left="1350"/>
              <w:spacing w:after="0"/>
              <w:rPr>
                <w:sz w:val="20"/>
                <w:szCs w:val="20"/>
                <w:color w:val="auto"/>
              </w:rPr>
            </w:pPr>
            <w:r>
              <w:rPr>
                <w:rFonts w:ascii="Arial" w:cs="Arial" w:eastAsia="Arial" w:hAnsi="Arial"/>
                <w:sz w:val="14"/>
                <w:szCs w:val="14"/>
                <w:b w:val="1"/>
                <w:bCs w:val="1"/>
                <w:color w:val="auto"/>
                <w:w w:val="89"/>
              </w:rPr>
              <w:t>Offering Price(1)(2)</w:t>
            </w:r>
          </w:p>
        </w:tc>
        <w:tc>
          <w:tcPr>
            <w:tcW w:w="1180" w:type="dxa"/>
            <w:vAlign w:val="bottom"/>
            <w:gridSpan w:val="2"/>
          </w:tcPr>
          <w:p>
            <w:pPr>
              <w:jc w:val="center"/>
              <w:ind w:left="347"/>
              <w:spacing w:after="0"/>
              <w:rPr>
                <w:sz w:val="20"/>
                <w:szCs w:val="20"/>
                <w:color w:val="auto"/>
              </w:rPr>
            </w:pPr>
            <w:r>
              <w:rPr>
                <w:rFonts w:ascii="Arial" w:cs="Arial" w:eastAsia="Arial" w:hAnsi="Arial"/>
                <w:sz w:val="14"/>
                <w:szCs w:val="14"/>
                <w:b w:val="1"/>
                <w:bCs w:val="1"/>
                <w:color w:val="auto"/>
                <w:w w:val="87"/>
              </w:rPr>
              <w:t>Fee(3)</w:t>
            </w:r>
          </w:p>
        </w:tc>
      </w:tr>
      <w:tr>
        <w:trPr>
          <w:trHeight w:val="210"/>
        </w:trPr>
        <w:tc>
          <w:tcPr>
            <w:tcW w:w="20" w:type="dxa"/>
            <w:vAlign w:val="bottom"/>
            <w:tcBorders>
              <w:bottom w:val="single" w:sz="8" w:color="auto"/>
            </w:tcBorders>
          </w:tcPr>
          <w:p>
            <w:pPr>
              <w:spacing w:after="0"/>
              <w:rPr>
                <w:sz w:val="18"/>
                <w:szCs w:val="18"/>
                <w:color w:val="auto"/>
              </w:rPr>
            </w:pPr>
          </w:p>
        </w:tc>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3480" w:type="dxa"/>
            <w:vAlign w:val="bottom"/>
            <w:tcBorders>
              <w:top w:val="single" w:sz="8" w:color="auto"/>
              <w:bottom w:val="single" w:sz="8" w:color="auto"/>
            </w:tcBorders>
          </w:tcPr>
          <w:p>
            <w:pPr>
              <w:jc w:val="center"/>
              <w:ind w:left="1350"/>
              <w:spacing w:after="0"/>
              <w:rPr>
                <w:sz w:val="20"/>
                <w:szCs w:val="20"/>
                <w:color w:val="auto"/>
              </w:rPr>
            </w:pPr>
            <w:r>
              <w:rPr>
                <w:rFonts w:ascii="Arial" w:cs="Arial" w:eastAsia="Arial" w:hAnsi="Arial"/>
                <w:sz w:val="18"/>
                <w:szCs w:val="18"/>
                <w:color w:val="auto"/>
                <w:w w:val="94"/>
              </w:rPr>
              <w:t>$  465,750,000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49,397</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solely for the purpose of determining the registration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which $49,220 was previously paid.</w:t>
      </w:r>
    </w:p>
    <w:p>
      <w:pPr>
        <w:spacing w:after="0" w:line="132" w:lineRule="exact"/>
        <w:rPr>
          <w:sz w:val="24"/>
          <w:szCs w:val="24"/>
          <w:color w:val="auto"/>
        </w:rPr>
      </w:pPr>
    </w:p>
    <w:p>
      <w:pPr>
        <w:jc w:val="both"/>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state where the offer or sale is not permitted.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w:t>
      </w:r>
    </w:p>
    <w:p>
      <w:pPr>
        <w:spacing w:after="0" w:line="21" w:lineRule="exact"/>
        <w:rPr>
          <w:sz w:val="20"/>
          <w:szCs w:val="20"/>
          <w:color w:val="auto"/>
        </w:rPr>
      </w:pPr>
    </w:p>
    <w:p>
      <w:pPr>
        <w:spacing w:after="0"/>
        <w:tabs>
          <w:tab w:leader="none" w:pos="10240" w:val="left"/>
        </w:tabs>
        <w:rPr>
          <w:sz w:val="20"/>
          <w:szCs w:val="20"/>
          <w:color w:val="auto"/>
        </w:rPr>
      </w:pPr>
      <w:r>
        <w:rPr>
          <w:rFonts w:ascii="Arial" w:cs="Arial" w:eastAsia="Arial" w:hAnsi="Arial"/>
          <w:sz w:val="18"/>
          <w:szCs w:val="18"/>
          <w:b w:val="1"/>
          <w:bCs w:val="1"/>
          <w:color w:val="auto"/>
        </w:rPr>
        <w:t>Preliminary Prospectus</w:t>
      </w:r>
      <w:r>
        <w:rPr>
          <w:sz w:val="20"/>
          <w:szCs w:val="20"/>
          <w:color w:val="auto"/>
        </w:rPr>
        <w:tab/>
      </w:r>
      <w:r>
        <w:rPr>
          <w:rFonts w:ascii="Arial" w:cs="Arial" w:eastAsia="Arial" w:hAnsi="Arial"/>
          <w:sz w:val="16"/>
          <w:szCs w:val="16"/>
          <w:b w:val="1"/>
          <w:bCs w:val="1"/>
          <w:color w:val="auto"/>
        </w:rPr>
        <w:t>March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127000</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27,000,000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667385</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75565</wp:posOffset>
            </wp:positionV>
            <wp:extent cx="2470150"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PennantPark Investment Corporation is a newly organized, externally managed, closed-end, non-diversified management investment company that intends to file an election to be treated as a business development company under the Investment Company Act of 1940. Our investment objective is to generate both current income and capital appreciation through debt and equity investments. We intend to invest primarily in middle-market companies in the form of mezzanine loans, senior secured loans and equity securities.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will be managed by PennantPark Investment Advisers, LLC. PennantPark Investment Administration, LLC will provide the administrative services necessary for us to operate.</w:t>
      </w:r>
    </w:p>
    <w:p>
      <w:pPr>
        <w:spacing w:after="0" w:line="132"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Because we are newly organized, our shares have no history of public trading. We currently expect that the initial offering price per share of our common stock will be $15.00. We have applied to have our common stock approved for quotation on The Nasdaq Global Market under the symbol “PNNT”.</w:t>
      </w:r>
    </w:p>
    <w:p>
      <w:pPr>
        <w:spacing w:after="0" w:line="79" w:lineRule="exact"/>
        <w:rPr>
          <w:sz w:val="20"/>
          <w:szCs w:val="20"/>
          <w:color w:val="auto"/>
        </w:rPr>
      </w:pPr>
    </w:p>
    <w:p>
      <w:pPr>
        <w:ind w:right="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Before buying any shares, you should read the discussion of the material risks of investing in our common stock, including the risk of leverage, in “ </w:t>
      </w:r>
      <w:hyperlink w:anchor="page1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12 of the prospectus.</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This prospectus contains important information you should know before investing in our common stock. Please read it before you invest and keep it for future reference. Upon completion of this offering, we will file annual, quarterly and current reports, proxy statements and other information about us with the Securities and Exchange Commission, or SEC. We maintain a website at </w:t>
      </w:r>
      <w:r>
        <w:rPr>
          <w:rFonts w:ascii="Arial" w:cs="Arial" w:eastAsia="Arial" w:hAnsi="Arial"/>
          <w:sz w:val="16"/>
          <w:szCs w:val="16"/>
          <w:i w:val="1"/>
          <w:iCs w:val="1"/>
          <w:color w:val="auto"/>
        </w:rPr>
        <w:t>http://www.pennantpark.com</w:t>
      </w:r>
      <w:r>
        <w:rPr>
          <w:rFonts w:ascii="Arial" w:cs="Arial" w:eastAsia="Arial" w:hAnsi="Arial"/>
          <w:sz w:val="16"/>
          <w:szCs w:val="16"/>
          <w:color w:val="auto"/>
        </w:rPr>
        <w:t xml:space="preserve"> and intend to make all of our annual, quarterly and current reports, proxy statements and other publicly filed information available, free of charge, on or through our website. You may also obtain such information by contacting us</w:t>
      </w:r>
    </w:p>
    <w:p>
      <w:pPr>
        <w:ind w:right="200"/>
        <w:spacing w:after="0" w:line="221" w:lineRule="auto"/>
        <w:rPr>
          <w:sz w:val="20"/>
          <w:szCs w:val="20"/>
          <w:color w:val="auto"/>
        </w:rPr>
      </w:pPr>
      <w:r>
        <w:rPr>
          <w:rFonts w:ascii="Arial" w:cs="Arial" w:eastAsia="Arial" w:hAnsi="Arial"/>
          <w:sz w:val="18"/>
          <w:szCs w:val="18"/>
          <w:color w:val="auto"/>
        </w:rPr>
        <w:t>in writing at: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Attn: Chief Financial Officer, or by telephone at (212) 307-3280. The SEC maintains a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this information.</w:t>
      </w:r>
    </w:p>
    <w:p>
      <w:pPr>
        <w:spacing w:after="0" w:line="178"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Shares of closed-end investment companies frequently tend to trade at a discount to their net asset value. </w:t>
      </w:r>
      <w:r>
        <w:rPr>
          <w:rFonts w:ascii="Arial" w:cs="Arial" w:eastAsia="Arial" w:hAnsi="Arial"/>
          <w:sz w:val="16"/>
          <w:szCs w:val="16"/>
          <w:color w:val="auto"/>
        </w:rPr>
        <w:t>If our shares trade at a discount to our net asset</w:t>
      </w:r>
      <w:r>
        <w:rPr>
          <w:rFonts w:ascii="Arial" w:cs="Arial" w:eastAsia="Arial" w:hAnsi="Arial"/>
          <w:sz w:val="16"/>
          <w:szCs w:val="16"/>
          <w:b w:val="1"/>
          <w:bCs w:val="1"/>
          <w:color w:val="auto"/>
        </w:rPr>
        <w:t xml:space="preserve"> </w:t>
      </w:r>
      <w:r>
        <w:rPr>
          <w:rFonts w:ascii="Arial" w:cs="Arial" w:eastAsia="Arial" w:hAnsi="Arial"/>
          <w:sz w:val="16"/>
          <w:szCs w:val="16"/>
          <w:color w:val="auto"/>
        </w:rPr>
        <w:t>value, it may increase the risk of loss for purchasers in this offering. Assuming an initial public offering price of $15.00 per share, purchasers in this offering will experience immediate dilution of approximately $1.00 per share. See “Dilution”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700" w:type="dxa"/>
            <w:vAlign w:val="bottom"/>
            <w:gridSpan w:val="2"/>
          </w:tcPr>
          <w:p>
            <w:pPr>
              <w:ind w:left="2300"/>
              <w:spacing w:after="0"/>
              <w:rPr>
                <w:sz w:val="20"/>
                <w:szCs w:val="20"/>
                <w:color w:val="auto"/>
              </w:rPr>
            </w:pPr>
            <w:r>
              <w:rPr>
                <w:rFonts w:ascii="Arial" w:cs="Arial" w:eastAsia="Arial" w:hAnsi="Arial"/>
                <w:sz w:val="18"/>
                <w:szCs w:val="18"/>
                <w:b w:val="1"/>
                <w:bCs w:val="1"/>
                <w:color w:val="auto"/>
              </w:rPr>
              <w:t>Per share</w:t>
            </w:r>
          </w:p>
        </w:tc>
        <w:tc>
          <w:tcPr>
            <w:tcW w:w="780" w:type="dxa"/>
            <w:vAlign w:val="bottom"/>
          </w:tcPr>
          <w:p>
            <w:pPr>
              <w:spacing w:after="0"/>
              <w:rPr>
                <w:sz w:val="19"/>
                <w:szCs w:val="19"/>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b w:val="1"/>
                <w:bCs w:val="1"/>
                <w:color w:val="auto"/>
              </w:rPr>
              <w:t>Total</w:t>
            </w:r>
          </w:p>
        </w:tc>
      </w:tr>
      <w:tr>
        <w:trPr>
          <w:trHeight w:val="218"/>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6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98"/>
              </w:rPr>
              <w:t>15.000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405,000,000</w:t>
            </w: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Sales load (underwriting discounts and commissions)</w:t>
            </w:r>
          </w:p>
        </w:tc>
        <w:tc>
          <w:tcPr>
            <w:tcW w:w="2460" w:type="dxa"/>
            <w:vAlign w:val="bottom"/>
          </w:tcPr>
          <w:p>
            <w:pPr>
              <w:ind w:left="2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92"/>
              <w:spacing w:after="0"/>
              <w:rPr>
                <w:sz w:val="20"/>
                <w:szCs w:val="20"/>
                <w:color w:val="auto"/>
              </w:rPr>
            </w:pPr>
            <w:r>
              <w:rPr>
                <w:rFonts w:ascii="Arial" w:cs="Arial" w:eastAsia="Arial" w:hAnsi="Arial"/>
                <w:sz w:val="18"/>
                <w:szCs w:val="18"/>
                <w:color w:val="auto"/>
              </w:rPr>
              <w:t>.975</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26,325,000</w:t>
            </w:r>
          </w:p>
        </w:tc>
      </w:tr>
      <w:tr>
        <w:trPr>
          <w:trHeight w:val="216"/>
        </w:trPr>
        <w:tc>
          <w:tcPr>
            <w:tcW w:w="60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us(1)</w:t>
            </w:r>
          </w:p>
        </w:tc>
        <w:tc>
          <w:tcPr>
            <w:tcW w:w="2460" w:type="dxa"/>
            <w:vAlign w:val="bottom"/>
            <w:tcBorders>
              <w:bottom w:val="single" w:sz="8" w:color="auto"/>
            </w:tcBorders>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color w:val="auto"/>
                <w:w w:val="98"/>
              </w:rPr>
              <w:t>14.025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378,675,000</w:t>
            </w:r>
          </w:p>
        </w:tc>
      </w:tr>
      <w:tr>
        <w:trPr>
          <w:trHeight w:val="102"/>
        </w:trPr>
        <w:tc>
          <w:tcPr>
            <w:tcW w:w="10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estimate that we will incur approximately $900,000 in expenses in connection with this offering.</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Immediately prior to this offering, PennantPark Investment Corporation expects to sell 320,000 shares of common stock to its directors, officers, investment adviser and the managers of its investment adviser at a price of $15.00 per share in a private placement. PennantPark Investment Corporation will receive the full proceeds of this private placement, and no underwriting discounts or commissions will be paid in respect of these shares. The underwriters will reserve up to 500,000 shares from this offering for sale to certain other persons.</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Separately, the underwriters may purchase up to an additional 4,050,000 shares of our common stock at the public offering price, less the sales load, to cover over-allotments, if any, within 30 days from the date of this prospectus. If the underwriters exercise this option in full, the total sales load will be $30,273,750 and total proceeds, before expenses, to us will be $435,476,250.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tcPr>
          <w:p>
            <w:pPr>
              <w:spacing w:after="0"/>
              <w:rPr>
                <w:sz w:val="20"/>
                <w:szCs w:val="20"/>
                <w:color w:val="auto"/>
              </w:rPr>
            </w:pPr>
            <w:r>
              <w:rPr>
                <w:rFonts w:ascii="Arial" w:cs="Arial" w:eastAsia="Arial" w:hAnsi="Arial"/>
                <w:sz w:val="18"/>
                <w:szCs w:val="18"/>
                <w:color w:val="auto"/>
                <w:w w:val="94"/>
              </w:rPr>
              <w:t>The underwriters are offering the common stock as set forth in “Underwriting.” Delivery of the shares will be made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15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tbl>
      <w:tblPr>
        <w:tblLayout w:type="fixed"/>
        <w:tblInd w:w="240" w:type="dxa"/>
        <w:tblCellMar>
          <w:top w:w="0" w:type="dxa"/>
          <w:left w:w="0" w:type="dxa"/>
          <w:bottom w:w="0" w:type="dxa"/>
          <w:right w:w="0" w:type="dxa"/>
        </w:tblCellMar>
      </w:tblPr>
      <w:tr>
        <w:trPr>
          <w:trHeight w:val="258"/>
        </w:trPr>
        <w:tc>
          <w:tcPr>
            <w:tcW w:w="2480" w:type="dxa"/>
            <w:vAlign w:val="bottom"/>
          </w:tcPr>
          <w:p>
            <w:pPr>
              <w:jc w:val="center"/>
              <w:ind w:right="305"/>
              <w:spacing w:after="0" w:line="258" w:lineRule="exact"/>
              <w:rPr>
                <w:sz w:val="20"/>
                <w:szCs w:val="20"/>
                <w:color w:val="auto"/>
              </w:rPr>
            </w:pPr>
            <w:r>
              <w:rPr>
                <w:rFonts w:ascii="Arial" w:cs="Arial" w:eastAsia="Arial" w:hAnsi="Arial"/>
                <w:sz w:val="24"/>
                <w:szCs w:val="24"/>
                <w:b w:val="1"/>
                <w:bCs w:val="1"/>
                <w:color w:val="auto"/>
                <w:w w:val="91"/>
              </w:rPr>
              <w:t>Bear, Stearns &amp; Co.</w:t>
            </w:r>
          </w:p>
        </w:tc>
        <w:tc>
          <w:tcPr>
            <w:tcW w:w="2720" w:type="dxa"/>
            <w:vAlign w:val="bottom"/>
          </w:tcPr>
          <w:p>
            <w:pPr>
              <w:jc w:val="center"/>
              <w:ind w:right="25"/>
              <w:spacing w:after="0" w:line="258" w:lineRule="exact"/>
              <w:rPr>
                <w:sz w:val="20"/>
                <w:szCs w:val="20"/>
                <w:color w:val="auto"/>
              </w:rPr>
            </w:pPr>
            <w:r>
              <w:rPr>
                <w:rFonts w:ascii="Arial" w:cs="Arial" w:eastAsia="Arial" w:hAnsi="Arial"/>
                <w:sz w:val="24"/>
                <w:szCs w:val="24"/>
                <w:b w:val="1"/>
                <w:bCs w:val="1"/>
                <w:color w:val="auto"/>
                <w:w w:val="91"/>
              </w:rPr>
              <w:t>Banc of America</w:t>
            </w:r>
          </w:p>
        </w:tc>
        <w:tc>
          <w:tcPr>
            <w:tcW w:w="3000" w:type="dxa"/>
            <w:vAlign w:val="bottom"/>
          </w:tcPr>
          <w:p>
            <w:pPr>
              <w:jc w:val="center"/>
              <w:spacing w:after="0" w:line="258" w:lineRule="exact"/>
              <w:rPr>
                <w:sz w:val="20"/>
                <w:szCs w:val="20"/>
                <w:color w:val="auto"/>
              </w:rPr>
            </w:pPr>
            <w:r>
              <w:rPr>
                <w:rFonts w:ascii="Arial" w:cs="Arial" w:eastAsia="Arial" w:hAnsi="Arial"/>
                <w:sz w:val="24"/>
                <w:szCs w:val="24"/>
                <w:b w:val="1"/>
                <w:bCs w:val="1"/>
                <w:color w:val="auto"/>
                <w:w w:val="92"/>
              </w:rPr>
              <w:t>UBS Investment</w:t>
            </w:r>
          </w:p>
        </w:tc>
        <w:tc>
          <w:tcPr>
            <w:tcW w:w="2620" w:type="dxa"/>
            <w:vAlign w:val="bottom"/>
          </w:tcPr>
          <w:p>
            <w:pPr>
              <w:jc w:val="center"/>
              <w:ind w:left="363"/>
              <w:spacing w:after="0" w:line="258" w:lineRule="exact"/>
              <w:rPr>
                <w:sz w:val="20"/>
                <w:szCs w:val="20"/>
                <w:color w:val="auto"/>
              </w:rPr>
            </w:pPr>
            <w:r>
              <w:rPr>
                <w:rFonts w:ascii="Arial" w:cs="Arial" w:eastAsia="Arial" w:hAnsi="Arial"/>
                <w:sz w:val="24"/>
                <w:szCs w:val="24"/>
                <w:b w:val="1"/>
                <w:bCs w:val="1"/>
                <w:color w:val="auto"/>
                <w:w w:val="90"/>
              </w:rPr>
              <w:t>SunTrust Robinson</w:t>
            </w:r>
          </w:p>
        </w:tc>
      </w:tr>
      <w:tr>
        <w:trPr>
          <w:trHeight w:val="317"/>
        </w:trPr>
        <w:tc>
          <w:tcPr>
            <w:tcW w:w="2480" w:type="dxa"/>
            <w:vAlign w:val="bottom"/>
          </w:tcPr>
          <w:p>
            <w:pPr>
              <w:jc w:val="center"/>
              <w:ind w:right="325"/>
              <w:spacing w:after="0"/>
              <w:rPr>
                <w:sz w:val="20"/>
                <w:szCs w:val="20"/>
                <w:color w:val="auto"/>
              </w:rPr>
            </w:pPr>
            <w:r>
              <w:rPr>
                <w:rFonts w:ascii="Arial" w:cs="Arial" w:eastAsia="Arial" w:hAnsi="Arial"/>
                <w:sz w:val="24"/>
                <w:szCs w:val="24"/>
                <w:b w:val="1"/>
                <w:bCs w:val="1"/>
                <w:color w:val="auto"/>
                <w:w w:val="96"/>
              </w:rPr>
              <w:t>Inc.</w:t>
            </w:r>
          </w:p>
        </w:tc>
        <w:tc>
          <w:tcPr>
            <w:tcW w:w="2720" w:type="dxa"/>
            <w:vAlign w:val="bottom"/>
          </w:tcPr>
          <w:p>
            <w:pPr>
              <w:jc w:val="center"/>
              <w:ind w:right="25"/>
              <w:spacing w:after="0"/>
              <w:rPr>
                <w:sz w:val="20"/>
                <w:szCs w:val="20"/>
                <w:color w:val="auto"/>
              </w:rPr>
            </w:pPr>
            <w:r>
              <w:rPr>
                <w:rFonts w:ascii="Arial" w:cs="Arial" w:eastAsia="Arial" w:hAnsi="Arial"/>
                <w:sz w:val="24"/>
                <w:szCs w:val="24"/>
                <w:b w:val="1"/>
                <w:bCs w:val="1"/>
                <w:color w:val="auto"/>
                <w:w w:val="93"/>
              </w:rPr>
              <w:t>Securities LLC</w:t>
            </w:r>
          </w:p>
        </w:tc>
        <w:tc>
          <w:tcPr>
            <w:tcW w:w="3000" w:type="dxa"/>
            <w:vAlign w:val="bottom"/>
          </w:tcPr>
          <w:p>
            <w:pPr>
              <w:jc w:val="center"/>
              <w:spacing w:after="0"/>
              <w:rPr>
                <w:sz w:val="20"/>
                <w:szCs w:val="20"/>
                <w:color w:val="auto"/>
              </w:rPr>
            </w:pPr>
            <w:r>
              <w:rPr>
                <w:rFonts w:ascii="Arial" w:cs="Arial" w:eastAsia="Arial" w:hAnsi="Arial"/>
                <w:sz w:val="24"/>
                <w:szCs w:val="24"/>
                <w:b w:val="1"/>
                <w:bCs w:val="1"/>
                <w:color w:val="auto"/>
                <w:w w:val="95"/>
              </w:rPr>
              <w:t>Bank</w:t>
            </w:r>
          </w:p>
        </w:tc>
        <w:tc>
          <w:tcPr>
            <w:tcW w:w="2620" w:type="dxa"/>
            <w:vAlign w:val="bottom"/>
          </w:tcPr>
          <w:p>
            <w:pPr>
              <w:jc w:val="center"/>
              <w:ind w:left="383"/>
              <w:spacing w:after="0"/>
              <w:rPr>
                <w:sz w:val="20"/>
                <w:szCs w:val="20"/>
                <w:color w:val="auto"/>
              </w:rPr>
            </w:pPr>
            <w:r>
              <w:rPr>
                <w:rFonts w:ascii="Arial" w:cs="Arial" w:eastAsia="Arial" w:hAnsi="Arial"/>
                <w:sz w:val="24"/>
                <w:szCs w:val="24"/>
                <w:b w:val="1"/>
                <w:bCs w:val="1"/>
                <w:color w:val="auto"/>
                <w:w w:val="94"/>
              </w:rPr>
              <w:t>Humphrey</w:t>
            </w:r>
          </w:p>
        </w:tc>
      </w:tr>
      <w:tr>
        <w:trPr>
          <w:trHeight w:val="346"/>
        </w:trPr>
        <w:tc>
          <w:tcPr>
            <w:tcW w:w="2480" w:type="dxa"/>
            <w:vAlign w:val="bottom"/>
          </w:tcPr>
          <w:p>
            <w:pPr>
              <w:jc w:val="center"/>
              <w:ind w:right="325"/>
              <w:spacing w:after="0"/>
              <w:rPr>
                <w:sz w:val="20"/>
                <w:szCs w:val="20"/>
                <w:color w:val="auto"/>
              </w:rPr>
            </w:pPr>
            <w:r>
              <w:rPr>
                <w:rFonts w:ascii="Arial" w:cs="Arial" w:eastAsia="Arial" w:hAnsi="Arial"/>
                <w:sz w:val="22"/>
                <w:szCs w:val="22"/>
                <w:b w:val="1"/>
                <w:bCs w:val="1"/>
                <w:color w:val="auto"/>
                <w:w w:val="91"/>
              </w:rPr>
              <w:t>Keefe, Bruyette &amp;</w:t>
            </w:r>
          </w:p>
        </w:tc>
        <w:tc>
          <w:tcPr>
            <w:tcW w:w="2720" w:type="dxa"/>
            <w:vAlign w:val="bottom"/>
          </w:tcPr>
          <w:p>
            <w:pPr>
              <w:jc w:val="center"/>
              <w:ind w:right="25"/>
              <w:spacing w:after="0"/>
              <w:rPr>
                <w:sz w:val="20"/>
                <w:szCs w:val="20"/>
                <w:color w:val="auto"/>
              </w:rPr>
            </w:pPr>
            <w:r>
              <w:rPr>
                <w:rFonts w:ascii="Arial" w:cs="Arial" w:eastAsia="Arial" w:hAnsi="Arial"/>
                <w:sz w:val="22"/>
                <w:szCs w:val="22"/>
                <w:b w:val="1"/>
                <w:bCs w:val="1"/>
                <w:color w:val="auto"/>
                <w:w w:val="89"/>
              </w:rPr>
              <w:t>Friedman Billings</w:t>
            </w:r>
          </w:p>
        </w:tc>
        <w:tc>
          <w:tcPr>
            <w:tcW w:w="3000" w:type="dxa"/>
            <w:vAlign w:val="bottom"/>
          </w:tcPr>
          <w:p>
            <w:pPr>
              <w:jc w:val="center"/>
              <w:spacing w:after="0"/>
              <w:rPr>
                <w:sz w:val="20"/>
                <w:szCs w:val="20"/>
                <w:color w:val="auto"/>
              </w:rPr>
            </w:pPr>
            <w:r>
              <w:rPr>
                <w:rFonts w:ascii="Arial" w:cs="Arial" w:eastAsia="Arial" w:hAnsi="Arial"/>
                <w:sz w:val="22"/>
                <w:szCs w:val="22"/>
                <w:b w:val="1"/>
                <w:bCs w:val="1"/>
                <w:color w:val="auto"/>
                <w:w w:val="89"/>
              </w:rPr>
              <w:t>Jefferies &amp; Company</w:t>
            </w:r>
          </w:p>
        </w:tc>
        <w:tc>
          <w:tcPr>
            <w:tcW w:w="2620" w:type="dxa"/>
            <w:vAlign w:val="bottom"/>
          </w:tcPr>
          <w:p>
            <w:pPr>
              <w:jc w:val="center"/>
              <w:ind w:left="363"/>
              <w:spacing w:after="0"/>
              <w:rPr>
                <w:sz w:val="20"/>
                <w:szCs w:val="20"/>
                <w:color w:val="auto"/>
              </w:rPr>
            </w:pPr>
            <w:r>
              <w:rPr>
                <w:rFonts w:ascii="Arial" w:cs="Arial" w:eastAsia="Arial" w:hAnsi="Arial"/>
                <w:sz w:val="22"/>
                <w:szCs w:val="22"/>
                <w:b w:val="1"/>
                <w:bCs w:val="1"/>
                <w:color w:val="auto"/>
                <w:w w:val="93"/>
              </w:rPr>
              <w:t>Robert W. Baird &amp; Co.</w:t>
            </w:r>
          </w:p>
        </w:tc>
      </w:tr>
      <w:tr>
        <w:trPr>
          <w:trHeight w:val="281"/>
        </w:trPr>
        <w:tc>
          <w:tcPr>
            <w:tcW w:w="2480" w:type="dxa"/>
            <w:vAlign w:val="bottom"/>
          </w:tcPr>
          <w:p>
            <w:pPr>
              <w:jc w:val="center"/>
              <w:ind w:right="305"/>
              <w:spacing w:after="0"/>
              <w:rPr>
                <w:sz w:val="20"/>
                <w:szCs w:val="20"/>
                <w:color w:val="auto"/>
              </w:rPr>
            </w:pPr>
            <w:r>
              <w:rPr>
                <w:rFonts w:ascii="Arial" w:cs="Arial" w:eastAsia="Arial" w:hAnsi="Arial"/>
                <w:sz w:val="22"/>
                <w:szCs w:val="22"/>
                <w:b w:val="1"/>
                <w:bCs w:val="1"/>
                <w:color w:val="auto"/>
                <w:w w:val="84"/>
              </w:rPr>
              <w:t>Woods</w:t>
            </w:r>
          </w:p>
        </w:tc>
        <w:tc>
          <w:tcPr>
            <w:tcW w:w="2720" w:type="dxa"/>
            <w:vAlign w:val="bottom"/>
          </w:tcPr>
          <w:p>
            <w:pPr>
              <w:jc w:val="center"/>
              <w:ind w:right="25"/>
              <w:spacing w:after="0"/>
              <w:rPr>
                <w:sz w:val="20"/>
                <w:szCs w:val="20"/>
                <w:color w:val="auto"/>
              </w:rPr>
            </w:pPr>
            <w:r>
              <w:rPr>
                <w:rFonts w:ascii="Arial" w:cs="Arial" w:eastAsia="Arial" w:hAnsi="Arial"/>
                <w:sz w:val="22"/>
                <w:szCs w:val="22"/>
                <w:b w:val="1"/>
                <w:bCs w:val="1"/>
                <w:color w:val="auto"/>
                <w:w w:val="87"/>
              </w:rPr>
              <w:t>Ramsey</w:t>
            </w:r>
          </w:p>
        </w:tc>
        <w:tc>
          <w:tcPr>
            <w:tcW w:w="30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SUMMARY</w:t>
      </w:r>
    </w:p>
    <w:p>
      <w:pPr>
        <w:spacing w:after="0" w:line="15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Except where the context suggests otherwise, the terms “we,” “us,” “our” and “PennantPark” refer to PennantPark Investment Corporation; “PennantPark Investment Advisers” or the “investment adviser” refers to PennantPark Investment Advisers, LLC, and “PennantPark Administration” or the “administrator” refers to PennantPark Investment Administration, LLC.</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Investment Corporation</w:t>
      </w:r>
    </w:p>
    <w:p>
      <w:pPr>
        <w:spacing w:after="0" w:line="150"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PennantPark Investment Corporation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 PennantPark’s investment objective is to generate both current income and capital appreciation through debt and equity investments. From time to time, we may also invest in public companies that are thinly traded.</w:t>
      </w:r>
    </w:p>
    <w:p>
      <w:pPr>
        <w:spacing w:after="0" w:line="89"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We anticipate that our portfolio will consist primarily of investments in subordinated loans, referred to as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If such companies were rated by the national rating agencies, we believe that they would typically receive a rating below investment grade (between BB and CCC under the Standard &amp; Poor’s system). In addition, we expect the debt securities of such companies to range in maturity from three to ten years. In this prospectus, we use the term “middle-market” to refer to companies with annual revenues between $50 million and $1 billion.</w:t>
      </w:r>
    </w:p>
    <w:p>
      <w:pPr>
        <w:spacing w:after="0" w:line="93" w:lineRule="exact"/>
        <w:rPr>
          <w:sz w:val="20"/>
          <w:szCs w:val="20"/>
          <w:color w:val="auto"/>
        </w:rPr>
      </w:pPr>
    </w:p>
    <w:p>
      <w:pPr>
        <w:ind w:left="200" w:right="120" w:firstLine="443"/>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As of March 21, 2007, we had invested approximately $234 million in senior secured loans, of which $118 million had settled. As of that date, our portfolio consisted of investments with an average investment size of approximately $5.7 million, a weighted average yield of 7.5% and a weighted average maturity of 6.4 years. Immediately prior to the consummation of this offering, we expect that our portfolio will consist primarily of senior secured loans having an aggregate principal amount of approximately $250 million. See “Portfolio Companies.” Over time, however, we expect that our portfolio will include a combination of senior and mezzanine loans and, to a lesser extent, equity securities. See “Discussion of Expected Operating Plans—Credit Facility” and “Business—Investments.”</w:t>
      </w:r>
    </w:p>
    <w:p>
      <w:pPr>
        <w:spacing w:after="0" w:line="117" w:lineRule="exact"/>
        <w:rPr>
          <w:sz w:val="20"/>
          <w:szCs w:val="20"/>
          <w:color w:val="auto"/>
        </w:rPr>
      </w:pPr>
    </w:p>
    <w:p>
      <w:pPr>
        <w:ind w:left="200" w:right="340" w:firstLine="443"/>
        <w:spacing w:after="0" w:line="298" w:lineRule="auto"/>
        <w:rPr>
          <w:sz w:val="20"/>
          <w:szCs w:val="20"/>
          <w:color w:val="auto"/>
        </w:rPr>
      </w:pPr>
      <w:r>
        <w:rPr>
          <w:rFonts w:ascii="Arial" w:cs="Arial" w:eastAsia="Arial" w:hAnsi="Arial"/>
          <w:sz w:val="16"/>
          <w:szCs w:val="16"/>
          <w:color w:val="auto"/>
        </w:rPr>
        <w:t>As of February 6, 2007, we, through Pennant SPV Company, LLC, our wholly owned subsidiary, entered into a credit facility with Bear Stearns Investment Products Inc., or the Lender. This credit facility provided for available borrowings of up to an aggregate principal amount of $200 million, subject to specified borrowing conditions. As of March 26, 2007, we, through Pennant SPV Company, LLC, and the Lender amended the credit facility to increase the aggregate principal amount that may be borrowed to $250 million. In this prospectus, we</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83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8837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60"/>
        <w:spacing w:after="0" w:line="306" w:lineRule="auto"/>
        <w:rPr>
          <w:sz w:val="20"/>
          <w:szCs w:val="20"/>
          <w:color w:val="auto"/>
        </w:rPr>
      </w:pPr>
      <w:r>
        <w:rPr>
          <w:rFonts w:ascii="Arial" w:cs="Arial" w:eastAsia="Arial" w:hAnsi="Arial"/>
          <w:sz w:val="16"/>
          <w:szCs w:val="16"/>
          <w:color w:val="auto"/>
        </w:rPr>
        <w:t>refer to the credit facility, as amended, as the Credit Facility. We intend to use a portion of the net proceeds of this offering to repay the outstanding principal of, and accrued and unpaid interest on, the Credit Facility as well as to pay the reasonable transaction costs incurred by us and the Lender in establishing the Credit Facility. We have used borrowings under the Credit Facility to purchase the senior secured loans that constitute our current portfolio.</w:t>
      </w:r>
    </w:p>
    <w:p>
      <w:pPr>
        <w:spacing w:after="0" w:line="80" w:lineRule="exact"/>
        <w:rPr>
          <w:sz w:val="20"/>
          <w:szCs w:val="20"/>
          <w:color w:val="auto"/>
        </w:rPr>
      </w:pPr>
    </w:p>
    <w:p>
      <w:pPr>
        <w:jc w:val="both"/>
        <w:ind w:left="200" w:right="260" w:firstLine="443"/>
        <w:spacing w:after="0" w:line="298" w:lineRule="auto"/>
        <w:rPr>
          <w:sz w:val="20"/>
          <w:szCs w:val="20"/>
          <w:color w:val="auto"/>
        </w:rPr>
      </w:pPr>
      <w:r>
        <w:rPr>
          <w:rFonts w:ascii="Arial" w:cs="Arial" w:eastAsia="Arial" w:hAnsi="Arial"/>
          <w:sz w:val="16"/>
          <w:szCs w:val="16"/>
          <w:color w:val="auto"/>
        </w:rPr>
        <w:t>While our primary focus will be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PennantPark and the Founder of our investment adviser, PennantPark Investment Advisers, LLC.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91"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86" w:lineRule="exact"/>
        <w:rPr>
          <w:sz w:val="20"/>
          <w:szCs w:val="20"/>
          <w:color w:val="auto"/>
        </w:rPr>
      </w:pPr>
    </w:p>
    <w:p>
      <w:pPr>
        <w:jc w:val="both"/>
        <w:ind w:left="200" w:right="100" w:firstLine="443"/>
        <w:spacing w:after="0" w:line="370" w:lineRule="auto"/>
        <w:rPr>
          <w:sz w:val="20"/>
          <w:szCs w:val="20"/>
          <w:color w:val="auto"/>
        </w:rPr>
      </w:pPr>
      <w:r>
        <w:rPr>
          <w:rFonts w:ascii="Arial" w:cs="Arial" w:eastAsia="Arial" w:hAnsi="Arial"/>
          <w:sz w:val="15"/>
          <w:szCs w:val="15"/>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35"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Aviv Efrat serves as our Chief Financial Officer and Treasurer. Mr. Efrat, who is also a Managing Director of PennantPark Administration,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We and our investment adviser expect to hire additional investment professionals to assist with our ongoing management and in investing the proceeds of this offering. Specifically, we intend to hire a chief compliance officer promptly after completion of this offering. Following this offering, our investment adviser intends to expand its management team to a total of seven to ten investment professionals with skills applicable to our business plan within 12 months of the completion of this offering. We expect such investment professionals to have experience in middle-market investing, leveraged and mezzanine finance and the capital markets.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PennantPark intends to invest primarily in mezzanine loans, senior secured loans and equity securities of U.S. middle-market companies. We believe that the size of the middle-market, coupled with the demands of these companies for flexible sources of capital, creates an attractive investment environment for PennantPark.</w:t>
      </w:r>
    </w:p>
    <w:p>
      <w:pPr>
        <w:spacing w:after="0" w:line="53" w:lineRule="exact"/>
        <w:rPr>
          <w:sz w:val="20"/>
          <w:szCs w:val="20"/>
          <w:color w:val="auto"/>
        </w:rPr>
      </w:pPr>
    </w:p>
    <w:p>
      <w:pPr>
        <w:ind w:left="1060" w:right="220" w:hanging="431"/>
        <w:spacing w:after="0" w:line="30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hanging="431"/>
        <w:spacing w:after="0" w:line="30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continue to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1060" w:right="400" w:hanging="431"/>
        <w:spacing w:after="0" w:line="30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w:t>
      </w:r>
      <w:r>
        <w:rPr>
          <w:rFonts w:ascii="Arial" w:cs="Arial" w:eastAsia="Arial" w:hAnsi="Arial"/>
          <w:sz w:val="16"/>
          <w:szCs w:val="16"/>
          <w:b w:val="1"/>
          <w:bCs w:val="1"/>
          <w:color w:val="auto"/>
        </w:rPr>
        <w:t xml:space="preserve"> </w:t>
      </w:r>
      <w:r>
        <w:rPr>
          <w:rFonts w:ascii="Arial" w:cs="Arial" w:eastAsia="Arial" w:hAnsi="Arial"/>
          <w:sz w:val="16"/>
          <w:szCs w:val="16"/>
          <w:color w:val="auto"/>
        </w:rPr>
        <w:t>“public-to-private”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ind w:left="200" w:right="120" w:firstLine="443"/>
        <w:spacing w:after="0" w:line="301" w:lineRule="auto"/>
        <w:rPr>
          <w:sz w:val="20"/>
          <w:szCs w:val="20"/>
          <w:color w:val="auto"/>
        </w:rPr>
      </w:pPr>
      <w:r>
        <w:rPr>
          <w:rFonts w:ascii="Arial" w:cs="Arial" w:eastAsia="Arial" w:hAnsi="Arial"/>
          <w:sz w:val="15"/>
          <w:szCs w:val="15"/>
          <w:color w:val="auto"/>
        </w:rPr>
        <w:t>Mr. Penn will have principal management responsibility for PennantPark Investment Advisers as its Managing Member. Mr. Penn has more than 20 years of experience in mezzanine lending, leveraged finance, private equity and distressed debt investing. Through his tenure at Apollo Investment Management, he also has direct experience in successfully capitalizing, staffing and managing a publicly traded business development company. Mr. Efrat serves as our Chief Financial Officer and Treasurer and is also a Managing Director of PennantPark Administration. He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investment professionals, Messrs. Chang, Giannetti and Williams, have a combined 44 years of experience in the mezzanine, private equity and leveraged finance businesses.</w:t>
      </w:r>
    </w:p>
    <w:p>
      <w:pPr>
        <w:spacing w:after="0" w:line="5"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Mr. Chang was previously a Founding Member and Principal of Audax Mezzanine from 2000 through 2007. Mr. Giannetti previously served as Partner in the private equity firm of Wilton Ivy Partners from 2004 through 2007. Mr. Williams was most recently a Managing Director at UBS Investment Bank in its Leveraged Finance and Financial Sponsors Group.</w:t>
      </w:r>
    </w:p>
    <w:p>
      <w:pPr>
        <w:spacing w:after="0" w:line="117"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We believe that this experience, together with the expertise of the investment professionals of our investment adviser in raising capital, investing in debt and equity securities and managing investments in companies, will afford PennantPark a competitive advantage in identifying and investing in middle-market</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companies. We and our investment adviser intend to hire additional investment professionals with skills applicable to our business plan, including experience in middle-market investing, leveraged and mezzanine finance and capital markets.</w:t>
      </w:r>
    </w:p>
    <w:p>
      <w:pPr>
        <w:spacing w:after="0" w:line="105"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Mr. Penn, our other officers and directors and the managers of our investment adviser have invested or committed to invest, directly and indirectly, an aggregate of approximately $6.0 million in 400,000 shares of PennantPark prior to this offering.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w:t>
      </w:r>
    </w:p>
    <w:p>
      <w:pPr>
        <w:spacing w:after="0" w:line="113"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intend to conduct a rigorous due diligence process.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left="200" w:right="580" w:firstLine="443"/>
        <w:spacing w:after="0" w:line="332" w:lineRule="auto"/>
        <w:rPr>
          <w:sz w:val="20"/>
          <w:szCs w:val="20"/>
          <w:color w:val="auto"/>
        </w:rPr>
      </w:pPr>
      <w:r>
        <w:rPr>
          <w:rFonts w:ascii="Arial" w:cs="Arial" w:eastAsia="Arial" w:hAnsi="Arial"/>
          <w:sz w:val="16"/>
          <w:szCs w:val="16"/>
          <w:color w:val="auto"/>
        </w:rPr>
        <w:t>Our investment adviser will seek to minimize the risk of capital loss without foregoing potential for capital appreciation. In making investment decisions, we will also seek to pursue and invest in companies that we believe can generate positive risk-adjusted returns.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Mr. Penn and the management team of our investment adviser have long-term relationships with management consultants and management teams that we believe will enable us to evaluate investment opportunities effectively in numerous industries, as well as giving us access to substantial information concerning those industries. We believe the expertise of our investment advisers’ management team will enable PennantPark Investment Advisers to identify, assess and structure investments successfully across all levels of a company’s capital structure and to manage potential risk and return at all stages of the economic cycle.</w:t>
      </w:r>
    </w:p>
    <w:p>
      <w:pPr>
        <w:spacing w:after="0" w:line="116"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We intend to identify potential investments both through active origination and through dialogue with numerous management teams, members of the financial community and corporate partners with whom Mr. Penn and the other investment professionals of our investment adviser have long-term relationships.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We expect that the in-depth coverage and experience of Mr. Penn, as well as that of the other investment professionals of our investment adviser, will enable us to invest throughout various stages of the economic cycle and will provide our investment adviser with access to ongoing market insights in addition to a significant investment sourcing engine. We believe PennantPark Investment Advisers will be able to identify attractive investment opportunities throughout the economic cycle so that we can make investments consistent with our objective, even during turbulent periods in the capital markets.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investors after a pre-agreed time period. We believe that our flexibility to make investments with a long-term view and without the capital return requirements of traditional private investment vehicles will enable us to generate returns on invested capital and to be a better long-term partner for our portfolio companies.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our investment adviser and PennantPark. PennantPark Investment Advisers is a newly formed investment adviser that is registered under the Investment Advisers Act of 1940, or the “Advisers Act.” Under our investment management agreement with PennantPark Investment Advisers, which we refer to as the “Investment Management Agreement,” we have agreed to pay PennantPark Investment Advisers an annual base management fee based on our gross assets as well as an incentive fee based on our investment performance. We intend to execute the Investment Management Agreement at the time we elect to be treated as a business development company, which we expect to occur shortly before the consummation of this offering. Prior to making this election, our relationship with the investment adviser is governed by an interim investment management agreement, which we refer to as the “Interim Investment Management Agreement.” See “Management—Investment Management Agreement.”</w:t>
      </w:r>
    </w:p>
    <w:p>
      <w:pPr>
        <w:spacing w:after="0" w:line="9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also entered into an administrative agreement, which we refer to as the “Administration Agreement,” with PennantPark Administration. Under the Administration Agreement, we have agreed to reimburse PennantPark Administration for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 See “Management — Administration Agreement.”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through a wholly owned subsidiary, Pennant SPV Company, LLC, have established a Credit Facility to fund portfolio investments prior to consummation of this offering, which we intend to repay using a portion of the proceeds of this offering. We may also borrow funds to make investments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decided the extent to which we will finance portfolio investments using debt. After we repay the Credit Facility, we do not intend to borrow money to fund our investments until such time as we have invested substantially all of the proceeds of the offering. See “Regulation.” See “Material U.S. Federal Income Tax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offices are located at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telephone number (212) 307-3280.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35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9352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left="200"/>
        <w:spacing w:after="0"/>
        <w:tabs>
          <w:tab w:leader="none" w:pos="4160" w:val="left"/>
        </w:tabs>
        <w:rPr>
          <w:sz w:val="20"/>
          <w:szCs w:val="20"/>
          <w:color w:val="auto"/>
        </w:rPr>
      </w:pPr>
      <w:r>
        <w:rPr>
          <w:rFonts w:ascii="Arial" w:cs="Arial" w:eastAsia="Arial" w:hAnsi="Arial"/>
          <w:sz w:val="18"/>
          <w:szCs w:val="18"/>
          <w:color w:val="auto"/>
        </w:rPr>
        <w:t>Common stock offered by us</w:t>
      </w:r>
      <w:r>
        <w:rPr>
          <w:sz w:val="20"/>
          <w:szCs w:val="20"/>
          <w:color w:val="auto"/>
        </w:rPr>
        <w:tab/>
      </w:r>
      <w:r>
        <w:rPr>
          <w:rFonts w:ascii="Arial" w:cs="Arial" w:eastAsia="Arial" w:hAnsi="Arial"/>
          <w:sz w:val="15"/>
          <w:szCs w:val="15"/>
          <w:color w:val="auto"/>
        </w:rPr>
        <w:t>27,000,000 shares, excluding 4,050,000 shares of common stock issuable pursuant to the over-</w:t>
      </w:r>
    </w:p>
    <w:p>
      <w:pPr>
        <w:spacing w:after="0" w:line="15" w:lineRule="exact"/>
        <w:rPr>
          <w:sz w:val="20"/>
          <w:szCs w:val="20"/>
          <w:color w:val="auto"/>
        </w:rPr>
      </w:pPr>
    </w:p>
    <w:p>
      <w:pPr>
        <w:ind w:left="4180" w:right="340"/>
        <w:spacing w:after="0" w:line="261" w:lineRule="auto"/>
        <w:rPr>
          <w:sz w:val="20"/>
          <w:szCs w:val="20"/>
          <w:color w:val="auto"/>
        </w:rPr>
      </w:pPr>
      <w:r>
        <w:rPr>
          <w:rFonts w:ascii="Arial" w:cs="Arial" w:eastAsia="Arial" w:hAnsi="Arial"/>
          <w:sz w:val="18"/>
          <w:szCs w:val="18"/>
          <w:color w:val="auto"/>
        </w:rPr>
        <w:t>allotment option granted to the underwriters. The underwriters will reserve up to 500,000 shares of common stock for sale to certain other persons.</w:t>
      </w:r>
    </w:p>
    <w:p>
      <w:pPr>
        <w:sectPr>
          <w:pgSz w:w="11900" w:h="16838" w:orient="portrait"/>
          <w:cols w:equalWidth="0" w:num="1">
            <w:col w:w="11460"/>
          </w:cols>
          <w:pgMar w:left="240" w:top="459" w:right="199" w:bottom="1440" w:gutter="0" w:footer="0" w:header="0"/>
        </w:sectPr>
      </w:pPr>
    </w:p>
    <w:p>
      <w:pPr>
        <w:spacing w:after="0" w:line="138" w:lineRule="exact"/>
        <w:rPr>
          <w:sz w:val="20"/>
          <w:szCs w:val="20"/>
          <w:color w:val="auto"/>
        </w:rPr>
      </w:pPr>
    </w:p>
    <w:p>
      <w:pPr>
        <w:ind w:left="280" w:right="200" w:hanging="72"/>
        <w:spacing w:after="0" w:line="332" w:lineRule="auto"/>
        <w:rPr>
          <w:sz w:val="20"/>
          <w:szCs w:val="20"/>
          <w:color w:val="auto"/>
        </w:rPr>
      </w:pPr>
      <w:r>
        <w:rPr>
          <w:rFonts w:ascii="Arial" w:cs="Arial" w:eastAsia="Arial" w:hAnsi="Arial"/>
          <w:sz w:val="16"/>
          <w:szCs w:val="16"/>
          <w:color w:val="auto"/>
        </w:rPr>
        <w:t>Directors, officers and investment adviser’s management private placement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investment adviser purchased 80,000 shares in a private placement in connection with the establishment of the Credit Facility and, immediately prior to the closing of this offering, we expect to sell 320,000 shares of common stock to our directors, officers, our investment adviser and the managers of our investment adviser at a price of $15 per share in a private placement. We will receive the full proceeds of this private placement, and no underwriting discounts or commissions will be paid in respect of these shares.</w:t>
      </w:r>
    </w:p>
    <w:p>
      <w:pPr>
        <w:spacing w:after="0" w:line="120" w:lineRule="exact"/>
        <w:rPr>
          <w:sz w:val="20"/>
          <w:szCs w:val="20"/>
          <w:color w:val="auto"/>
        </w:rPr>
      </w:pPr>
    </w:p>
    <w:p>
      <w:pPr>
        <w:sectPr>
          <w:pgSz w:w="11900" w:h="16838" w:orient="portrait"/>
          <w:cols w:equalWidth="0" w:num="2">
            <w:col w:w="3460" w:space="720"/>
            <w:col w:w="7280"/>
          </w:cols>
          <w:pgMar w:left="240" w:top="459"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200"/>
              <w:spacing w:after="0"/>
              <w:rPr>
                <w:sz w:val="20"/>
                <w:szCs w:val="20"/>
                <w:color w:val="auto"/>
              </w:rPr>
            </w:pPr>
            <w:r>
              <w:rPr>
                <w:rFonts w:ascii="Arial" w:cs="Arial" w:eastAsia="Arial" w:hAnsi="Arial"/>
                <w:sz w:val="18"/>
                <w:szCs w:val="18"/>
                <w:color w:val="auto"/>
                <w:w w:val="93"/>
              </w:rPr>
              <w:t>Common stock to be outstanding after this offering</w:t>
            </w: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27,400,000 shares (including 400,000 shares acquired by our directors, officers, our investment</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adviser and the managers of our investment adviser in private placements prior to this offering),</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excluding 4,050,000 shares of common stock issuable pursuant to the over-allotment option granted</w:t>
            </w:r>
          </w:p>
        </w:tc>
      </w:tr>
      <w:tr>
        <w:trPr>
          <w:trHeight w:val="222"/>
        </w:trPr>
        <w:tc>
          <w:tcPr>
            <w:tcW w:w="398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to the underwriters.</w:t>
            </w:r>
          </w:p>
        </w:tc>
      </w:tr>
      <w:tr>
        <w:trPr>
          <w:trHeight w:val="372"/>
        </w:trPr>
        <w:tc>
          <w:tcPr>
            <w:tcW w:w="39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480" w:type="dxa"/>
            <w:vAlign w:val="bottom"/>
          </w:tcPr>
          <w:p>
            <w:pPr>
              <w:ind w:left="200"/>
              <w:spacing w:after="0"/>
              <w:rPr>
                <w:sz w:val="20"/>
                <w:szCs w:val="20"/>
                <w:color w:val="auto"/>
              </w:rPr>
            </w:pPr>
            <w:r>
              <w:rPr>
                <w:rFonts w:ascii="Arial" w:cs="Arial" w:eastAsia="Arial" w:hAnsi="Arial"/>
                <w:sz w:val="18"/>
                <w:szCs w:val="18"/>
                <w:color w:val="auto"/>
                <w:w w:val="99"/>
              </w:rPr>
              <w:t>We intend to use approximately $250 million of the net proceeds of this offering to repay the</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3"/>
              </w:rPr>
              <w:t>outstanding principal of, and accrued and unpaid interest on, the Credit Facility. We plan to invest</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8"/>
              </w:rPr>
              <w:t>the balance of the net proceeds of this offering in portfolio companies in accordance with our</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3"/>
              </w:rPr>
              <w:t>investment objective and the strategies described in this prospectus. As a result of this investment</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8"/>
              </w:rPr>
              <w:t>and other anticipated investments, we expect that our portfolio will initially consist primarily of</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senior secured loans because we anticipate that we will be able to invest in such loans more rapidly</w:t>
            </w:r>
          </w:p>
        </w:tc>
      </w:tr>
      <w:tr>
        <w:trPr>
          <w:trHeight w:val="222"/>
        </w:trPr>
        <w:tc>
          <w:tcPr>
            <w:tcW w:w="398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than we can invest in mezzanine loans and equity securities.</w:t>
            </w:r>
          </w:p>
        </w:tc>
      </w:tr>
      <w:tr>
        <w:trPr>
          <w:trHeight w:val="372"/>
        </w:trPr>
        <w:tc>
          <w:tcPr>
            <w:tcW w:w="3980" w:type="dxa"/>
            <w:vAlign w:val="bottom"/>
          </w:tcPr>
          <w:p>
            <w:pPr>
              <w:spacing w:after="0"/>
              <w:rPr>
                <w:sz w:val="24"/>
                <w:szCs w:val="24"/>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We anticipate that a substantial portion of the net proceeds of this offering will be invested within 12</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4"/>
              </w:rPr>
              <w:t>to 18 months and all of the net proceeds will be invested within two years, in accordance with our</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6"/>
              </w:rPr>
              <w:t>investment objective, depending on the availability of appropriate investment opportunities and</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market conditions. Pending such investments, we will invest the remaining net proceeds primarily in</w:t>
            </w:r>
          </w:p>
        </w:tc>
      </w:tr>
      <w:tr>
        <w:trPr>
          <w:trHeight w:val="216"/>
        </w:trPr>
        <w:tc>
          <w:tcPr>
            <w:tcW w:w="398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cash, cash equivalents, U.S. government securities and other high-quality debt investments that</w:t>
            </w:r>
          </w:p>
        </w:tc>
      </w:tr>
      <w:tr>
        <w:trPr>
          <w:trHeight w:val="222"/>
        </w:trPr>
        <w:tc>
          <w:tcPr>
            <w:tcW w:w="398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mature in one year or less from the date of investment. See “Use of Proceeds.”</w:t>
            </w:r>
          </w:p>
        </w:tc>
      </w:tr>
      <w:tr>
        <w:trPr>
          <w:trHeight w:val="378"/>
        </w:trPr>
        <w:tc>
          <w:tcPr>
            <w:tcW w:w="3980" w:type="dxa"/>
            <w:vAlign w:val="bottom"/>
          </w:tcPr>
          <w:p>
            <w:pPr>
              <w:ind w:left="200"/>
              <w:spacing w:after="0"/>
              <w:rPr>
                <w:sz w:val="20"/>
                <w:szCs w:val="20"/>
                <w:color w:val="auto"/>
              </w:rPr>
            </w:pPr>
            <w:r>
              <w:rPr>
                <w:rFonts w:ascii="Arial" w:cs="Arial" w:eastAsia="Arial" w:hAnsi="Arial"/>
                <w:sz w:val="18"/>
                <w:szCs w:val="18"/>
                <w:color w:val="auto"/>
              </w:rPr>
              <w:t>Proposed Nasdaq Global Market symbol</w:t>
            </w:r>
          </w:p>
        </w:tc>
        <w:tc>
          <w:tcPr>
            <w:tcW w:w="7480" w:type="dxa"/>
            <w:vAlign w:val="bottom"/>
          </w:tcPr>
          <w:p>
            <w:pPr>
              <w:ind w:left="200"/>
              <w:spacing w:after="0"/>
              <w:rPr>
                <w:sz w:val="20"/>
                <w:szCs w:val="20"/>
                <w:color w:val="auto"/>
              </w:rPr>
            </w:pPr>
            <w:r>
              <w:rPr>
                <w:rFonts w:ascii="Arial" w:cs="Arial" w:eastAsia="Arial" w:hAnsi="Arial"/>
                <w:sz w:val="18"/>
                <w:szCs w:val="18"/>
                <w:color w:val="auto"/>
              </w:rPr>
              <w:t>“PNNT”</w:t>
            </w:r>
          </w:p>
        </w:tc>
      </w:tr>
      <w:tr>
        <w:trPr>
          <w:trHeight w:val="378"/>
        </w:trPr>
        <w:tc>
          <w:tcPr>
            <w:tcW w:w="3980" w:type="dxa"/>
            <w:vAlign w:val="bottom"/>
          </w:tcPr>
          <w:p>
            <w:pPr>
              <w:ind w:left="200"/>
              <w:spacing w:after="0"/>
              <w:rPr>
                <w:sz w:val="20"/>
                <w:szCs w:val="20"/>
                <w:color w:val="auto"/>
              </w:rPr>
            </w:pPr>
            <w:r>
              <w:rPr>
                <w:rFonts w:ascii="Arial" w:cs="Arial" w:eastAsia="Arial" w:hAnsi="Arial"/>
                <w:sz w:val="18"/>
                <w:szCs w:val="18"/>
                <w:color w:val="auto"/>
              </w:rPr>
              <w:t>Trading at a discount</w:t>
            </w:r>
          </w:p>
        </w:tc>
        <w:tc>
          <w:tcPr>
            <w:tcW w:w="7480" w:type="dxa"/>
            <w:vAlign w:val="bottom"/>
          </w:tcPr>
          <w:p>
            <w:pPr>
              <w:ind w:left="200"/>
              <w:spacing w:after="0"/>
              <w:rPr>
                <w:sz w:val="20"/>
                <w:szCs w:val="20"/>
                <w:color w:val="auto"/>
              </w:rPr>
            </w:pPr>
            <w:r>
              <w:rPr>
                <w:rFonts w:ascii="Arial" w:cs="Arial" w:eastAsia="Arial" w:hAnsi="Arial"/>
                <w:sz w:val="18"/>
                <w:szCs w:val="18"/>
                <w:color w:val="auto"/>
                <w:w w:val="92"/>
              </w:rPr>
              <w:t>Shares of closed-end investment companies frequently trade at a discount to their net asset value.</w:t>
            </w:r>
          </w:p>
        </w:tc>
      </w:tr>
      <w:tr>
        <w:trPr>
          <w:trHeight w:val="174"/>
        </w:trPr>
        <w:tc>
          <w:tcPr>
            <w:tcW w:w="3980" w:type="dxa"/>
            <w:vAlign w:val="bottom"/>
            <w:tcBorders>
              <w:bottom w:val="single" w:sz="8" w:color="auto"/>
            </w:tcBorders>
          </w:tcPr>
          <w:p>
            <w:pPr>
              <w:spacing w:after="0"/>
              <w:rPr>
                <w:sz w:val="15"/>
                <w:szCs w:val="15"/>
                <w:color w:val="auto"/>
              </w:rPr>
            </w:pPr>
          </w:p>
        </w:tc>
        <w:tc>
          <w:tcPr>
            <w:tcW w:w="7480" w:type="dxa"/>
            <w:vAlign w:val="bottom"/>
            <w:tcBorders>
              <w:bottom w:val="single" w:sz="8" w:color="auto"/>
            </w:tcBorders>
          </w:tcPr>
          <w:p>
            <w:pPr>
              <w:spacing w:after="0"/>
              <w:rPr>
                <w:sz w:val="15"/>
                <w:szCs w:val="15"/>
                <w:color w:val="auto"/>
              </w:rPr>
            </w:pPr>
          </w:p>
        </w:tc>
      </w:tr>
      <w:tr>
        <w:trPr>
          <w:trHeight w:val="359"/>
        </w:trPr>
        <w:tc>
          <w:tcPr>
            <w:tcW w:w="3980" w:type="dxa"/>
            <w:vAlign w:val="bottom"/>
          </w:tcPr>
          <w:p>
            <w:pPr>
              <w:spacing w:after="0"/>
              <w:rPr>
                <w:sz w:val="24"/>
                <w:szCs w:val="24"/>
                <w:color w:val="auto"/>
              </w:rPr>
            </w:pPr>
          </w:p>
        </w:tc>
        <w:tc>
          <w:tcPr>
            <w:tcW w:w="7480" w:type="dxa"/>
            <w:vAlign w:val="bottom"/>
          </w:tcPr>
          <w:p>
            <w:pPr>
              <w:ind w:left="17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1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Distributions</w:t>
            </w:r>
          </w:p>
        </w:tc>
        <w:tc>
          <w:tcPr>
            <w:tcW w:w="8300" w:type="dxa"/>
            <w:vAlign w:val="bottom"/>
            <w:tcBorders>
              <w:top w:val="single" w:sz="8" w:color="auto"/>
              <w:right w:val="single" w:sz="8" w:color="auto"/>
            </w:tcBorders>
          </w:tcPr>
          <w:p>
            <w:pPr>
              <w:ind w:left="1020"/>
              <w:spacing w:after="0"/>
              <w:rPr>
                <w:sz w:val="20"/>
                <w:szCs w:val="20"/>
                <w:color w:val="auto"/>
              </w:rPr>
            </w:pPr>
            <w:r>
              <w:rPr>
                <w:rFonts w:ascii="Arial" w:cs="Arial" w:eastAsia="Arial" w:hAnsi="Arial"/>
                <w:sz w:val="18"/>
                <w:szCs w:val="18"/>
                <w:color w:val="auto"/>
                <w:w w:val="93"/>
              </w:rPr>
              <w:t>We intend to distribute quarterly distributions to our stockholders out of assets legally available for</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distribution. Our quarterly distributions, if any, will be determined by our board of directors.</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Taxation</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We intend to elect to be treated for federal income tax purposes as a RIC. As a RIC, we generally</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4"/>
              </w:rPr>
              <w:t>will not have to pay corporate-level federal income taxes on any ordinary income or capital gains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that we distribute to our stockholders as distributions. To obtain RIC status and the associated tax</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6"/>
              </w:rPr>
              <w:t>benefits, we must meet specified source-of-income and asset diversification requirements and</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distribute annually at least 90% of our ordinary income and realized net short-term capital gains in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excess of realized net long-term capital losses, if any, out of assets legally available for distribution.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For a short period (less than one month after the closing of this offering), we may not be a RIC and</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may be subject to corporate-level income tax. See “Distributions.”</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Leverage</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4"/>
              </w:rPr>
              <w:t>We have borrowed funds to make investments under the Credit Facility prior to consummation of</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this offering, and we may borrow other funds subsequent to this offering. After we repay the Credit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Facility, we do not intend to borrow money to fund our investments until such time as we have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2"/>
              </w:rPr>
              <w:t>invested substantially all of the proceeds of this offering. The costs associated with our borrowings,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including any increase in the investment advisory fee payable to our investment adviser, will be</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borne by our common stockholders.</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Dividend reinvestment plan</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8"/>
              </w:rPr>
              <w:t>We have adopted a dividend reinvestment plan for our stockholders. This will be an “opt out”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dividend reinvestment plan. As a result, if we declare a dividend or other distribution, then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stockholders’ cash distributions will be reinvested automatically in additional shares of our common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6"/>
              </w:rPr>
              <w:t>stock, unless our stockholders specifically “opt out” of the dividend reinvestment plan, so as to</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receive cash dividends or other distributions. Stockholders who receive distributions in the form of</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shares of common stock will be subject to the same federal, state and local tax consequences as</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stockholders who elect to receive their distributions in cash. See “Dividend Reinvestment Plan.”</w:t>
            </w:r>
          </w:p>
        </w:tc>
      </w:tr>
      <w:tr>
        <w:trPr>
          <w:trHeight w:val="372"/>
        </w:trPr>
        <w:tc>
          <w:tcPr>
            <w:tcW w:w="31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Investment advisory fees</w:t>
            </w: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We will pay PennantPark Investment Advisers a fee for its services under the Investment</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Management Agreement consisting of two components—a base management fee and an incentive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5"/>
              </w:rPr>
              <w:t>fee. The base management fee will be calculated at an annual rate of 2.00 percent of our gross</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89"/>
              </w:rPr>
              <w:t>assets. Although the management fee will be 2.00 percent of our gross assets, the investment adviser</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1"/>
              </w:rPr>
              <w:t>has agreed to waive a portion of the base management fee such that the base management fee will</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equal 1.50 percent from the consummation of this offering through September 30, 2007,</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1.75 percent from October 1, 2007 through March 31, 2008, and 2.00 percent thereafter. The</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7"/>
              </w:rPr>
              <w:t>incentive fee will consist of two parts. The first part will be calculated and payable quarterly in</w:t>
            </w:r>
          </w:p>
        </w:tc>
      </w:tr>
      <w:tr>
        <w:trPr>
          <w:trHeight w:val="216"/>
        </w:trPr>
        <w:tc>
          <w:tcPr>
            <w:tcW w:w="316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arrears based upon our “Pre-Incentive Fee Net Investment Income” for the immediately preceding</w:t>
            </w:r>
          </w:p>
        </w:tc>
      </w:tr>
      <w:tr>
        <w:trPr>
          <w:trHeight w:val="222"/>
        </w:trPr>
        <w:tc>
          <w:tcPr>
            <w:tcW w:w="316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w w:val="93"/>
              </w:rPr>
              <w:t>quarter, and will be subject to a Hurdle (as defined under “Fees and Expenses”) and a “catch-up”</w:t>
            </w:r>
          </w:p>
        </w:tc>
      </w:tr>
      <w:tr>
        <w:trPr>
          <w:trHeight w:val="174"/>
        </w:trPr>
        <w:tc>
          <w:tcPr>
            <w:tcW w:w="3160" w:type="dxa"/>
            <w:vAlign w:val="bottom"/>
            <w:tcBorders>
              <w:left w:val="single" w:sz="8" w:color="auto"/>
              <w:bottom w:val="single" w:sz="8" w:color="auto"/>
            </w:tcBorders>
          </w:tcPr>
          <w:p>
            <w:pPr>
              <w:spacing w:after="0"/>
              <w:rPr>
                <w:sz w:val="15"/>
                <w:szCs w:val="15"/>
                <w:color w:val="auto"/>
              </w:rPr>
            </w:pPr>
          </w:p>
        </w:tc>
        <w:tc>
          <w:tcPr>
            <w:tcW w:w="8300" w:type="dxa"/>
            <w:vAlign w:val="bottom"/>
            <w:tcBorders>
              <w:bottom w:val="single" w:sz="8" w:color="auto"/>
              <w:right w:val="single" w:sz="8" w:color="auto"/>
            </w:tcBorders>
          </w:tcPr>
          <w:p>
            <w:pPr>
              <w:spacing w:after="0"/>
              <w:rPr>
                <w:sz w:val="15"/>
                <w:szCs w:val="15"/>
                <w:color w:val="auto"/>
              </w:rPr>
            </w:pPr>
          </w:p>
        </w:tc>
      </w:tr>
      <w:tr>
        <w:trPr>
          <w:trHeight w:val="359"/>
        </w:trPr>
        <w:tc>
          <w:tcPr>
            <w:tcW w:w="3160" w:type="dxa"/>
            <w:vAlign w:val="bottom"/>
          </w:tcPr>
          <w:p>
            <w:pPr>
              <w:spacing w:after="0"/>
              <w:rPr>
                <w:sz w:val="24"/>
                <w:szCs w:val="24"/>
                <w:color w:val="auto"/>
              </w:rPr>
            </w:pPr>
          </w:p>
        </w:tc>
        <w:tc>
          <w:tcPr>
            <w:tcW w:w="8300" w:type="dxa"/>
            <w:vAlign w:val="bottom"/>
          </w:tcPr>
          <w:p>
            <w:pPr>
              <w:ind w:left="252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120" w:type="dxa"/>
            <w:vAlign w:val="bottom"/>
            <w:tcBorders>
              <w:top w:val="single" w:sz="8" w:color="auto"/>
              <w:left w:val="single" w:sz="8" w:color="auto"/>
            </w:tcBorders>
          </w:tcPr>
          <w:p>
            <w:pPr>
              <w:spacing w:after="0"/>
              <w:rPr>
                <w:sz w:val="24"/>
                <w:szCs w:val="24"/>
                <w:color w:val="auto"/>
              </w:rPr>
            </w:pPr>
          </w:p>
        </w:tc>
        <w:tc>
          <w:tcPr>
            <w:tcW w:w="8340" w:type="dxa"/>
            <w:vAlign w:val="bottom"/>
            <w:tcBorders>
              <w:top w:val="single" w:sz="8" w:color="auto"/>
              <w:right w:val="single" w:sz="8" w:color="auto"/>
            </w:tcBorders>
            <w:gridSpan w:val="2"/>
          </w:tcPr>
          <w:p>
            <w:pPr>
              <w:ind w:left="1280"/>
              <w:spacing w:after="0"/>
              <w:rPr>
                <w:sz w:val="20"/>
                <w:szCs w:val="20"/>
                <w:color w:val="auto"/>
              </w:rPr>
            </w:pPr>
            <w:r>
              <w:rPr>
                <w:rFonts w:ascii="Arial" w:cs="Arial" w:eastAsia="Arial" w:hAnsi="Arial"/>
                <w:sz w:val="18"/>
                <w:szCs w:val="18"/>
                <w:color w:val="auto"/>
                <w:w w:val="90"/>
              </w:rPr>
              <w:t>feature. The second part will be determined and payable in arrears as of the end of each calendar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6"/>
              </w:rPr>
              <w:t>year (or upon termination of the investment advisory and management agreement, as of the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3"/>
              </w:rPr>
              <w:t>termination date) and will equal our realized capital gains on a cumulative basis from inception</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1"/>
              </w:rPr>
              <w:t>through the end of each calendar year, computed net of all realized capital losses and unrealized</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w w:val="95"/>
              </w:rPr>
              <w:t>capital depreciation on a cumulative basis, less the aggregate amount of any previously paid</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280"/>
              <w:spacing w:after="0"/>
              <w:rPr>
                <w:sz w:val="20"/>
                <w:szCs w:val="20"/>
                <w:color w:val="auto"/>
              </w:rPr>
            </w:pPr>
            <w:r>
              <w:rPr>
                <w:rFonts w:ascii="Arial" w:cs="Arial" w:eastAsia="Arial" w:hAnsi="Arial"/>
                <w:sz w:val="18"/>
                <w:szCs w:val="18"/>
                <w:color w:val="auto"/>
              </w:rPr>
              <w:t>capital gain incentive fees. See “Management—Investment Management Agreement.”</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Administration Agreement</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7"/>
              </w:rPr>
              <w:t>We will reimburse PennantPark Administration for the allocable portion of overhead and other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expenses incurred by PennantPark Administration in performing its obligations under the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7"/>
              </w:rPr>
              <w:t>Administration Agreement, including furnishing us with office facilities, equipment and clerical,</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8"/>
              </w:rPr>
              <w:t>bookkeeping and record keeping services at such facilities, as well as providing us with other</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administrative services. To the extent that our administrator outsources any of its functions, we will</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1"/>
              </w:rPr>
              <w:t>pay the fees associated with such functions on a direct basis without profit to the administrator. See</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“Management—Administration Agreement.”</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0"/>
              </w:rPr>
              <w:t>We have entered into a license agreement with PennantPark Investment Advisers, which we refer to</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4"/>
              </w:rPr>
              <w:t>as the “License Agreement,” pursuant to which PennantPark Investment Advisers has agreed to</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grant us a non-exclusive license to use the name “PennantPark.” For a description of PennantPark</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5"/>
              </w:rPr>
              <w:t>Investment Advisers, PennantPark Administration and our contractual arrangements with these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companies, see “Management—Investment Management Agreement,” “—Administration</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Agreement” and “—License Agreement.”</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Our board of directors is divided into three classes of directors serving staggered three-year terms.</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5"/>
              </w:rPr>
              <w:t>This structure is intended to increase the likelihood of continuity of management, which may be</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0"/>
              </w:rPr>
              <w:t>necessary for us to realize the full value of our investments. A staggered board of directors also may</w:t>
            </w:r>
          </w:p>
        </w:tc>
      </w:tr>
      <w:tr>
        <w:trPr>
          <w:trHeight w:val="216"/>
        </w:trPr>
        <w:tc>
          <w:tcPr>
            <w:tcW w:w="3120" w:type="dxa"/>
            <w:vAlign w:val="bottom"/>
            <w:tcBorders>
              <w:left w:val="single" w:sz="8" w:color="auto"/>
            </w:tcBorders>
          </w:tcPr>
          <w:p>
            <w:pPr>
              <w:spacing w:after="0"/>
              <w:rPr>
                <w:sz w:val="18"/>
                <w:szCs w:val="18"/>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89"/>
              </w:rPr>
              <w:t>serve to deter hostile takeovers or proxy contests, as may certain other measures adopted by us. See</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“Description of Our Capital Stock.”</w:t>
            </w:r>
          </w:p>
        </w:tc>
      </w:tr>
      <w:tr>
        <w:trPr>
          <w:trHeight w:val="372"/>
        </w:trPr>
        <w:tc>
          <w:tcPr>
            <w:tcW w:w="3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1"/>
              </w:rPr>
              <w:t>The value of our assets, as well as the market price of our shares, will fluctuate. You may lose all or</w:t>
            </w:r>
          </w:p>
        </w:tc>
      </w:tr>
      <w:tr>
        <w:trPr>
          <w:trHeight w:val="222"/>
        </w:trPr>
        <w:tc>
          <w:tcPr>
            <w:tcW w:w="3120" w:type="dxa"/>
            <w:vAlign w:val="bottom"/>
            <w:tcBorders>
              <w:left w:val="single" w:sz="8" w:color="auto"/>
            </w:tcBorders>
          </w:tcPr>
          <w:p>
            <w:pPr>
              <w:spacing w:after="0"/>
              <w:rPr>
                <w:sz w:val="19"/>
                <w:szCs w:val="19"/>
                <w:color w:val="auto"/>
              </w:rPr>
            </w:pPr>
          </w:p>
        </w:tc>
        <w:tc>
          <w:tcPr>
            <w:tcW w:w="834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7"/>
              </w:rPr>
              <w:t>part of your investment. Investing in PennantPark involves other risks, including the following:</w:t>
            </w:r>
          </w:p>
        </w:tc>
      </w:tr>
      <w:tr>
        <w:trPr>
          <w:trHeight w:val="311"/>
        </w:trPr>
        <w:tc>
          <w:tcPr>
            <w:tcW w:w="3120" w:type="dxa"/>
            <w:vAlign w:val="bottom"/>
            <w:tcBorders>
              <w:left w:val="single" w:sz="8" w:color="auto"/>
            </w:tcBorders>
          </w:tcPr>
          <w:p>
            <w:pPr>
              <w:spacing w:after="0"/>
              <w:rPr>
                <w:sz w:val="24"/>
                <w:szCs w:val="24"/>
                <w:color w:val="auto"/>
              </w:rPr>
            </w:pPr>
          </w:p>
        </w:tc>
        <w:tc>
          <w:tcPr>
            <w:tcW w:w="1820" w:type="dxa"/>
            <w:vAlign w:val="bottom"/>
          </w:tcPr>
          <w:p>
            <w:pPr>
              <w:ind w:left="150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are a new company with a limited operating history.</w:t>
            </w:r>
          </w:p>
        </w:tc>
      </w:tr>
      <w:tr>
        <w:trPr>
          <w:trHeight w:val="291"/>
        </w:trPr>
        <w:tc>
          <w:tcPr>
            <w:tcW w:w="3120" w:type="dxa"/>
            <w:vAlign w:val="bottom"/>
            <w:tcBorders>
              <w:left w:val="single" w:sz="8" w:color="auto"/>
            </w:tcBorders>
          </w:tcPr>
          <w:p>
            <w:pPr>
              <w:spacing w:after="0"/>
              <w:rPr>
                <w:sz w:val="24"/>
                <w:szCs w:val="24"/>
                <w:color w:val="auto"/>
              </w:rPr>
            </w:pPr>
          </w:p>
        </w:tc>
        <w:tc>
          <w:tcPr>
            <w:tcW w:w="1820" w:type="dxa"/>
            <w:vAlign w:val="bottom"/>
          </w:tcPr>
          <w:p>
            <w:pPr>
              <w:ind w:left="150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We are dependent upon PennantPark Investment Advisers’ key personnel for our</w:t>
            </w:r>
          </w:p>
        </w:tc>
      </w:tr>
      <w:tr>
        <w:trPr>
          <w:trHeight w:val="216"/>
        </w:trPr>
        <w:tc>
          <w:tcPr>
            <w:tcW w:w="3120" w:type="dxa"/>
            <w:vAlign w:val="bottom"/>
            <w:tcBorders>
              <w:lef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future success, and if we are unable to hire and retain qualified personnel or if we lose</w:t>
            </w:r>
          </w:p>
        </w:tc>
      </w:tr>
      <w:tr>
        <w:trPr>
          <w:trHeight w:val="216"/>
        </w:trPr>
        <w:tc>
          <w:tcPr>
            <w:tcW w:w="3120" w:type="dxa"/>
            <w:vAlign w:val="bottom"/>
            <w:tcBorders>
              <w:left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any member of our management team, our ability to achieve our investment objective</w:t>
            </w:r>
          </w:p>
        </w:tc>
      </w:tr>
      <w:tr>
        <w:trPr>
          <w:trHeight w:val="222"/>
        </w:trPr>
        <w:tc>
          <w:tcPr>
            <w:tcW w:w="3120" w:type="dxa"/>
            <w:vAlign w:val="bottom"/>
            <w:tcBorders>
              <w:left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could be significantly harmed.</w:t>
            </w:r>
          </w:p>
        </w:tc>
      </w:tr>
      <w:tr>
        <w:trPr>
          <w:trHeight w:val="297"/>
        </w:trPr>
        <w:tc>
          <w:tcPr>
            <w:tcW w:w="3120" w:type="dxa"/>
            <w:vAlign w:val="bottom"/>
            <w:tcBorders>
              <w:left w:val="single" w:sz="8" w:color="auto"/>
            </w:tcBorders>
          </w:tcPr>
          <w:p>
            <w:pPr>
              <w:spacing w:after="0"/>
              <w:rPr>
                <w:sz w:val="24"/>
                <w:szCs w:val="24"/>
                <w:color w:val="auto"/>
              </w:rPr>
            </w:pPr>
          </w:p>
        </w:tc>
        <w:tc>
          <w:tcPr>
            <w:tcW w:w="1820" w:type="dxa"/>
            <w:vAlign w:val="bottom"/>
          </w:tcPr>
          <w:p>
            <w:pPr>
              <w:ind w:left="150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operate in a highly competitive market for investment opportunities.</w:t>
            </w:r>
          </w:p>
        </w:tc>
      </w:tr>
      <w:tr>
        <w:trPr>
          <w:trHeight w:val="161"/>
        </w:trPr>
        <w:tc>
          <w:tcPr>
            <w:tcW w:w="3120" w:type="dxa"/>
            <w:vAlign w:val="bottom"/>
            <w:tcBorders>
              <w:left w:val="single" w:sz="8" w:color="auto"/>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6520" w:type="dxa"/>
            <w:vAlign w:val="bottom"/>
            <w:tcBorders>
              <w:bottom w:val="single" w:sz="8" w:color="auto"/>
              <w:right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520" w:type="dxa"/>
            <w:vAlign w:val="bottom"/>
          </w:tcPr>
          <w:p>
            <w:pPr>
              <w:ind w:left="7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335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33514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intend to elect to be treated as a RIC, and we will be subject to corporate-level income tax if we are unable to qualify as a RIC.</w:t>
      </w:r>
    </w:p>
    <w:p>
      <w:pPr>
        <w:spacing w:after="0" w:line="51"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 are a non-diversified fund.</w:t>
      </w:r>
    </w:p>
    <w:p>
      <w:pPr>
        <w:spacing w:after="0" w:line="124"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lack of liquidity in our investments may adversely affect our business.</w:t>
      </w:r>
    </w:p>
    <w:p>
      <w:pPr>
        <w:spacing w:after="0" w:line="113"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Investing in our shares may involve an above average degree of risk.</w:t>
      </w:r>
    </w:p>
    <w:p>
      <w:pPr>
        <w:spacing w:after="0" w:line="124"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ind w:right="100"/>
        <w:spacing w:after="0" w:line="306" w:lineRule="auto"/>
        <w:rPr>
          <w:sz w:val="20"/>
          <w:szCs w:val="20"/>
          <w:color w:val="auto"/>
        </w:rPr>
      </w:pPr>
      <w:r>
        <w:rPr>
          <w:rFonts w:ascii="Arial" w:cs="Arial" w:eastAsia="Arial" w:hAnsi="Arial"/>
          <w:sz w:val="16"/>
          <w:szCs w:val="16"/>
          <w:color w:val="auto"/>
        </w:rPr>
        <w:t>Since we intend to use debt to finance our investments prior to the completion of this offering and we may obtain additional debt financing subsequent to this offering, changes in interest rates may affect our cost of capital and net investment income.</w:t>
      </w:r>
    </w:p>
    <w:p>
      <w:pPr>
        <w:spacing w:after="0" w:line="26"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We will need to raise additional capital to grow because we must distribute most of our income.</w:t>
      </w:r>
    </w:p>
    <w:p>
      <w:pPr>
        <w:spacing w:after="0" w:line="51"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620"/>
        <w:spacing w:after="0"/>
        <w:rPr>
          <w:sz w:val="20"/>
          <w:szCs w:val="20"/>
          <w:color w:val="auto"/>
        </w:rPr>
      </w:pPr>
      <w:r>
        <w:rPr>
          <w:rFonts w:ascii="Arial" w:cs="Arial" w:eastAsia="Arial" w:hAnsi="Arial"/>
          <w:sz w:val="16"/>
          <w:szCs w:val="16"/>
          <w:color w:val="auto"/>
        </w:rPr>
        <w:t>Ÿ</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and we cannot assure you that the market price of our shares will not decline following the offering.</w:t>
      </w:r>
    </w:p>
    <w:p>
      <w:pPr>
        <w:spacing w:after="0" w:line="59" w:lineRule="exact"/>
        <w:rPr>
          <w:sz w:val="20"/>
          <w:szCs w:val="20"/>
          <w:color w:val="auto"/>
        </w:rPr>
      </w:pPr>
    </w:p>
    <w:p>
      <w:pPr>
        <w:sectPr>
          <w:pgSz w:w="11900" w:h="16838" w:orient="portrait"/>
          <w:cols w:equalWidth="0" w:num="2">
            <w:col w:w="4740" w:space="420"/>
            <w:col w:w="6060"/>
          </w:cols>
          <w:pgMar w:left="240" w:top="459" w:right="439" w:bottom="1440" w:gutter="0" w:footer="0" w:header="0"/>
          <w:type w:val="continuous"/>
        </w:sectPr>
      </w:pPr>
    </w:p>
    <w:p>
      <w:pPr>
        <w:ind w:left="4180" w:right="100"/>
        <w:spacing w:after="0" w:line="268" w:lineRule="auto"/>
        <w:rPr>
          <w:sz w:val="20"/>
          <w:szCs w:val="20"/>
          <w:color w:val="auto"/>
        </w:rPr>
      </w:pPr>
      <w:r>
        <w:rPr>
          <w:rFonts w:ascii="Arial" w:cs="Arial" w:eastAsia="Arial" w:hAnsi="Arial"/>
          <w:sz w:val="18"/>
          <w:szCs w:val="18"/>
          <w:color w:val="auto"/>
        </w:rPr>
        <w:t>See “Risk Factors” beginning on page 12 for more information on these and other risks you should carefully consider before deciding to invest in shares of our common stock.</w:t>
      </w:r>
    </w:p>
    <w:p>
      <w:pPr>
        <w:sectPr>
          <w:pgSz w:w="11900" w:h="16838" w:orient="portrait"/>
          <w:cols w:equalWidth="0" w:num="1">
            <w:col w:w="11220"/>
          </w:cols>
          <w:pgMar w:left="240" w:top="459" w:right="439" w:bottom="1440" w:gutter="0" w:footer="0" w:header="0"/>
          <w:type w:val="continuous"/>
        </w:sectPr>
      </w:pP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Available information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color w:val="auto"/>
        </w:rPr>
        <w:t>We have filed with the SEC a registration statement on Form N-2 under the Securities Act of 1933, as amended, or the “Securities Act,” which contains additional information about us and the shares</w:t>
      </w:r>
    </w:p>
    <w:p>
      <w:pPr>
        <w:spacing w:after="0" w:line="1" w:lineRule="exact"/>
        <w:rPr>
          <w:sz w:val="20"/>
          <w:szCs w:val="20"/>
          <w:color w:val="auto"/>
        </w:rPr>
      </w:pPr>
    </w:p>
    <w:p>
      <w:pPr>
        <w:sectPr>
          <w:pgSz w:w="11900" w:h="16838" w:orient="portrait"/>
          <w:cols w:equalWidth="0" w:num="2">
            <w:col w:w="3460" w:space="720"/>
            <w:col w:w="7040"/>
          </w:cols>
          <w:pgMar w:left="240" w:top="459" w:right="439" w:bottom="1440" w:gutter="0" w:footer="0" w:header="0"/>
          <w:type w:val="continuous"/>
        </w:sectPr>
      </w:pPr>
    </w:p>
    <w:p>
      <w:pPr>
        <w:ind w:left="4180"/>
        <w:spacing w:after="0" w:line="295" w:lineRule="auto"/>
        <w:rPr>
          <w:sz w:val="20"/>
          <w:szCs w:val="20"/>
          <w:color w:val="auto"/>
        </w:rPr>
      </w:pPr>
      <w:r>
        <w:rPr>
          <w:rFonts w:ascii="Arial" w:cs="Arial" w:eastAsia="Arial" w:hAnsi="Arial"/>
          <w:sz w:val="16"/>
          <w:szCs w:val="16"/>
          <w:color w:val="auto"/>
        </w:rPr>
        <w:t xml:space="preserve">of our common stock being offered by this prospectus. After completion of this offering, we will be required to file periodic reports, proxy statements and other information with the Securities and Exchange Commission, or the SEC. This information will be available at the SEC’s public reference room in Washington, D.C. and on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48" w:lineRule="exact"/>
        <w:rPr>
          <w:sz w:val="20"/>
          <w:szCs w:val="20"/>
          <w:color w:val="auto"/>
        </w:rPr>
      </w:pPr>
    </w:p>
    <w:p>
      <w:pPr>
        <w:ind w:left="4180"/>
        <w:spacing w:after="0" w:line="255"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http://www.pennantpark.com</w:t>
      </w:r>
      <w:r>
        <w:rPr>
          <w:rFonts w:ascii="Arial" w:cs="Arial" w:eastAsia="Arial" w:hAnsi="Arial"/>
          <w:sz w:val="18"/>
          <w:szCs w:val="18"/>
          <w:color w:val="auto"/>
        </w:rPr>
        <w:t xml:space="preserve"> and intend to make all of our annual, quarterly and current reports, proxy statements and other information available, free of charge, on or through our website. You may also obtain such information by contacting us, in writing at: 445 Park Avenue, 10th Floor, New York, New York 10022, Attn: Chief Financial Officer, or by telephone at (212) 307-3280.</w:t>
      </w: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“us” or “PennantPark,” or that “we” will pay fees or expenses, stockholders will indirectly bear such fees or expenses as investors in PennantPark.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None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 transaction expenses (as a percentage of offering price)</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Incentive fees payable under Investment Management Agreement (20% of realized capital gains and 20% of Pre-Incentive Fee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0.00%(5)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Interest accrued on borrowed funds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0.13  (6)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Other expenses</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None  (8)</w:t>
            </w:r>
          </w:p>
        </w:tc>
        <w:tc>
          <w:tcPr>
            <w:tcW w:w="0" w:type="dxa"/>
            <w:vAlign w:val="bottom"/>
          </w:tcPr>
          <w:p>
            <w:pPr>
              <w:spacing w:after="0"/>
              <w:rPr>
                <w:sz w:val="1"/>
                <w:szCs w:val="1"/>
                <w:color w:val="auto"/>
              </w:rPr>
            </w:pPr>
          </w:p>
        </w:tc>
      </w:tr>
      <w:tr>
        <w:trPr>
          <w:trHeight w:val="20"/>
        </w:trPr>
        <w:tc>
          <w:tcPr>
            <w:tcW w:w="10460" w:type="dxa"/>
            <w:vAlign w:val="bottom"/>
            <w:gridSpan w:val="2"/>
            <w:vMerge w:val="restart"/>
          </w:tcPr>
          <w:p>
            <w:pPr>
              <w:spacing w:after="0"/>
              <w:rPr>
                <w:sz w:val="20"/>
                <w:szCs w:val="20"/>
                <w:color w:val="auto"/>
              </w:rPr>
            </w:pPr>
            <w:r>
              <w:rPr>
                <w:rFonts w:ascii="Arial" w:cs="Arial" w:eastAsia="Arial" w:hAnsi="Arial"/>
                <w:sz w:val="18"/>
                <w:szCs w:val="18"/>
                <w:color w:val="auto"/>
              </w:rPr>
              <w:t>Total annual expenses (estimated)</w:t>
            </w: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460" w:type="dxa"/>
            <w:vAlign w:val="bottom"/>
            <w:gridSpan w:val="2"/>
            <w:vMerge w:val="continue"/>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90"/>
              </w:rPr>
              <w:t>3.17%(4)(7)</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indebtedness and that our annual operating expenses remain at the levels set forth in the table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3 years</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10 years</w:t>
            </w:r>
          </w:p>
        </w:tc>
        <w:tc>
          <w:tcPr>
            <w:tcW w:w="2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You would pay the following expenses on a $1,000 investment, assuming a 5% annual return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20" w:type="dxa"/>
            <w:vAlign w:val="bottom"/>
          </w:tcPr>
          <w:p>
            <w:pPr>
              <w:spacing w:after="0"/>
              <w:rPr>
                <w:sz w:val="18"/>
                <w:szCs w:val="18"/>
                <w:color w:val="auto"/>
              </w:rPr>
            </w:pPr>
          </w:p>
        </w:tc>
      </w:tr>
    </w:tbl>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the example assumes inclusion of the sales load of $65 in the first year and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additional information regarding our dividend reinvestment plan.</w:t>
      </w:r>
    </w:p>
    <w:p>
      <w:pPr>
        <w:spacing w:after="0" w:line="8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This example should not be considered a representation of our future expenses, and actual expenses (including the cost of debt, if any, and other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underwriting discount and commission with respect to shares sold in this offering, which is a one-time fee, is the only sales load paid in connection with this offering.</w:t>
      </w:r>
    </w:p>
    <w:p>
      <w:pPr>
        <w:ind w:left="340" w:hanging="332"/>
        <w:spacing w:after="0" w:line="22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$900,000.</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expenses of the dividend reinvestment plan are included in “other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57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48577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20" w:right="140" w:hanging="323"/>
        <w:spacing w:after="0" w:line="268" w:lineRule="auto"/>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management fee under the Investment Management Agreement is based on our gross assets. Although the base management fee will be 2.00 percent of our gross assets, the investment adviser has agreed to waive a portion of the base management fee such that the base management fee will equal 1.50 percent from the consummation of this offering through September 30, 2007,</w:t>
      </w:r>
    </w:p>
    <w:p>
      <w:pPr>
        <w:ind w:left="520"/>
        <w:spacing w:after="0"/>
        <w:rPr>
          <w:rFonts w:ascii="Arial" w:cs="Arial" w:eastAsia="Arial" w:hAnsi="Arial"/>
          <w:sz w:val="12"/>
          <w:szCs w:val="12"/>
          <w:color w:val="auto"/>
        </w:rPr>
      </w:pPr>
      <w:r>
        <w:rPr>
          <w:rFonts w:ascii="Arial" w:cs="Arial" w:eastAsia="Arial" w:hAnsi="Arial"/>
          <w:sz w:val="14"/>
          <w:szCs w:val="14"/>
          <w:color w:val="auto"/>
        </w:rPr>
        <w:t>1.75 percent from October 1, 2007 through March 31, 2008, and 2.00 percent thereafter. See “Management—Investment management agreement” and footnote 5 below.</w:t>
      </w:r>
    </w:p>
    <w:p>
      <w:pPr>
        <w:spacing w:after="0" w:line="56" w:lineRule="exact"/>
        <w:rPr>
          <w:rFonts w:ascii="Arial" w:cs="Arial" w:eastAsia="Arial" w:hAnsi="Arial"/>
          <w:sz w:val="12"/>
          <w:szCs w:val="12"/>
          <w:color w:val="auto"/>
        </w:rPr>
      </w:pPr>
    </w:p>
    <w:p>
      <w:pPr>
        <w:ind w:left="520" w:right="60" w:hanging="323"/>
        <w:spacing w:after="0" w:line="270" w:lineRule="auto"/>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our current business plan, we anticipate that a substantial portion of the net proceeds of this offering will be invested within 12 to 18 months, and all of the net proceeds will be invested within two years, in accordance with our investment objective. We expect that it will take more than three months to invest all of the proceeds of this offering, in part because privately negotiated investments in illiquid securities or private middle-market companies require substantial due diligence and structuring. During this period, we expect that we will not have any capital gains and only an insignificant amount of interest income that will not exceed the quarterly Hurdle discussed below. As a result, we do not anticipate paying any incentive fees in the first year after the completion of this offering. Once fully invested, we expect the incentive fees we pay to increase to the extent we earn greater interest income through our investments in portfolio companies and, to a lesser extent, realize capital gains upon the sale of equity investments in our portfolio companies. The incentive fee consists of two parts:</w:t>
      </w:r>
    </w:p>
    <w:p>
      <w:pPr>
        <w:spacing w:after="0" w:line="40" w:lineRule="exact"/>
        <w:rPr>
          <w:rFonts w:ascii="Arial" w:cs="Arial" w:eastAsia="Arial" w:hAnsi="Arial"/>
          <w:sz w:val="12"/>
          <w:szCs w:val="12"/>
          <w:color w:val="auto"/>
        </w:rPr>
      </w:pPr>
    </w:p>
    <w:p>
      <w:pPr>
        <w:ind w:left="520" w:right="20"/>
        <w:spacing w:after="0" w:line="288" w:lineRule="auto"/>
        <w:rPr>
          <w:rFonts w:ascii="Arial" w:cs="Arial" w:eastAsia="Arial" w:hAnsi="Arial"/>
          <w:sz w:val="12"/>
          <w:szCs w:val="12"/>
          <w:color w:val="auto"/>
        </w:rPr>
      </w:pPr>
      <w:r>
        <w:rPr>
          <w:rFonts w:ascii="Arial" w:cs="Arial" w:eastAsia="Arial" w:hAnsi="Arial"/>
          <w:sz w:val="12"/>
          <w:szCs w:val="12"/>
          <w:color w:val="auto"/>
        </w:rPr>
        <w:t>The first part, which is payable quarterly in arrears, will equal 20% of the excess, if any, of our “Pre-Incentive Fee Net Investment Income” that exceeds a 1.75% quarterly (7.00% annualized) hurdle rate (the “Hurdle”), subject to a “catch-up” provision measured at the end of each calendar quarter. The first part of the incentive fee will be computed and paid on income that may include interest that is accrued but not yet received in cash. The operation of the first part of the incentive fee for each quarter is as follows:</w:t>
      </w:r>
    </w:p>
    <w:p>
      <w:pPr>
        <w:spacing w:after="0" w:line="29" w:lineRule="exact"/>
        <w:rPr>
          <w:rFonts w:ascii="Arial" w:cs="Arial" w:eastAsia="Arial" w:hAnsi="Arial"/>
          <w:sz w:val="12"/>
          <w:szCs w:val="12"/>
          <w:color w:val="auto"/>
        </w:rPr>
      </w:pPr>
    </w:p>
    <w:p>
      <w:pPr>
        <w:ind w:left="960" w:hanging="439"/>
        <w:spacing w:after="0"/>
        <w:tabs>
          <w:tab w:leader="none" w:pos="960" w:val="left"/>
        </w:tabs>
        <w:numPr>
          <w:ilvl w:val="1"/>
          <w:numId w:val="6"/>
        </w:numPr>
        <w:rPr>
          <w:rFonts w:ascii="Arial" w:cs="Arial" w:eastAsia="Arial" w:hAnsi="Arial"/>
          <w:sz w:val="12"/>
          <w:szCs w:val="12"/>
          <w:color w:val="auto"/>
        </w:rPr>
      </w:pPr>
      <w:r>
        <w:rPr>
          <w:rFonts w:ascii="Arial" w:cs="Arial" w:eastAsia="Arial" w:hAnsi="Arial"/>
          <w:sz w:val="12"/>
          <w:szCs w:val="12"/>
          <w:color w:val="auto"/>
        </w:rPr>
        <w:t>no incentive fee is payable to our investment adviser in any calendar quarter in which our Pre-Incentive Fee Net Investment Income does not exceed the Hurdle of 1.75%;</w:t>
      </w:r>
    </w:p>
    <w:p>
      <w:pPr>
        <w:spacing w:after="0" w:line="22" w:lineRule="exact"/>
        <w:rPr>
          <w:rFonts w:ascii="Arial" w:cs="Arial" w:eastAsia="Arial" w:hAnsi="Arial"/>
          <w:sz w:val="12"/>
          <w:szCs w:val="12"/>
          <w:color w:val="auto"/>
        </w:rPr>
      </w:pPr>
    </w:p>
    <w:p>
      <w:pPr>
        <w:ind w:left="960" w:right="60" w:hanging="439"/>
        <w:spacing w:after="0" w:line="258" w:lineRule="auto"/>
        <w:tabs>
          <w:tab w:leader="none" w:pos="960" w:val="left"/>
        </w:tabs>
        <w:numPr>
          <w:ilvl w:val="1"/>
          <w:numId w:val="6"/>
        </w:numPr>
        <w:rPr>
          <w:rFonts w:ascii="Arial" w:cs="Arial" w:eastAsia="Arial" w:hAnsi="Arial"/>
          <w:sz w:val="12"/>
          <w:szCs w:val="12"/>
          <w:color w:val="auto"/>
        </w:rPr>
      </w:pPr>
      <w:r>
        <w:rPr>
          <w:rFonts w:ascii="Arial" w:cs="Arial" w:eastAsia="Arial" w:hAnsi="Arial"/>
          <w:sz w:val="12"/>
          <w:szCs w:val="12"/>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our investment adviser with 20% of our Pre-Incentive Fee Net Investment Income, as if a Hurdle did not apply when our Pre-Incentive Fee Net Investment Income exceeds 2.1875% in any calendar quarter; and</w:t>
      </w:r>
    </w:p>
    <w:p>
      <w:pPr>
        <w:ind w:left="960" w:right="100" w:hanging="439"/>
        <w:spacing w:after="0" w:line="297" w:lineRule="auto"/>
        <w:tabs>
          <w:tab w:leader="none" w:pos="960" w:val="left"/>
        </w:tabs>
        <w:numPr>
          <w:ilvl w:val="1"/>
          <w:numId w:val="6"/>
        </w:numPr>
        <w:rPr>
          <w:rFonts w:ascii="Arial" w:cs="Arial" w:eastAsia="Arial" w:hAnsi="Arial"/>
          <w:sz w:val="12"/>
          <w:szCs w:val="12"/>
          <w:color w:val="auto"/>
        </w:rPr>
      </w:pPr>
      <w:r>
        <w:rPr>
          <w:rFonts w:ascii="Arial" w:cs="Arial" w:eastAsia="Arial" w:hAnsi="Arial"/>
          <w:sz w:val="12"/>
          <w:szCs w:val="12"/>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25" w:lineRule="exact"/>
        <w:rPr>
          <w:sz w:val="20"/>
          <w:szCs w:val="20"/>
          <w:color w:val="auto"/>
        </w:rPr>
      </w:pPr>
    </w:p>
    <w:p>
      <w:pPr>
        <w:ind w:left="520" w:right="80"/>
        <w:spacing w:after="0" w:line="278" w:lineRule="auto"/>
        <w:rPr>
          <w:sz w:val="20"/>
          <w:szCs w:val="20"/>
          <w:color w:val="auto"/>
        </w:rPr>
      </w:pPr>
      <w:r>
        <w:rPr>
          <w:rFonts w:ascii="Arial" w:cs="Arial" w:eastAsia="Arial" w:hAnsi="Arial"/>
          <w:sz w:val="12"/>
          <w:szCs w:val="12"/>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unrealized capital depreciation on a cumulative basis, less the aggregate amount of any previously paid capital gain incentive fees. The second part of the incentive fee will be payable, in arrears, at the end of each calendar year (or upon termination of the investment advisory and management agreement, as of the termination date), commencing with the year ending December 31, 2007. For a more detailed discussion of the calculation of this fee, see “Management–Investment Management Agreement.”</w:t>
      </w:r>
    </w:p>
    <w:p>
      <w:pPr>
        <w:spacing w:after="0" w:line="36" w:lineRule="exact"/>
        <w:rPr>
          <w:sz w:val="20"/>
          <w:szCs w:val="20"/>
          <w:color w:val="auto"/>
        </w:rPr>
      </w:pPr>
    </w:p>
    <w:p>
      <w:pPr>
        <w:ind w:left="520" w:right="20" w:hanging="323"/>
        <w:spacing w:after="0" w:line="266" w:lineRule="auto"/>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through our wholly owned subsidiary, Pennant SPV Company, LLC, have established a Credit Facility to fund portfolio investments prior to the consummation of this offering. From the date we entered into it through March 21, 2007, we accrued approximately $487,000 in interest expense under the Credit Facility. We anticipate repaying all of the debt incurred under the Credit Facility and terminating it upon the closing of this offering, and investors in this offering will not pay interest indirectly under the Credit Facility after we have repaid all amounts owing under it. We may also borrow funds to make investments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decided whether, and to what extent, we will finance portfolio investments using debt. After we repay the Credit Facility, we do not intend to borrow money to fund our investments until such time as we have invested substantially all of the proceeds of the offering. However, assuming we borrow for investment purposes an amount equal to 40% of our total assets (including such borrowed funds) and that the annual interest rate on the amount borrowed is 6.40%, our total annual expenses (estimated) on a gross basis would be as follows:</w:t>
      </w:r>
    </w:p>
    <w:p>
      <w:pPr>
        <w:spacing w:after="0" w:line="1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5"/>
              </w:rPr>
              <w:t>2.00%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0" w:type="dxa"/>
            <w:vAlign w:val="bottom"/>
          </w:tcPr>
          <w:p>
            <w:pPr>
              <w:spacing w:after="0" w:line="138" w:lineRule="exact"/>
              <w:rPr>
                <w:sz w:val="20"/>
                <w:szCs w:val="20"/>
                <w:color w:val="auto"/>
              </w:rPr>
            </w:pPr>
            <w:r>
              <w:rPr>
                <w:rFonts w:ascii="Arial" w:cs="Arial" w:eastAsia="Arial" w:hAnsi="Arial"/>
                <w:sz w:val="14"/>
                <w:szCs w:val="14"/>
                <w:color w:val="auto"/>
                <w:w w:val="93"/>
              </w:rPr>
              <w:t>Incentive fees payable under investment advisory and management agreement (20% of realized capital gains and 20% of Pre-Incentive Fee Net Investment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0" w:type="dxa"/>
            <w:vAlign w:val="bottom"/>
          </w:tcPr>
          <w:p>
            <w:pPr>
              <w:ind w:left="180"/>
              <w:spacing w:after="0" w:line="159" w:lineRule="exact"/>
              <w:rPr>
                <w:sz w:val="20"/>
                <w:szCs w:val="20"/>
                <w:color w:val="auto"/>
              </w:rPr>
            </w:pPr>
            <w:r>
              <w:rPr>
                <w:rFonts w:ascii="Arial" w:cs="Arial" w:eastAsia="Arial" w:hAnsi="Arial"/>
                <w:sz w:val="14"/>
                <w:szCs w:val="14"/>
                <w:color w:val="auto"/>
              </w:rPr>
              <w:t>Income)</w:t>
            </w:r>
          </w:p>
        </w:tc>
        <w:tc>
          <w:tcPr>
            <w:tcW w:w="3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85"/>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0.59%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annual expenses (estimated)</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520" w:right="240" w:hanging="323"/>
        <w:spacing w:after="0" w:line="233"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estimated organizational expenses of $218,000 (which are non-recurring) and our overhead expenses, including payments under the Administration Agreement, based on our projected allocable portion of overhead and other expenses incurred by PennantPark Administration in performing its obligations under the Administration Agreement. See “Management—Administration Agreement.”</w:t>
      </w:r>
    </w:p>
    <w:p>
      <w:pPr>
        <w:spacing w:after="0" w:line="57" w:lineRule="exact"/>
        <w:rPr>
          <w:rFonts w:ascii="Arial" w:cs="Arial" w:eastAsia="Arial" w:hAnsi="Arial"/>
          <w:sz w:val="14"/>
          <w:szCs w:val="14"/>
          <w:color w:val="auto"/>
        </w:rPr>
      </w:pPr>
    </w:p>
    <w:p>
      <w:pPr>
        <w:ind w:left="520" w:hanging="323"/>
        <w:spacing w:after="0" w:line="278"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have no current intention to invest in the securities or other investment instruments of investment companies, other than our wholly owned subsidiary, Pennant SPV Company, LLC. However, we are permitted to make such investments in limited circumstances under the 1940 Act. If we were to make such investments, we would incur fees and our shareholders would pay two levels of fees. As we have no current expectation of making any such investments, any estimate of the amount of such fees would be highly speculative. Our wholly owned subsidiary, Pennant SPV Company, LLC, which holds investments acquired prior to the closing of this offering, is technically an investment company; however, this subsidiary will charge no additional fees.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5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 and that the value of your investment could decline substantially. Although we have used, and will continue to use, the proceeds of the Credit Facility to acquire portfolio investments prior to consummation of this offering, we anticipate that it will take us up to 12 to 18 months to invest a substantial portion of the net proceeds of this offering, and up to two years to invest all of the net proceeds in accordance with our investment objective. We expect that it will take more than three months to invest all of the proceeds of this offering, in part because privately negotiated investments in illiquid securities or private middle-market companies require substantial due diligence and structuring. During this period, we will invest the net proceeds of this offering remaining after repayment of the Credit Facility in short-term investments, such as cash and cash equivalents. We expect we will earn yields substantially lower than the interest income that we anticipate receiving in respect of investments in mezzanine loans, senior secured loans and equity securities. As a result, any distributions we make during this period may be substantially lower than the distributions that we expect to pay when our portfolio is fully invested.</w:t>
      </w:r>
    </w:p>
    <w:p>
      <w:pPr>
        <w:spacing w:after="0" w:line="168" w:lineRule="exact"/>
        <w:rPr>
          <w:sz w:val="20"/>
          <w:szCs w:val="20"/>
          <w:color w:val="auto"/>
        </w:rPr>
      </w:pPr>
    </w:p>
    <w:p>
      <w:pPr>
        <w:ind w:right="540"/>
        <w:spacing w:after="0" w:line="361" w:lineRule="auto"/>
        <w:rPr>
          <w:sz w:val="20"/>
          <w:szCs w:val="20"/>
          <w:color w:val="auto"/>
        </w:rPr>
      </w:pPr>
      <w:r>
        <w:rPr>
          <w:rFonts w:ascii="Arial" w:cs="Arial" w:eastAsia="Arial" w:hAnsi="Arial"/>
          <w:sz w:val="15"/>
          <w:szCs w:val="15"/>
          <w:b w:val="1"/>
          <w:bCs w:val="1"/>
          <w:color w:val="auto"/>
        </w:rPr>
        <w:t>We are dependent upon PennantPark Investment Advisers’ key personnel for our future success, and if we are unable to hire and retain qualified personnel or if we lose any member of our management team, our ability to achieve our investment objective could be significantly harmed.</w:t>
      </w:r>
    </w:p>
    <w:p>
      <w:pPr>
        <w:ind w:right="80" w:firstLine="456"/>
        <w:spacing w:after="0" w:line="314" w:lineRule="auto"/>
        <w:rPr>
          <w:sz w:val="20"/>
          <w:szCs w:val="20"/>
          <w:color w:val="auto"/>
        </w:rPr>
      </w:pPr>
      <w:r>
        <w:rPr>
          <w:rFonts w:ascii="Arial" w:cs="Arial" w:eastAsia="Arial" w:hAnsi="Arial"/>
          <w:sz w:val="15"/>
          <w:szCs w:val="15"/>
          <w:color w:val="auto"/>
        </w:rPr>
        <w:t>We will depend on the diligence, skill and network of business contacts of the investment professionals of PennantPark Investment Advisers. We will also depend, to a significant extent, on PennantPark Investment Advisers’ access to the investment information and deal flow generated by these investment professionals and any others that may be hired by our investment adviser. Mr. Penn and other managers of PennantPark Investment Advisers will evaluate, negotiate, structure, close and monitor our investments. Our future success will depend on the continued service of Mr. Penn and other management personnel of PennantPark Investment Advisers. The departure of Mr. Penn or any other managers of PennantPark Investment Advisers could have a material adverse effect on our ability to achieve our investment objective. In addition, we can offer no assurance that PennantPark Investment Advisers will remain our investment adviser.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efforts of a limited management team.</w:t>
      </w:r>
    </w:p>
    <w:p>
      <w:pPr>
        <w:spacing w:after="0" w:line="9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At this time, our operations depend upon the efforts, knowledge and expertise of our management team and that of our investment adviser, including Messrs. Penn, Chang, Efrat, Giannetti and Williams. Our investment adviser intends to expand its management team to a total of seven to ten investment professionals within the first 12 months after completion of this offering. We also expect to hire a chief compliance officer promptly after completion of this offering. However, it is our investment adviser’s intention to maintain a relatively small management team. We anticipate that this team will operate without the financial and other resources and commitments typically associated with large institutional investment firms. We cannot assure you that the additional professionals our investment adviser may retain will have the expertise or experience of Mr. Penn and the other investment professionals of the investment adviser. We also cannot assure you that unforeseen business, medical, personal or other circumstances will not lead Mr. Penn or any of the other investment professionals hired by our investment adviser to terminate his or her employment with us. The loss of investment professionals of our investment adviser, if any, would be detrimental to our ability to achieve our business objectives and could have a material adverse affect on our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its management will have limited experience managing a business development company.</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The 1940 Act imposes numerous constraints on the operations of business development companies. For example, business development companies are required to invest at least 70% of their total assets primarily in securities of private or thinly traded U.S. public companies, cash, cash equivalents, U.S. government securities and other high quality debt investments that mature in one year or less. These constraints may hinder our investment adviser’s ability to take advantage of attractive investment opportunities and to achieve our investment objective. While Mr. Penn, our Chief Executive Officer and the Managing Member of our investment adviser, has approximately two and one-half years of experience managing the investments of another business development company, such experience may not translate directly into his roles acting on our behalf. This is also true of the other investment professionals of our investment adviser. In addition, the investment philosophy and techniques used by PennantPark Investment Advisers may differ from those other funds. Accordingly, we can offer no assurance that PennantPark will replicate the historical performance of other investment companies with which Mr. Penn or our other investment professionals has been affiliated, and we caution you that our investment returns could be substantially lower than the returns achieved by such other companies.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ability to achieve our investment objective will depend on our ability to grow, which will depend, in turn, on our investment adviser’s ability to identify, invest in and monitor companies that meet our investment criteria.</w:t>
      </w:r>
    </w:p>
    <w:p>
      <w:pPr>
        <w:spacing w:after="0" w:line="10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will have substantial responsibilities under the investment advisory and management agreement. In order to grow, we and our investment adviser will need to hire, train, supervise and manage new employees. However, we can offer no assurance that any such employees will contribute effectively to the work of the investment adviser, and caution you that they may also be called upon to provide managerial assistance to our portfolio companies as the principals of our administrator. Such demands on their time may distract them or slow our rate of investment. Any failure to manage our future growth effectively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will compete with us to make the types of investments that we plan to make in middle-market companies. We will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 market companies. As a result of these new entrants, competition for investment opportunities at middle-market companies has intensified, and we expect the trend to continue. Many of our potential competitors are substantially larger and have considerably greater financial, technical and marketing resources than we do. For example, some competitors may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assure you that the competitive pressures we face will not have a material adverse effect on our business, financial condition and results of operations. Also, as a result of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competition, we may not be able to take advantage of attractive investment opportunities from time to time, and we can offer no assurance that we will be able to identify and make investments that are consistent with our investment objective.</w:t>
      </w:r>
    </w:p>
    <w:p>
      <w:pPr>
        <w:spacing w:after="0" w:line="10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intend to elect to be treated as a RIC. Once we have elected RIC-status, we will not be subject to corporate-level income tax unless we are unable to qualify as a RIC or fail to satisfy distribution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qualify as a RIC under the Code and obtain RIC tax benefits, we must meet certain income source, asset diversification and annual distribution requirements. For a short period (less than one month after the closing of this offering), we may not be a RIC and may be subject to corporate-level income tax.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in the future, we may be subject to certain asset coverage ratio requirements under the 1940 Act and financial covenants under loan and credit agreements that could, under certain circumstances, restrict us from making distributions necessary to qualify for RIC tax benefits. If we are unable to obtain cash from other sources, we may fail to qualify for such benefits and, thus, may be subject to corporate-level income tax. To qualify as a RIC, we must also meet certain asset diversification requirements at the end of each calendar quarter. Failure to meet these tests may result in our having to dispose of certain investments quickly in order to prevent the loss of RIC status. Because we anticipate that most of our investments will be in the securities of relatively illiquid middle-market private companies, any such dispositions could be made at disadvantageous prices and may result in substantial losses. If we fail to qualify for RIC tax benefits for any reason and remain or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For federal income tax purposes, we will include in income certain amounts that we have not yet received in cash, such as original issue discount, which may arise if we receive warrants in connection with the making of a loan or possibly in other circumstances,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8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That part of the incentive fee payable by us that relates to our net investment income will be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1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certain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 benefits. Accordingly, we may have to sell some of our investments at times we would not consider advantageous, raise additional debt or equity capital or reduce new investment originations to meet these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distribution requirements. If we are not able to obtain cash from other sources, we may fail to qualify for RIC tax benefits and thus be subject to corporate level income tax. See “Material U.S. Federal Income Tax Considerations—Taxation as a RIC.”</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only in amounts such that our asset coverage, as defined in the 1940 Act, equals at least 200%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8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at a price below the current net asset value of the common stock, or sell warrants, options or rights to acquire such common stock, at a price below the current net asset value of the common stock. To do this, our board of directors must determine that such sale is in the best interests of PennantPark and our stockholders, and our stockholders must approve PennantPark’s policy and practice of making such sales. In any such case, the price at which our securities are to be issued and sold may not be less than a price which, in the determination of our board of directors, closely approximates the market value of such securities (less any distributing commission or discount).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issuing securities to raise capital as described above,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any such securitized pool of loans. An inability to successfully securitize our loan portfolio could limit our ability to grow our business, fully execute our business strategy and decrease our earnings, if any. Moreover, the successful securitization of our loan portfolio might expose us to losses as the residual loans in which we do not sell interests will tend to be those that are riskier and more apt to generate losses.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3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Since, in addition to entering into the Credit Facility, we may obtain additional debt financing subsequent to this offering, we are exposed to the typical risks associated with leverage.</w:t>
      </w:r>
    </w:p>
    <w:p>
      <w:pPr>
        <w:spacing w:after="0" w:line="45" w:lineRule="exact"/>
        <w:rPr>
          <w:sz w:val="20"/>
          <w:szCs w:val="20"/>
          <w:color w:val="auto"/>
        </w:rPr>
      </w:pPr>
    </w:p>
    <w:p>
      <w:pPr>
        <w:ind w:left="900" w:right="76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exposed to increased risk of loss by incurring debt to make investments. If we have outstanding debt, a decrease in the value of our investments has a greater negative impact on the value of our common stock than it would if we did not use debt.</w:t>
      </w:r>
    </w:p>
    <w:p>
      <w:pPr>
        <w:spacing w:after="0" w:line="4"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pay distributions is restricted when our asset coverage ratio is not at least 200%, and any amounts that we use to service our indebtedness is not available for distributions to our common stockholders.</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debt is governed by the terms of the Credit Facility, and any future debt will likely be governed by an indenture or other instrument containing covenants restricting our operating flexibility.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and indirectly our stockholders, bear the cost of issuing and servicing such debt.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in the future may have rights, preferences and privileges more favorable than those of our common stock.</w:t>
      </w:r>
    </w:p>
    <w:p>
      <w:pPr>
        <w:spacing w:after="0" w:line="10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the weighted average annual interest rate of 6.40%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w:t>
            </w: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0</w:t>
            </w:r>
          </w:p>
        </w:tc>
        <w:tc>
          <w:tcPr>
            <w:tcW w:w="100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93"/>
        </w:trPr>
        <w:tc>
          <w:tcPr>
            <w:tcW w:w="514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320" w:type="dxa"/>
            <w:vAlign w:val="bottom"/>
          </w:tcPr>
          <w:p>
            <w:pPr>
              <w:jc w:val="right"/>
              <w:ind w:right="192"/>
              <w:spacing w:after="0"/>
              <w:rPr>
                <w:sz w:val="20"/>
                <w:szCs w:val="20"/>
                <w:color w:val="auto"/>
              </w:rPr>
            </w:pPr>
            <w:r>
              <w:rPr>
                <w:rFonts w:ascii="Arial" w:cs="Arial" w:eastAsia="Arial" w:hAnsi="Arial"/>
                <w:sz w:val="18"/>
                <w:szCs w:val="18"/>
                <w:color w:val="auto"/>
              </w:rPr>
              <w:t>-20.93%</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-12.60%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-4.27%</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4.07%</w:t>
            </w:r>
          </w:p>
        </w:tc>
        <w:tc>
          <w:tcPr>
            <w:tcW w:w="820" w:type="dxa"/>
            <w:vAlign w:val="bottom"/>
          </w:tcPr>
          <w:p>
            <w:pPr>
              <w:jc w:val="right"/>
              <w:spacing w:after="0"/>
              <w:rPr>
                <w:sz w:val="20"/>
                <w:szCs w:val="20"/>
                <w:color w:val="auto"/>
              </w:rPr>
            </w:pPr>
            <w:r>
              <w:rPr>
                <w:rFonts w:ascii="Arial" w:cs="Arial" w:eastAsia="Arial" w:hAnsi="Arial"/>
                <w:sz w:val="18"/>
                <w:szCs w:val="18"/>
                <w:color w:val="auto"/>
              </w:rPr>
              <w:t>12.40%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40" w:right="100" w:hanging="332"/>
        <w:spacing w:after="0" w:line="277"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6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Since we are using debt to finance our investments prior to the completion of this offering, and we may use additional debt financing subsequent to this offering, changes in interest rates may affect our cost of capital and net investment income.</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are using debt to finance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when we have debt outstanding, our cost of funds will increase, which could reduce our net investment income. We expect that our long-term fixed-rate investments will be financed primarily with equity and long-term debt.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will need additional capital to fund growth in our investments once we have fully invested the proceeds of this offering. We may issue debt or equity securities or borrow from financial institutions in order to obtain this additional capital.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as a business development company, we are generally required to maintain a ratio of at least 200% of total assets to total borrowings, which may restrict our ability to borrow in certain circumstances.</w:t>
      </w:r>
    </w:p>
    <w:p>
      <w:pPr>
        <w:spacing w:after="0" w:line="18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Many of our portfolio investments will be recorded at fair value as determined in good faith by our board of directors. As a result, there will be uncertainty as to the value of our portfolio investments.</w:t>
      </w:r>
    </w:p>
    <w:p>
      <w:pPr>
        <w:spacing w:after="0" w:line="4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 large percentage of our portfolio investments will be in the form of securities that are not publicly traded. The fair value of securities and other investments that are not publicly traded may not be readily determinable. We will value these securities quarterly at fair value as determined in good faith by our board of directors. Our board of directors intends to use the services of several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net asset value could be adversely affected if our determinations regarding the fair value of our investments were materially higher than the values that we ultimately realize upon the disposal of such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generally make investments in private companies. Substantially all of these securities will be subject to legal and other restrictions on resale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Our executive officers and directors to be retained in the future, and the future partners of our investment adviser, PennantPark Investment Advisers, may serve as officers, directors or principals of entities that operate in the same or a related line of business as we do or of investment funds managed by affiliates of PennantPark that may be formed in the future.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PennantPark Investment Advisers, and will reimburse PennantPark Investment Advisers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PennantPark Investment Advisers has interests that differ from those of our stockholders, giving rise to a conflict.</w:t>
      </w:r>
    </w:p>
    <w:p>
      <w:pPr>
        <w:spacing w:after="0" w:line="8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entered into the License Agreement with our investment adviser, pursuant to which our investment adviser has agreed to grant us a royalty-free non-exclusive license to use the name “PennantPark.” Under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License Agreement, we will have the right to use the “PennantPark” name for so long as PennantPark Investment Advisers or one of its affiliates remains our investment adviser. In addition, we will pay PennantPark Administration, an affiliate of PennantPark Investment Advisers, our allocable portion of overhead and other expenses incurred by PennantPark Administration in performing its obligations under the Administration Agreement, including rent and our allocable portion of the cost of our chief financial officer and chief compliance officer and their respective staffs. These arrangements create conflicts of interest that our board of directors must monitor.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affect on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 operating policies and strategies without prior notice or stockholder approval.</w:t>
      </w:r>
    </w:p>
    <w:p>
      <w:pPr>
        <w:spacing w:after="0" w:line="17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right="540"/>
        <w:spacing w:after="0" w:line="399" w:lineRule="auto"/>
        <w:rPr>
          <w:sz w:val="20"/>
          <w:szCs w:val="20"/>
          <w:color w:val="auto"/>
        </w:rPr>
      </w:pPr>
      <w:r>
        <w:rPr>
          <w:rFonts w:ascii="Arial" w:cs="Arial" w:eastAsia="Arial" w:hAnsi="Arial"/>
          <w:sz w:val="15"/>
          <w:szCs w:val="15"/>
          <w:color w:val="auto"/>
        </w:rPr>
        <w:t xml:space="preserve">We intend to invest primarily in senior secured term loans, mezzanine debt and selected equity investments issued by middle-market companies. </w:t>
      </w:r>
      <w:r>
        <w:rPr>
          <w:rFonts w:ascii="Arial" w:cs="Arial" w:eastAsia="Arial" w:hAnsi="Arial"/>
          <w:sz w:val="15"/>
          <w:szCs w:val="15"/>
          <w:i w:val="1"/>
          <w:iCs w:val="1"/>
          <w:color w:val="auto"/>
        </w:rPr>
        <w:t xml:space="preserve">Senior Secured Loans. </w:t>
      </w:r>
      <w:r>
        <w:rPr>
          <w:rFonts w:ascii="Arial" w:cs="Arial" w:eastAsia="Arial" w:hAnsi="Arial"/>
          <w:sz w:val="15"/>
          <w:szCs w:val="15"/>
          <w:color w:val="auto"/>
        </w:rPr>
        <w:t>When we extend senior secured term loans, we will generally take a security interest in the available assets of these portfolio</w:t>
      </w:r>
    </w:p>
    <w:p>
      <w:pPr>
        <w:ind w:right="20"/>
        <w:spacing w:after="0" w:line="288" w:lineRule="auto"/>
        <w:rPr>
          <w:sz w:val="20"/>
          <w:szCs w:val="20"/>
          <w:color w:val="auto"/>
        </w:rPr>
      </w:pPr>
      <w:r>
        <w:rPr>
          <w:rFonts w:ascii="Arial" w:cs="Arial" w:eastAsia="Arial" w:hAnsi="Arial"/>
          <w:sz w:val="16"/>
          <w:szCs w:val="16"/>
          <w:color w:val="auto"/>
        </w:rPr>
        <w:t>companies, including the equity interests of their subsidiaries. We expect this security interest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will generally be subordinated to senior loans and will generally be unsecured. This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above average amount of risk and volatility or a loss of principal.</w:t>
      </w:r>
    </w:p>
    <w:p>
      <w:pPr>
        <w:spacing w:after="0" w:line="10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any cash prior to the maturity of some of our mezzanine debt investment, such investments will be of greater risk than amortizing loans.</w:t>
      </w:r>
    </w:p>
    <w:p>
      <w:pPr>
        <w:spacing w:after="0" w:line="6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We expect to make selected equity investments. In addition, when we invest in first and second lien senior loans or mezzanine debt, we</w:t>
      </w:r>
      <w:r>
        <w:rPr>
          <w:rFonts w:ascii="Arial" w:cs="Arial" w:eastAsia="Arial" w:hAnsi="Arial"/>
          <w:sz w:val="18"/>
          <w:szCs w:val="18"/>
          <w:i w:val="1"/>
          <w:iCs w:val="1"/>
          <w:color w:val="auto"/>
        </w:rPr>
        <w:t xml:space="preserve"> </w:t>
      </w:r>
      <w:r>
        <w:rPr>
          <w:rFonts w:ascii="Arial" w:cs="Arial" w:eastAsia="Arial" w:hAnsi="Arial"/>
          <w:sz w:val="18"/>
          <w:szCs w:val="18"/>
          <w:color w:val="auto"/>
        </w:rPr>
        <w:t>may acquire warrants to purchase equity securities. Our goal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not yet identified all of the portfolio company investments we intend to acquire using borrowings under the Credit Facility or the proceeds of this offering.</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used, and expect to continue to use, amounts borrowed under the Credit Facility to acquire interests in senior secured loans and other debt obligations. However, we have not yet identified all of the potential investments for our portfolio that we will purchase prior to the offering. As a result, you will be unable to evaluate all of our specific portfolio company investments prior to purchasing shares of our common stock. Additionally, our investment adviser will select our investments subsequent to the closing of this offering, and our stockholders will have no input with respect to such investment decisions. These factors increase the uncertainty, and thus the risk, of investing in our shares.</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4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business development company, we may not acquire any assets other than “qualifying assets” unless, at the time of and after giving effect to such acquisition, at least 70% of our total assets are qualifying assets. See “Regulation.”</w:t>
      </w:r>
    </w:p>
    <w:p>
      <w:pPr>
        <w:spacing w:after="0" w:line="10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believe that most of our senior and mezzanine loans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business development company, which would have a material adverse effect on our business, 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3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interests and subordinate all or a portion of our claim to that of other creditors. This could occur even though we may have structured our investment as senior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When we invest in mezzanine loans or senior secured loans, we may also invest in the equity securities of the borrower or acquire warrant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make follow-on investments in our portfolio companies could impair the value of our portfolio.</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5620" w:right="5360" w:hanging="5166"/>
        <w:spacing w:after="0" w:line="525" w:lineRule="auto"/>
        <w:tabs>
          <w:tab w:leader="none" w:pos="8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 or maintain in whole or in part our equity ownership percentage; 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64" w:lineRule="exact"/>
        <w:rPr>
          <w:sz w:val="20"/>
          <w:szCs w:val="20"/>
          <w:color w:val="auto"/>
        </w:rPr>
      </w:pPr>
    </w:p>
    <w:p>
      <w:pPr>
        <w:ind w:right="540"/>
        <w:spacing w:after="0" w:line="338" w:lineRule="auto"/>
        <w:rPr>
          <w:sz w:val="20"/>
          <w:szCs w:val="20"/>
          <w:color w:val="auto"/>
        </w:rPr>
      </w:pPr>
      <w:r>
        <w:rPr>
          <w:rFonts w:ascii="Arial" w:cs="Arial" w:eastAsia="Arial" w:hAnsi="Arial"/>
          <w:sz w:val="16"/>
          <w:szCs w:val="16"/>
          <w:b w:val="1"/>
          <w:bCs w:val="1"/>
          <w:color w:val="auto"/>
        </w:rPr>
        <w:t>Because we will generally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may do so in the future, we do not currently anticipate taking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9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will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invest primarily in mezzanine loans, senior secured loans and equity securities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PennantPark Investment Advisers to make speculative investments.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including investors in this offering.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incentive fee payable by us to our investment adviser also may induce PennantPark Investment Advisers to invest on our behalf in instruments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Pre-Incentive Fee Net Investment Income used to calculate the income portion of our investment fee, however, includes accrued interest. Thus, a portion of this incentive fee would be based on income that we have not yet received in cash.</w:t>
      </w:r>
    </w:p>
    <w:p>
      <w:pPr>
        <w:spacing w:after="0" w:line="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including private funds.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the assets invested in the securities and instruments of other investment companies under the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8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9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you may not receive distributions or that our distributions may not grow over time.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level of cash distributions or year-to-year increases in cash distributions. In addition, due to the asset coverage test applicable to us as a business development company, we may be limited in our ability to make distributions. Finally, if more stockholders opt to receive cash dividends and other distributions rather than participate in our dividend reinvestment plan, we may be forced to liquidate some of our investments and raise cash in order to make distribution payments.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shares may not be suitable for someone with lower risk tolerance.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this offering in ways with which you may not agree.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have significant flexibility in investing the net proceeds of this offering. Accordingly, we may use the net proceeds from this offering in ways with which you may not agree or for purposes other than those contemplated at the time of the offering.</w:t>
      </w:r>
    </w:p>
    <w:p>
      <w:pPr>
        <w:spacing w:after="0" w:line="18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Prior to this offering, there has been no public market for our common stock, and we cannot assure you that the market price of our shares will not decline following the offering.</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cannot assure you that a trading market will develop for our common stock after this offering or, if one develops, that such trading market can be sustained. Shares of companies offered in an initial public offering often trade at a discount to the initial offering price due to underwriting discounts and related offering expenses. Also, shares of closed-end investment companies frequently trade at a discount from net asset value. This characteristic of closed-end investment companies is separate and distinct from the risk that our net asset value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per share may decline. We cannot predict whether our common stock will trade at, above or below net asset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will suffer immediate dilution upon the closing of this offering.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giving effect to the underwriting discount for this offering of $0.975 per share and offering and organizational expenses of $0.04 per share, upon the completion of this offering, taking into account the 80,000 shares purchased by PennantPark Investment Advisers in connection with the establishment of our Credit Facility and the 320,000 shares we intend to issue in a private placement immediately prior to this offering, our net asset value per share is estimated to be approximately $14.00 per share, compared to a price of $15.00 per share in this offering. Accordingly, investors purchasing shares in this offering will pay a price per share of common stock that exceeds the estimated net asset value per share of common stock after this offering by $1.00 and will bear the costs of the underwriting discount and, indirectly, other offering and organizational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substantial amounts of our common stock in the public market may have an adverse effect on the market price of our common stock.</w:t>
      </w:r>
    </w:p>
    <w:p>
      <w:pPr>
        <w:spacing w:after="0" w:line="11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Upon completion of our sale of 320,000 shares in a private placement to our officers and directors, our investment adviser and the managers of our investment adviser and this offering, we will have 27,400,000 shares of common stock outstanding (or 31,450,000 shares of common stock if the underwriters’ over-allotment option is fully exercised). Following this offering, sales of substantial amounts of our common stock or the availability of such shares for sale, could adversely affect the prevailing market prices for our common stock. If this occurs and continues, it could impair our ability to raise additional capital through the sale of equity securities should we desire to do so.</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5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Some of the statements in this prospectus constitute forward-looking statements, which relate to future events or our future performance or financial condition. The forward-looking statements contained in this prospectus involve risks and uncertainties, including statements as to:</w:t>
      </w:r>
    </w:p>
    <w:p>
      <w:pPr>
        <w:spacing w:after="0" w:line="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 words such as “anticipates,” “believes,” “expects,” “intends” and similar expressions to identify forward-looking statements. Our actual results could differ materially from those projected in the forward-looking statements for any reason, including the factors set forth in “Risk Factors” and elsewhere in this prospectus.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8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Securities Exchange Act of 1934, as amended, or the Exchange Act, the “safe harbor” provisions of the Private Securities Litigation Reform Act of 1995 do not apply to statements made in connection with this offering.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DISCUSSION OF EXPECTED OPERATING PLANS</w:t>
      </w:r>
    </w:p>
    <w:p>
      <w:pPr>
        <w:spacing w:after="0" w:line="15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and “Forward-Looking Statements” appearing elsewhere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PennantPark was incorporated under the Maryland General Corporation Law in January 2007. We are a newly organized, externally managed, closed-end, non-diversified management investment company that intends to file an election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This offering will significantly increase our capital resources.</w:t>
      </w:r>
    </w:p>
    <w:p>
      <w:pPr>
        <w:spacing w:after="0" w:line="8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From time to time, we may also invest in public companies that are thinly traded. We anticipate that our portfolio will be comprised of investments in subordinated loans, referred to as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If such companies were rated, we believe they would typically receive a rating below investment grade (between BB and CCC under the Standard &amp; Poor’s system) from the national rating agencies. In addition, we expect the debt securities of such companies to range in maturity from three to ten years.</w:t>
      </w:r>
    </w:p>
    <w:p>
      <w:pPr>
        <w:spacing w:after="0" w:line="9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March 21, 2007, we had invested approximately $234 million in senior secured loans, of which $118 million had settled. As of March 21, 2007, our portfolio consisted of investments with an average investment size of approximately $5.7 million, a weighted average yield of 7.5% and a weighted average maturity of 6.4 years. Immediately prior to the consummation of this offering, we expect that our initial portfolio of senior secured loans will total approximately $250 million. This amount will include capital commitments in respect of delayed or deferred draws under some lending facilities, which totaled approximately $15.3 million as of March 21, 2007. Over time, however, we expect that our portfolio will include a combination of senior and mezzanine loans and, to a lesser extent, equity securities. See “Discussion of Expected Operating Plans—Credit Facility” and “Business—Investments.”</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through our wholly owned subsidiary, Pennant SPV Company, LLC, have established a Credit Facility with the Lender. Under the terms of the Credit Facility, the Lender has agreed to extend credit in an aggregate principal of up to $250 million. See “Portfolio Companies.” The Credit Facility matures on the earliest to occur of (1) the closing date of an initial public offering or private placement of equity securities by PennantPark, (2) June 30, 2007, (3) the termination date of the Credit Facility by its terms and (4) any other date mutually agreed by the parties. The Credit Facility is secured by liens on substantially all of the assets in Pennant SPV, including its interests in any investments and any cash or cash equivalents held by it from time to time. Pricing under the Credit Facility is set at 175 basis points over applicable LIBOR, as that term is defined in the Credit Facility.</w:t>
      </w:r>
    </w:p>
    <w:p>
      <w:pPr>
        <w:spacing w:after="0" w:line="93" w:lineRule="exact"/>
        <w:rPr>
          <w:sz w:val="20"/>
          <w:szCs w:val="20"/>
          <w:color w:val="auto"/>
        </w:rPr>
      </w:pPr>
    </w:p>
    <w:p>
      <w:pPr>
        <w:ind w:firstLine="456"/>
        <w:spacing w:after="0" w:line="243" w:lineRule="auto"/>
        <w:rPr>
          <w:sz w:val="20"/>
          <w:szCs w:val="20"/>
          <w:color w:val="auto"/>
        </w:rPr>
      </w:pPr>
      <w:r>
        <w:rPr>
          <w:rFonts w:ascii="Arial" w:cs="Arial" w:eastAsia="Arial" w:hAnsi="Arial"/>
          <w:sz w:val="18"/>
          <w:szCs w:val="18"/>
          <w:color w:val="auto"/>
        </w:rPr>
        <w:t>In connection with the Credit Facility, our investment adviser purchased 80,000 shares of common stock from PennantPark at $15.00 per share for a total of $1.2 million. PennantPark contributed this amount to Pennant SPV Company, LLC in consideration of the purchase of all of the equity interests in Pennant SPV Company, LLC.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While our primary focus will be to generate current income and capital appreciation through debt and equity investments in thinly traded or private U.S. companies, we may invest up to 30% of the portfolio in opportunistic investments in order to seek to enhance returns to stockholders. Such investments may include investments in high-yield bonds, distressed debt, private equity or securities of public companies that are not thinly traded and securities of middle-market companies located outside of the United States. We expect that these public companies generally will have debt securities that are non-investment grade.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plan to generate revenue in the form of interest payable on the debt securities that we hold and capital gains and distributions, if any, on the warrants or other equity interests that we may acquire in portfolio companies. We expect our debt investments, whether in the form of mezzanine loans or senior secured loans, to have a term of five to ten years and typically to bear interest at a fixed or floating rate. Interest on debt securities will be payable generally quarterly or semiannually, with the amortization of principal generally being deferred for several years from the date of the initial investment. In some cases, we will also defer payments of interest for the first few years after our investment. The principal amount of the debt securities and any accrued but unpaid interest will generally become due at the maturity date. In addition, we may generate revenue in the form of commitment, origination, structuring or diligence fees, fees for providing managerial assistance and possibly consulting fees. Loan origination fees, original issue discount and market discount are capitalized, and we then amortize such amounts as interest income. Upon the prepayment of a loan or debt security, any unamortized loan origination fees are recorded as interest income. We record prepayment premiums on loans and debt securities as interest income when we receive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360" w:firstLine="456"/>
        <w:spacing w:after="0" w:line="286" w:lineRule="auto"/>
        <w:rPr>
          <w:sz w:val="20"/>
          <w:szCs w:val="20"/>
          <w:color w:val="auto"/>
        </w:rPr>
      </w:pPr>
      <w:r>
        <w:rPr>
          <w:rFonts w:ascii="Arial" w:cs="Arial" w:eastAsia="Arial" w:hAnsi="Arial"/>
          <w:sz w:val="16"/>
          <w:szCs w:val="16"/>
          <w:color w:val="auto"/>
        </w:rPr>
        <w:t>Our primary operating expenses subsequent to the completion of this offering will include the payment of (1) investment advisory fees to PennantPark Investment Advisers; (2) the allocable portion of overhead under the Administration Agreement; (3) the interest expense on our outstanding debt, if any, and</w:t>
      </w:r>
    </w:p>
    <w:p>
      <w:pPr>
        <w:ind w:right="100" w:firstLine="8"/>
        <w:spacing w:after="0" w:line="255"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operating costs as detailed below. Our investment advisory fee will compensate our investment adviser for its work in identifying, evaluating, negotiating, consummating and monitoring our investments. See “Management—Investment management agreement.” We will bear all other costs and expenses of our operations and transactions, including (without limitation):</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other expenses incurred by either PennantPark Administration or us in connection with our organization and this offering, administering our business, including payments under the Administration Agreement that will be based upon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To the extent that any of our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will fund a portion of our investments through the Credit Facility prior to completion of this offering and, in the future, we may obtain borrowings from other banks and issuances of senior securities. We may also borrow funds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decided the extent to which we will finance our portfolio investments using debt. After we repay the Credit Facility, we do not intend to borrow money to fund our investments until such time as we have invested substantially all of the proceeds of the offering. See “Material U.S. Federal Income Tax Consideration.” In the future, we may also securitize a portion of our investments in mezzanine loans or senior secured loans or other assets. We expect that our primary use of funds will be investments in portfolio companies and repayment of amounts owing the advances under the Credit Facility, cash distributions to holders of our common stock and the payment of operating expenses, including debt service if we borrow additional amounts after completion of this offering to fund our investments. As of March 21, 2007, we had approximately $118 million outstanding and $116 million committed to be borrowed under our Credit Facility. Immediately after this offering and the consummation of the related transactions, including the repayment of advances of the Credit Facility, we expect to have cash resources of approximately $134 million and no indebtedness. This amount does not take into account proceeds, if any, from the exercise of the underwriters’ overallotment option. See “Use of Proceeds.”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board of directors will determine the timing and amount, if any, of our distributions. We intend to pay distributions on a quarterly basis. In order to avoid corporate-level tax on the income we distribute as a RIC, we must distribute to our stockholders at least 90% of our ordinary income and realized net short-term capital gains in excess of realized net long-term capital losses, if any, on an annual basis out of the assets legally available for such distributions. In addition, we also intend to distribute any realized net capital gains (i.e., realized net long-term capital gains in excess of realized net short-term capital losses) at least annually out of the assets legally available for such distributions. For a short period (less than one month after the closing of this offering), we may not be a RIC and may be subject to corporate-level income tax.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certain contracts under which we have material future commitments. We and PennantPark Investment Advisers have entered into an Interim Investment Management Agreement, dated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January 18, 2007, pursuant to which PennantPark Investment Advisers is providing investment management services to us prior to the consummation of this offering. Under the Interim Investment Management Agreement, PennantPark Investment Advisers is reimbursed for expenses and does not receive a management or incentive fee. PennantPark Investment Advisers is registered with the SEC as an investment adviser, and we expect to execute the Investment Management Agreement in accordance with the 1940 Act at the time we elect to be treated as a business development company, which we expect to occur shortly before consummation of this offering. PennantPark Investment Advisers will serve as our investment adviser subsequent to consummation of this offering in accordance with the terms of the Investment Management Agreement. Payments under the Investment Management Agreement in future periods will be equal to</w:t>
      </w:r>
    </w:p>
    <w:p>
      <w:pPr>
        <w:spacing w:after="0" w:line="1" w:lineRule="exact"/>
        <w:rPr>
          <w:sz w:val="20"/>
          <w:szCs w:val="20"/>
          <w:color w:val="auto"/>
        </w:rPr>
      </w:pPr>
    </w:p>
    <w:p>
      <w:pPr>
        <w:ind w:right="200" w:firstLine="8"/>
        <w:spacing w:after="0" w:line="261"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management fee equal to a percentage of the value of our gross assets and (2) an incentive fee based on our performance. See “Management—Investment Management Agreement.”</w:t>
      </w:r>
    </w:p>
    <w:p>
      <w:pPr>
        <w:spacing w:after="0" w:line="11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Administration Agreement, PennantPark Administration furnishes us with office facilities and administrative services necessary to conduct our day-to-day operations. If requested to provide managerial assistance to our portfolio companies, PennantPark Administration will be paid an additional amount based on the services provided, which amount will not in any case exceed the amount we receive from the portfolio companies for such services. Payments under the Administration Agreement will be based upon our allocable portion of PennantPark Administration’s overhead in performing its obligations under the Administration Agreement, including rent, technology systems, insurance and our allocable portion of the costs of our chief compliance officer, chief financial officer and their respective staffs. See “Management—Administration agreement.”</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through our wholly owned subsidiary, Pennant SPV Company, LLC, have established a Credit Facility with the Lender. Under the terms of the Credit Facility, the Lender has agreed to extend credit in an aggregate principal of up to $250 million. The Credit Facility matures on the earliest to occur of (1) the closing date of an initial public offering or private placement of equity securities by PennantPark, (2) June 30, 2007, (3) the termination date of the Credit Facility by its terms and (4) any other date mutually agreed by the parties. The Credit Facility is secured by liens on substantially all of the assets in Pennant SPV Company LLC, including its interests in any investments and any cash or cash equivalents held by it from time to time. Pricing under the Credit Facility is set at 175 basis points over applicable LIBOR, as that term is defined in the Credit Facility. From the date we entered into the Credit Facility through March 21, 2007, we accrued approximately $487,000 in interest expense pursuant to the Credit Facility.</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and maintenance requirements, (b) 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 (j) limitations on indebtedness and guarantees, (k) limitation on issuance of additional interests and impairment of rights, (l) security interests and (m) limitation on subsidiaries. Borrowings under the Credit Facility are subject at all times to compliance with certain eligibility criteria.</w:t>
      </w:r>
    </w:p>
    <w:p>
      <w:pPr>
        <w:spacing w:after="0" w:line="9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Credit Facility is being used to finance our investments prior to the closing of this offering. We intend to repay the Credit Facility in full upon the completion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Information about our senior securities is shown in the following table for the period ended February 6, 2007. The information has been derived from our financial statements which have been audited by KPMG LLP.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20" w:type="dxa"/>
            <w:vAlign w:val="bottom"/>
            <w:gridSpan w:val="2"/>
          </w:tcPr>
          <w:p>
            <w:pPr>
              <w:jc w:val="center"/>
              <w:ind w:left="63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0"/>
              </w:rPr>
              <w:t>Involuntary</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Exclusive of</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Liquidating</w:t>
            </w:r>
          </w:p>
        </w:tc>
        <w:tc>
          <w:tcPr>
            <w:tcW w:w="6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w:t>
            </w: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Treasury</w:t>
            </w:r>
          </w:p>
        </w:tc>
        <w:tc>
          <w:tcPr>
            <w:tcW w:w="1580" w:type="dxa"/>
            <w:vAlign w:val="bottom"/>
            <w:gridSpan w:val="2"/>
          </w:tcPr>
          <w:p>
            <w:pPr>
              <w:jc w:val="right"/>
              <w:spacing w:after="0" w:line="144" w:lineRule="exact"/>
              <w:rPr>
                <w:sz w:val="20"/>
                <w:szCs w:val="20"/>
                <w:color w:val="auto"/>
              </w:rPr>
            </w:pPr>
            <w:r>
              <w:rPr>
                <w:rFonts w:ascii="Arial" w:cs="Arial" w:eastAsia="Arial" w:hAnsi="Arial"/>
                <w:sz w:val="14"/>
                <w:szCs w:val="14"/>
                <w:b w:val="1"/>
                <w:bCs w:val="1"/>
                <w:color w:val="auto"/>
              </w:rPr>
              <w:t>Asset Coverage</w:t>
            </w:r>
          </w:p>
        </w:tc>
        <w:tc>
          <w:tcPr>
            <w:tcW w:w="70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2"/>
              </w:rPr>
              <w:t>Preference</w:t>
            </w:r>
          </w:p>
        </w:tc>
        <w:tc>
          <w:tcPr>
            <w:tcW w:w="68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Value</w:t>
            </w:r>
          </w:p>
        </w:tc>
      </w:tr>
      <w:tr>
        <w:trPr>
          <w:trHeight w:val="187"/>
        </w:trPr>
        <w:tc>
          <w:tcPr>
            <w:tcW w:w="4860" w:type="dxa"/>
            <w:vAlign w:val="bottom"/>
            <w:gridSpan w:val="3"/>
          </w:tcPr>
          <w:p>
            <w:pPr>
              <w:ind w:left="860"/>
              <w:spacing w:after="0"/>
              <w:rPr>
                <w:sz w:val="20"/>
                <w:szCs w:val="20"/>
                <w:color w:val="auto"/>
              </w:rPr>
            </w:pPr>
            <w:r>
              <w:rPr>
                <w:rFonts w:ascii="Arial" w:cs="Arial" w:eastAsia="Arial" w:hAnsi="Arial"/>
                <w:sz w:val="14"/>
                <w:szCs w:val="14"/>
                <w:b w:val="1"/>
                <w:bCs w:val="1"/>
                <w:color w:val="auto"/>
              </w:rPr>
              <w:t>Class and Year</w:t>
            </w:r>
          </w:p>
        </w:tc>
        <w:tc>
          <w:tcPr>
            <w:tcW w:w="700" w:type="dxa"/>
            <w:vAlign w:val="bottom"/>
          </w:tcPr>
          <w:p>
            <w:pPr>
              <w:spacing w:after="0"/>
              <w:rPr>
                <w:sz w:val="16"/>
                <w:szCs w:val="16"/>
                <w:color w:val="auto"/>
              </w:rPr>
            </w:pPr>
          </w:p>
        </w:tc>
        <w:tc>
          <w:tcPr>
            <w:tcW w:w="72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w w:val="89"/>
              </w:rPr>
              <w:t>Securities</w:t>
            </w:r>
            <w:r>
              <w:rPr>
                <w:rFonts w:ascii="Arial" w:cs="Arial" w:eastAsia="Arial" w:hAnsi="Arial"/>
                <w:sz w:val="20"/>
                <w:szCs w:val="20"/>
                <w:b w:val="1"/>
                <w:bCs w:val="1"/>
                <w:color w:val="auto"/>
                <w:w w:val="89"/>
                <w:vertAlign w:val="superscript"/>
              </w:rPr>
              <w:t>(1)</w:t>
            </w:r>
          </w:p>
        </w:tc>
        <w:tc>
          <w:tcPr>
            <w:tcW w:w="700" w:type="dxa"/>
            <w:vAlign w:val="bottom"/>
          </w:tcPr>
          <w:p>
            <w:pPr>
              <w:spacing w:after="0"/>
              <w:rPr>
                <w:sz w:val="16"/>
                <w:szCs w:val="16"/>
                <w:color w:val="auto"/>
              </w:rPr>
            </w:pPr>
          </w:p>
        </w:tc>
        <w:tc>
          <w:tcPr>
            <w:tcW w:w="880" w:type="dxa"/>
            <w:vAlign w:val="bottom"/>
          </w:tcPr>
          <w:p>
            <w:pPr>
              <w:jc w:val="right"/>
              <w:ind w:right="65"/>
              <w:spacing w:after="0" w:line="180" w:lineRule="exact"/>
              <w:rPr>
                <w:sz w:val="20"/>
                <w:szCs w:val="20"/>
                <w:color w:val="auto"/>
              </w:rPr>
            </w:pPr>
            <w:r>
              <w:rPr>
                <w:rFonts w:ascii="Arial" w:cs="Arial" w:eastAsia="Arial" w:hAnsi="Arial"/>
                <w:sz w:val="13"/>
                <w:szCs w:val="13"/>
                <w:b w:val="1"/>
                <w:bCs w:val="1"/>
                <w:color w:val="auto"/>
              </w:rPr>
              <w:t>per Unit</w:t>
            </w:r>
            <w:r>
              <w:rPr>
                <w:rFonts w:ascii="Arial" w:cs="Arial" w:eastAsia="Arial" w:hAnsi="Arial"/>
                <w:sz w:val="20"/>
                <w:szCs w:val="20"/>
                <w:b w:val="1"/>
                <w:bCs w:val="1"/>
                <w:color w:val="auto"/>
                <w:vertAlign w:val="superscript"/>
              </w:rPr>
              <w:t>(2)</w:t>
            </w:r>
          </w:p>
        </w:tc>
        <w:tc>
          <w:tcPr>
            <w:tcW w:w="700" w:type="dxa"/>
            <w:vAlign w:val="bottom"/>
          </w:tcPr>
          <w:p>
            <w:pPr>
              <w:spacing w:after="0"/>
              <w:rPr>
                <w:sz w:val="16"/>
                <w:szCs w:val="16"/>
                <w:color w:val="auto"/>
              </w:rPr>
            </w:pPr>
          </w:p>
        </w:tc>
        <w:tc>
          <w:tcPr>
            <w:tcW w:w="70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w w:val="91"/>
              </w:rPr>
              <w:t>per Unit</w:t>
            </w:r>
            <w:r>
              <w:rPr>
                <w:rFonts w:ascii="Arial" w:cs="Arial" w:eastAsia="Arial" w:hAnsi="Arial"/>
                <w:sz w:val="20"/>
                <w:szCs w:val="20"/>
                <w:b w:val="1"/>
                <w:bCs w:val="1"/>
                <w:color w:val="auto"/>
                <w:w w:val="91"/>
                <w:vertAlign w:val="superscript"/>
              </w:rPr>
              <w:t>(3)</w:t>
            </w:r>
          </w:p>
        </w:tc>
        <w:tc>
          <w:tcPr>
            <w:tcW w:w="1300" w:type="dxa"/>
            <w:vAlign w:val="bottom"/>
            <w:gridSpan w:val="2"/>
          </w:tcPr>
          <w:p>
            <w:pPr>
              <w:jc w:val="center"/>
              <w:ind w:left="617"/>
              <w:spacing w:after="0" w:line="180" w:lineRule="exact"/>
              <w:rPr>
                <w:sz w:val="20"/>
                <w:szCs w:val="20"/>
                <w:color w:val="auto"/>
              </w:rPr>
            </w:pPr>
            <w:r>
              <w:rPr>
                <w:rFonts w:ascii="Arial" w:cs="Arial" w:eastAsia="Arial" w:hAnsi="Arial"/>
                <w:sz w:val="13"/>
                <w:szCs w:val="13"/>
                <w:b w:val="1"/>
                <w:bCs w:val="1"/>
                <w:color w:val="auto"/>
                <w:w w:val="94"/>
              </w:rPr>
              <w:t>per Unit</w:t>
            </w:r>
            <w:r>
              <w:rPr>
                <w:rFonts w:ascii="Arial" w:cs="Arial" w:eastAsia="Arial" w:hAnsi="Arial"/>
                <w:sz w:val="20"/>
                <w:szCs w:val="20"/>
                <w:b w:val="1"/>
                <w:bCs w:val="1"/>
                <w:color w:val="auto"/>
                <w:w w:val="94"/>
                <w:vertAlign w:val="superscript"/>
              </w:rPr>
              <w:t>(4)</w:t>
            </w:r>
          </w:p>
        </w:tc>
      </w:tr>
      <w:tr>
        <w:trPr>
          <w:trHeight w:val="216"/>
        </w:trPr>
        <w:tc>
          <w:tcPr>
            <w:tcW w:w="880" w:type="dxa"/>
            <w:vAlign w:val="bottom"/>
          </w:tcPr>
          <w:p>
            <w:pPr>
              <w:spacing w:after="0"/>
              <w:rPr>
                <w:sz w:val="18"/>
                <w:szCs w:val="18"/>
                <w:color w:val="auto"/>
              </w:rPr>
            </w:pPr>
          </w:p>
        </w:tc>
        <w:tc>
          <w:tcPr>
            <w:tcW w:w="3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3"/>
              </w:rPr>
              <w:t>N/A</w:t>
            </w:r>
          </w:p>
        </w:tc>
        <w:tc>
          <w:tcPr>
            <w:tcW w:w="6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3"/>
              </w:rPr>
              <w:t>N/A</w:t>
            </w: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100" w:lineRule="exact"/>
        <w:rPr>
          <w:sz w:val="20"/>
          <w:szCs w:val="20"/>
          <w:color w:val="auto"/>
        </w:rPr>
      </w:pPr>
    </w:p>
    <w:p>
      <w:pPr>
        <w:ind w:left="460" w:right="20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senior secured indebtedness of $118 million outstanding and $116 million committed to be borrowed under the Credit Facility as of date of this prospectus. See “—Credit Facility.”</w:t>
      </w:r>
    </w:p>
    <w:p>
      <w:pPr>
        <w:ind w:left="460" w:right="1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expected operating plans is based upon our expected financial statements, which will be prepared in accordance with accounting principles generally accepted in the United States of America,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securities of middle-market companies. Under procedures established by our board of directors, we intend to value investments for which market quotations are readily available at such market quotations. We will obtain these market values from an independent pricing service or at the mean between the bid and ask prices obtained from at least two brokers or dealers (if available, otherwise by a principal market maker or a primary market dealer). Debt and equity securities that are not publicly traded or whose market prices are not readily available will be valued at fair value as determined in good faith by our board of directors. Such determination of fair values may involve subjective judgments and estimates. Investments purchased within 60 days of maturity will be valued at cost plus accreted discount, or minus amortized premium, which approximates value. With respect to unquoted securities, our board of directors, together with our independent valuation advisers, will value each investment considering, among other measures, discounted cash flow models, comparisons of financial ratios of peer companies that are public and other factors.</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will use the pricing indicated by the external event to corroborate and/or assist us in our valuation. Because we expect that there will not be a readily available market for many of the investments in our portfolio, we expect to value many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1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firms to reflect any comments; and</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will then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see “Business—Investment selection—Ongoing relationships with portfolio companies—Valuation process.”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will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not accrue PIK interest if the portfolio company valuation indicates that such PIK interest is not collectible. We will not accrue as a receivable interest on loans and debt securities if we have reason to doubt our ability to collect such interest. Loan origination fees, original issue discount and market discount or premium will be capitalized, and we will then accrete or amortize such amounts using the effective interest method as interest income. Upon the prepayment of a loan or debt security, any unamortized loan origination will be recorded as interest income. We will record prepayment premiums on loans and debt securities as interest income. Dividend income, if any, will be recognized on the ex-dividend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without regard to unrealized appreciation or depreciation previously recognized, but considering unamortized upfront fees and prepayment penalties. Net change in unrealized appreciation or depreciation will reflect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5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$377.8 million (or approximately $434.6 million if the underwriters fully exercise their over-allotment option). This assumes, in each case, an initial public offering price of $15.00 per share, after deducting the underwriting discounts and commissions and estimated offering expenses of approximately $900,000 payable by us. Separately, immediately prior to the closing of this offering, we expect to sell 320,000 shares of common stock to our directors and officers, our investment adviser and the managers of our investment adviser at a price of $15.00 per share in a private placement. We will receive the full proceeds of this private placement, and no underwriting discounts or commissions will be paid in respect of these shares. The amount of net proceeds may be more or less than the amount described in this prospectus depending on the public offering price of the common stock and the actual number of shares of common stock we sell in the offering, both of which will be determined at pricing. We may change the size of this offering based on demand and market conditions.</w:t>
      </w:r>
    </w:p>
    <w:p>
      <w:pPr>
        <w:spacing w:after="0" w:line="9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use a portion of the net proceeds of this offering to repay the outstanding principal of, and accrued and unpaid interest on, the Credit Facility as well as to pay the reasonable transaction costs incurred by us and Lender in establishing the Credit Facility. As of March 21, 2007, we had borrowed approximately $118 million and committed to borrow $116 million under the Credit Facility. The Credit Facility currently provides for available borrowings of up to an aggregate principal amount of $250 million, subject to specified borrowing conditions. Interest on advances under the Credit Facility is payable quarterly in arrears and charged at one-month LIBOR plus a spread of 1.75%. Any defaulted interest will be carried forward and compounded at a default interest rate. Our ability to draw advances under the Credit Facility will expire on the earlier of (1) June 30, 2007, (2) the date of the closing of this offering, (3) the date on which the Credit Facility is terminated by its terms or (4) any date mutually agreed by the parties, at which time the outstanding principal amount under the Credit Facility together with all accrued and unpaid interest on the Credit Facility will become due and payable in full. As of March 21, 2007, the interest rate on advances under the Credit Facility was 7.5%. From the date we entered into the Credit Facility through March 21, 2007, we accrued approximately $487,000 in interest expense pursuant to the Credit Facility. We plan to invest the balance of the net proceeds of this offering in portfolio companies in accordance with our investment objective and strategies described in this prospectus.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that a substantial portion of the net proceeds of this offering will be invested for the above purposes within 12 to 18 months and all of the net proceeds of this offering will be invested within two years, depending on the availability of appropriate investment opportunities consistent with our investment objective and market conditions. We expect that it will take more than three months to invest all of the proceeds of this offering, in part because privately negotiated investments in illiquid securities or private middle-market companies require substantial due diligence and structuring. We cannot assure you we will achieve our targeted investment pace. As a result of our expected purchase of the senior secured loans and our other anticipated investments, we expect that our portfolio will initially consist primarily of senior secured loans.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Pending these investments, we will invest the net proceeds primarily in cash, cash equivalents, U.S. government securities and other high-quality debt investments that mature in one year or less from the date of investment. During the period when the proceeds of this offering are not fully invested, we expect that our investment earnings, and hence the return to shareholders, will be lower than after we are fully invested. See “Regulation—Temporary investments” for additional information about temporary investments we may make while waiting to make longer-term investments in pursuit of our investment objective.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intend to make quarterly distributions to our stockholders. The timing and amount of our quarterly distributions, if any, will be determined by our board of directors. Any distributions to our stockholders will be declared out of assets legally available for distribution.</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For a short period (less than one month after the closing of this offering), we may not be a RIC and may be subject to corporate-level income tax. To obtain RIC tax benefits, we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 legally available for such distributions, we may in the future decide to retain such capital gains for investment. In such event, the consequences of our retention of net capital gains are as described under “Material U.S. Federal Income Tax Considerations.”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0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 See “Dividend Reinvestment Plan.”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15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table sets forth (1) our actual capitalization as of February 6, 2007 and (2) our cash, accrued organizational expenses and capitalization as adjusted to reflect the effects of (a) the contribution of an additional $200,000 by our investment adviser in connection with its investment in 80,000 shares of our common stock, (b) the sale of 320,000 shares of our common stock to our officers and directors, our investment adviser and the managers of our investment adviser in a private placement immediately prior to consummation of this offering and (c) the sale of our common stock in this offering at an assumed public offering price of $15.00 per share, after deducting the underwriting discounts and commissions and organization and offering expenses payable by us. You should read this table together with “Use of Proceeds” and our balance sheet included elsewhere in this prospectus.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As of February 6, 2007</w:t>
            </w:r>
            <w:r>
              <w:rPr>
                <w:rFonts w:ascii="Arial" w:cs="Arial" w:eastAsia="Arial" w:hAnsi="Arial"/>
                <w:sz w:val="22"/>
                <w:szCs w:val="22"/>
                <w:b w:val="1"/>
                <w:bCs w:val="1"/>
                <w:color w:val="auto"/>
                <w:vertAlign w:val="superscript"/>
              </w:rPr>
              <w:t>(1)</w:t>
            </w:r>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
              <w:spacing w:after="0" w:line="169" w:lineRule="exact"/>
              <w:rPr>
                <w:sz w:val="20"/>
                <w:szCs w:val="20"/>
                <w:color w:val="auto"/>
              </w:rPr>
            </w:pPr>
            <w:r>
              <w:rPr>
                <w:rFonts w:ascii="Arial" w:cs="Arial" w:eastAsia="Arial" w:hAnsi="Arial"/>
                <w:sz w:val="12"/>
                <w:szCs w:val="12"/>
                <w:b w:val="1"/>
                <w:bCs w:val="1"/>
                <w:color w:val="auto"/>
                <w:w w:val="98"/>
              </w:rPr>
              <w:t>As Adjusted</w:t>
            </w:r>
            <w:r>
              <w:rPr>
                <w:rFonts w:ascii="Arial" w:cs="Arial" w:eastAsia="Arial" w:hAnsi="Arial"/>
                <w:sz w:val="19"/>
                <w:szCs w:val="19"/>
                <w:b w:val="1"/>
                <w:bCs w:val="1"/>
                <w:color w:val="auto"/>
                <w:w w:val="98"/>
                <w:vertAlign w:val="superscript"/>
              </w:rPr>
              <w:t>(2)</w:t>
            </w:r>
          </w:p>
        </w:tc>
      </w:tr>
      <w:tr>
        <w:trPr>
          <w:trHeight w:val="210"/>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383,775,000</w:t>
            </w:r>
          </w:p>
        </w:tc>
      </w:tr>
      <w:tr>
        <w:trPr>
          <w:trHeight w:val="216"/>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1,000,000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383,775,000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organization costs and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stock, par value $0.001 per share; 100,000,000 common shares authorized, 80,000 common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880" w:type="dxa"/>
            <w:vAlign w:val="bottom"/>
          </w:tcPr>
          <w:p>
            <w:pPr>
              <w:spacing w:after="0"/>
              <w:rPr>
                <w:sz w:val="19"/>
                <w:szCs w:val="19"/>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outstanding, actual; 27,400,000 common shares outstanding,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845,036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383,529,600</w:t>
            </w:r>
          </w:p>
        </w:tc>
      </w:tr>
      <w:tr>
        <w:trPr>
          <w:trHeight w:val="216"/>
        </w:trPr>
        <w:tc>
          <w:tcPr>
            <w:tcW w:w="8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383,557,000</w:t>
            </w:r>
          </w:p>
        </w:tc>
      </w:tr>
      <w:tr>
        <w:trPr>
          <w:trHeight w:val="216"/>
        </w:trPr>
        <w:tc>
          <w:tcPr>
            <w:tcW w:w="8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97" w:lineRule="exact"/>
        <w:rPr>
          <w:sz w:val="20"/>
          <w:szCs w:val="20"/>
          <w:color w:val="auto"/>
        </w:rPr>
      </w:pPr>
    </w:p>
    <w:p>
      <w:pPr>
        <w:ind w:left="340" w:right="160" w:hanging="332"/>
        <w:spacing w:after="0" w:line="23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March 21, 2007, we had invested approximately $234 million in senior secured loans in portfolio companies, of which $118 million had settled; these amounts are excluded from As Adjusted. We expect that our initial portfolio of senior secured loans will total approximately $250 million immediately prior to the closing of the offering.</w:t>
      </w: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Assumes no exercise of the underwriters’ over-allotment option of 4,050,000 shares. As adjusted gives effect to an increase in organizational costs and other liabilities to $218,000 as of March 21, 2007.</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dilution to investors in this offering is represented by the difference between the offering price per share and the pro forma net tangible book value per share after this offering. Net tangible book value per share is determined by dividing our net tangible book value, which is our total tangible assets less total liabilities, by the number of outstanding shares.</w:t>
      </w:r>
    </w:p>
    <w:p>
      <w:pPr>
        <w:spacing w:after="0" w:line="113"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As of February 6, 2007, our net tangible book value was $845,116, or approximately $10.56 per share. After giving effect to (a) the contribution of an additional $200,000 by our investment adviser in connection with its investment in 80,000 shares of our common stock, (b) the sale of 320,000 shares of our common stock to our officers and directors, our investment adviser and the managers of our investment adviser in a private placement immediately prior to consummation of this offering and (c) the sale of the shares to be sold in this offering, and the deduction of discounts and estimated expenses of this offering before stabilization, our pro forma net tangible book value would have been approximately $383.6 million, or $14.00 per share, representing an immediate increase in our net tangible book value of $3.44 per share and an immediate dilution of $1.00 per share, or 6.7%, to shares sold in this offering.</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060" w:type="dxa"/>
            <w:vAlign w:val="bottom"/>
            <w:gridSpan w:val="2"/>
          </w:tcPr>
          <w:p>
            <w:pPr>
              <w:jc w:val="right"/>
              <w:ind w:right="2612"/>
              <w:spacing w:after="0"/>
              <w:rPr>
                <w:sz w:val="20"/>
                <w:szCs w:val="20"/>
                <w:color w:val="auto"/>
              </w:rPr>
            </w:pPr>
            <w:r>
              <w:rPr>
                <w:rFonts w:ascii="Arial" w:cs="Arial" w:eastAsia="Arial" w:hAnsi="Arial"/>
                <w:sz w:val="18"/>
                <w:szCs w:val="18"/>
                <w:color w:val="auto"/>
                <w:w w:val="88"/>
              </w:rPr>
              <w:t>The following table illustrates the dilution to the shares on a per share basis:</w:t>
            </w: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20" w:type="dxa"/>
            <w:vAlign w:val="bottom"/>
            <w:vMerge w:val="restart"/>
          </w:tcPr>
          <w:p>
            <w:pPr>
              <w:spacing w:after="0"/>
              <w:rPr>
                <w:sz w:val="13"/>
                <w:szCs w:val="13"/>
                <w:color w:val="auto"/>
              </w:rPr>
            </w:pPr>
          </w:p>
        </w:tc>
        <w:tc>
          <w:tcPr>
            <w:tcW w:w="7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Increase attributable to shareholders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Dilution to shareholders in this offering (without exercise of the over-allotment option)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8060" w:type="dxa"/>
            <w:vAlign w:val="bottom"/>
            <w:gridSpan w:val="2"/>
          </w:tcPr>
          <w:p>
            <w:pPr>
              <w:jc w:val="right"/>
              <w:ind w:right="2632"/>
              <w:spacing w:after="0"/>
              <w:rPr>
                <w:sz w:val="20"/>
                <w:szCs w:val="20"/>
                <w:color w:val="auto"/>
              </w:rPr>
            </w:pPr>
            <w:r>
              <w:rPr>
                <w:rFonts w:ascii="Arial" w:cs="Arial" w:eastAsia="Arial" w:hAnsi="Arial"/>
                <w:sz w:val="18"/>
                <w:szCs w:val="18"/>
                <w:color w:val="auto"/>
              </w:rPr>
              <w:t>36</w:t>
            </w: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 Corporation is a newly organized, externally managed, non-diversified, closed-end management investment company that intends to file an election to be treated as a business development company under the 1940 Act. In addition, for tax purposes we intend to elect to be treated as a RIC under Subchapter M of the Code. PennantPark’s investment objective is to generate both current income and capital appreciation through debt and equity investments. For a short period (less than one month after the closing of this offering), we may not be a RIC and may be subject to corporate-level income tax. From time to time, we may also invest in public companies that are thinly traded.</w:t>
      </w:r>
    </w:p>
    <w:p>
      <w:pPr>
        <w:spacing w:after="0" w:line="8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anticipate that our portfolio will be primarily comprised of investments in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If such companies were rated, we believe that they would typically receive a rating below investment grade (between BB and CCC under the Standard &amp; Poor’s system) from the national rating agencies. In addition, we expect the debt securities of such companies to range in maturity from three to ten years.</w:t>
      </w:r>
    </w:p>
    <w:p>
      <w:pPr>
        <w:spacing w:after="0" w:line="8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March 21, 2007, we had invested approximately $234 million in senior secured loans, of which $118 million had settled. As of that date, our portfolio consisted of investments with an average investment size of approximately $5.7 million, a weighted average yield of 7.5% and a weighted average maturity of 6.4 years. Immediately prior to the consummation of this offering, we expect that our portfolio will consist primarily of senior secured loans having an aggregate principal amount of approximately $250 million. This amount will include capital commitments in respect of delayed or deferred draws under some lending facilities, which totaled approximately $15.3 million as of March 31, 2007. See “Portfolio Companies.” Over time, however, we expect that our portfolio will include a combination of senior and mezzanine loans and senior secured loans and, to a lesser extent, equity securities. See “Discussion of Expected Operating Plans—Credit Facility” and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were incorporated in January 2007, and shortly thereafter entered into a binding term sheet with the Lender with respect to the creation of the Credit Facility. We subsequently formed Pennant SPV Company, LLC as a wholly owned subsidiary, and have capitalized it using $1.2 million we received from Mr. Penn, through PennantPark Investment Advisers, in connection with his investment in our common stock. In February 2007, we, through Pennant SPV Company, LLC, entered into the Credit Facility with the Lender. The Credit Facility was subsequently amended in March 2007.</w:t>
      </w:r>
    </w:p>
    <w:p>
      <w:pPr>
        <w:spacing w:after="0" w:line="8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arranged to borrow under the Credit Facility through Pennant SPV Company, LLC at the request of the Lender, so as to isolate the credit risk in our investments, and the Lender’s security interests in such investments, remotely from PennantPark until such time as the Credit Facility is repaid in full. The Credit Facility provides for available borrowings of up to an aggregate principal amount of $250 million, subject to specified borrowing conditions. We intend to use a portion of the net proceeds of this offering to repay the outstanding principal of, and accrued and unpaid interest on, the Credit Facility as well as to pay the reasonable transaction costs incurred by us and the Lender in establishing the Credit Facility. We have used borrowings under the Credit Facility to purchase the senior secured loans that constitute our current portfolio.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While our primary focus will be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PennantPark and the Founder of our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w:t>
      </w:r>
    </w:p>
    <w:p>
      <w:pPr>
        <w:spacing w:after="0" w:line="8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8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58"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5"/>
          <w:szCs w:val="15"/>
          <w:color w:val="auto"/>
        </w:rPr>
        <w:t>Aviv Efrat serves as our Chief Financial Officer and Treasurer. Mr. Efrat, who is also a Managing Director of PennantPark Administration,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professionals, Geoffrey Chang, Salvatore Giannetti III and Whit Williams, have a combined 44 years of experience in the mezzanine, private equity and leveraged finance businesses.</w:t>
      </w:r>
    </w:p>
    <w:p>
      <w:pPr>
        <w:spacing w:after="0" w:line="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from March 2000 to November 2001. Mr. Williams was an officer at UBS Investment Bank from 1996 to March 2007, most recently as a Managing Director in its Leveraged Finance and Financial Sponsors Group. We and our investment adviser expect to hire additional investment professionals to assist with our ongoing management and</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middle-market investing, leveraged and mezzanine finance and the capital markets.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PennantPark intends to invest primarily in mezzanine loans, senior secured loans and equity securities of U.S. middle-market companies. We believe that the size of the middle-market, coupled with the demands of these companies for flexible sources of capital, create an attractive investment environment for PennantPark.</w:t>
      </w:r>
    </w:p>
    <w:p>
      <w:pPr>
        <w:spacing w:after="0" w:line="53" w:lineRule="exact"/>
        <w:rPr>
          <w:sz w:val="20"/>
          <w:szCs w:val="20"/>
          <w:color w:val="auto"/>
        </w:rPr>
      </w:pPr>
    </w:p>
    <w:p>
      <w:pPr>
        <w:ind w:left="900" w:hanging="446"/>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As evidence of this trend, the average deal size in the high-yield market has grown from approximately $164 million in 1997 to approximately $509 million in 2006. Approximately 2% of all high-yield issues in 2006 raised less than $100 million. We believe these trends have made it harder for middle-market companies to raise funds by issuing high-yield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80010</wp:posOffset>
            </wp:positionV>
            <wp:extent cx="4553585" cy="3302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5358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205740</wp:posOffset>
            </wp:positionV>
            <wp:extent cx="4802505" cy="3009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250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right="20" w:hanging="446"/>
        <w:spacing w:after="0" w:line="313"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there is a large pool of un-invested private equity capital likely to seek mezzanine capital to support private investments. </w:t>
      </w:r>
      <w:r>
        <w:rPr>
          <w:rFonts w:ascii="Arial" w:cs="Arial" w:eastAsia="Arial" w:hAnsi="Arial"/>
          <w:sz w:val="15"/>
          <w:szCs w:val="15"/>
          <w:color w:val="auto"/>
        </w:rPr>
        <w:t>We</w:t>
      </w:r>
      <w:r>
        <w:rPr>
          <w:rFonts w:ascii="Arial" w:cs="Arial" w:eastAsia="Arial" w:hAnsi="Arial"/>
          <w:sz w:val="15"/>
          <w:szCs w:val="15"/>
          <w:b w:val="1"/>
          <w:bCs w:val="1"/>
          <w:color w:val="auto"/>
        </w:rPr>
        <w:t xml:space="preserve"> </w:t>
      </w:r>
      <w:r>
        <w:rPr>
          <w:rFonts w:ascii="Arial" w:cs="Arial" w:eastAsia="Arial" w:hAnsi="Arial"/>
          <w:sz w:val="15"/>
          <w:szCs w:val="15"/>
          <w:color w:val="auto"/>
        </w:rPr>
        <w:t>expect that private equity firms will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 In 2005 and 2006, private equity funds raised $151 billion and $186 billion, respectively. Of this amount, we believe that approximately $39 billion was raised to finance leveraged buyout funds targeting U.S. middle-market companies both in 2005 and 2006.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18" w:lineRule="exact"/>
        <w:rPr>
          <w:rFonts w:ascii="Arial" w:cs="Arial" w:eastAsia="Arial" w:hAnsi="Arial"/>
          <w:sz w:val="15"/>
          <w:szCs w:val="15"/>
          <w:color w:val="auto"/>
        </w:rPr>
      </w:pPr>
    </w:p>
    <w:p>
      <w:pPr>
        <w:ind w:left="900" w:hanging="446"/>
        <w:spacing w:after="0" w:line="29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 “public-to-private” transactions as well as the number of companies selecting a “sale” alternative versus raising capital in the public equity markets as a means of increasing liquidity will remain large. The volume of “public to private” transactions in the United States increased from $23 billion in 2004 to $128 billion in 2006. Additionally, the cost and effort associated with being a public company in the United States have become more onerous, causing many management teams to consider alternative liquidity strategies. We believe these trends will reinforce demand for debt-related financing and mezzanine investment opportunities for middle-market companies.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Penn will have principal management responsibility for PennantPark Investment Advisers as its Managing Member. Mr. Penn has more than 20 years of experience in mezzanine lending, leveraged finance,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private equity and distressed debt investing. Through his tenure at Apollo Investment Management, he also has direct experience in successfully capitalizing, staffing and managing a publicly traded business development company. Mr. Penn intends to dedicate the vast majority of his time to managing PennantPark and PennantPark Investment Advisers. Mr. Efrat serves as our Chief Financial Officer and Treasurer is also a Managing Director of PennantPark Investment Administration. He has extensive experience in finance and administration of registered investment companies, having served for a decade as a Director at BlackRock, LLC, a leading investment firm. Our investment adviser has three experienced investment professionals, in addition to Mr. Penn, who are partners of the firm. These investment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Partner in the private equity firm of Wilton Ivy Partners from 2004 through 2007. Prior to joining Wilton Ivy Partners, he was a Managing Director at UBS Warburg LLC in its Leveraged Finance and Financial Sponsors Groups. Mr. Williams was an officer at UBS Investment Bank from 1996 to March 2007, most recently as a Managing Director in its Leveraged Finance and Financial Sponsors Group. We and our investment adviser expect to hire additional investment professionals to assist with our ongoing management and 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middle-market investing, leveraged and mezzanine finance and the capital markets.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his investment experience, we believe Mr. Penn has developed a strong reputation in the capital markets. We believe that this reputation, together with his experience and expertise of the other investment professionals of our investment adviser in raising capital, investing in debt and equity securities and managing investments in companies, will afford PennantPark a competitive advantage in identifying and investing in middle-market companies. Mr. Penn, our other officers and directors and the managers of our investment adviser have invested or committed to invest directly and indirectly, approximately $6.0 million in 400,000 shares of PennantPark prior to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 When market conditions make it difficult for us to invest according to our criteria, we intend to be highly selective in deploying our capital. We do not intend to pursue short-term origination targets. We believe this approach will enable us to build an attractive investment portfolio that meets our return and value criteria over the long term.</w:t>
      </w:r>
    </w:p>
    <w:p>
      <w:pPr>
        <w:spacing w:after="0" w:line="8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intend to conduct a rigorous due diligence process that draws from our investment adviser’s investment experience, industry expertise and network of contacts. Among other things, our due diligence is designed to ensure that each prospective portfolio company will be able to meet its debt service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 In making investment decisions we will seek to pursue and invest in companies that meet several of the following criteria:</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value orientation and positive free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established financial sponsors that have a history of creating value with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strong and competitive industry position;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viable exit strategy and reliable liquidation value of assets.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a potential investment meets most or all of our investment criteria, we intend to be flexible in adopting transaction structures that address the needs of prospective portfolio companies and their owners. Our investment philosophy is focused on generating attractive internal rates of return over the life of an investment. Given our investment criteria and due diligence process, we expect to structure our investments so they correlate closely with the success of our portfolio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his role as Chief Operating Officer and President of Apollo Investment Corporation, Mr. Penn oversaw investments in 73 companies operating in partnership with 54 different financial sponsors across 29 industries. As a result of their long experience in the investment business, Mr. Penn and the management team of our investment adviser have developed long-term relationships with management consultants and management teams that we believe will enable us to effectively investment opportunities evaluate in numerous industries, as well as giving us access to substantial information concerning those industries. We believe PennantPark Investment Advisers will be able to identify and assess attractive investment opportunities, structure investments successfully across all levels of a company’s capital structure and manage potential risk and return at all stages of the economic cycle.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identify potential investments both through active origination and through dialogue with numerous management teams, members of the financial community and corporate partners with whom Mr. Penn has long-term relationships. We believe that Mr. Penn’s broad network of contacts within the investment, commercial banking, private equity and investment management communities and his strong reputation in investment management, will enable us to attract well-positioned prospective portfolio companies. Additionally, we expect to generate information from our investment advisers’ network of accountants, consultants, lawyers and management teams of portfolio companies and other companies. We also expect to benefit from the additional contacts and relationships of Messrs. Chang, Giannetti, and Williams and of the other investment professionals retained by our investment adviser.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that the in-depth coverage and experience of Mr. Penn, as well as that of the other investment professionals of our investment adviser, will enable us to invest throughout various stages of the economic cycle and will provide our investment adviser with access to ongoing market insights in addition to a significant investment sourcing engine. See “—Investments.” While we will be subject to compliance with the 1940 Act, we will not be subject to many of the regulatory limitations that govern traditional lending institutions such as banks. As a result, we expect to be flexible in selecting and structuring investments, adjusting investment criteria, transaction structures and, in some cases, the types of securities in which we invest. We believe that this flexibility will enable PennantPark Investment Advisers to identify attractive investment opportunities throughout the economic cycle so that we can make investments consistent with our objective even during turbulent periods in the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These provisions often force private equity and venture capital funds to seek returns on their investments through mergers, public equity offerings or other liquidity events more quickly than they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otherwise might, potentially resulting in both a lower overall return to investors and an adverse impact on their portfolio companies. We believe that our flexibility to make investments with a long-term view and without the capital return requirements of traditional private investment vehicles will provide us with the opportunity to generate returns on invested capital and enable us to be a better long-term partner for our portfolio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investment activities will be managed by PennantPark Investment Advisers and supervised by our board of directors, a majority of whom are independent of our investment adviser and PennantPark. PennantPark Investment Advisers is a newly formed investment adviser that is registered under the Advisers Act. Under our Investment Management Agreement, we have agreed to pay PennantPark Investment Advisers an annual base management fee based on our gross assets as well as an incentive fee based on our investment performance. We intend to execute the Investment Management Agreement at the time we elect to be treated as a business development company, which we expect to occur shortly before consummation of this offering. Prior to making this election, our relationship with the investment adviser is governed by the Interim Management Agreement. See “Management—Investment Management Agreement.”</w:t>
      </w:r>
    </w:p>
    <w:p>
      <w:pPr>
        <w:spacing w:after="0" w:line="93"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We have also entered into the Administration Agreement with PennantPark Administration. Under the Administration Agreement, we have agreed to reimburse PennantPark Administration for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 See “Management—Administration Agreement.”</w:t>
      </w:r>
    </w:p>
    <w:p>
      <w:pPr>
        <w:spacing w:after="0" w:line="8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8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through our wholly owned subsidiary, Pennant SPV Company, LLC, have established a Credit Facility to fund portfolio investments prior to consummation of this offering. We may borrow other funds subsequent to this offering. After we repay the Credit Facility, we do not intend to borrow money to fund our investments until such time as we have invested substantially all of the proceeds of this offering. At that time, we may elect to borrow money to fund investments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PennantPark and our stockholders. We have not yet decided the extent to which we will finance portfolio investments using debt. After we repay the Credit Facility, we do not intend to borrow money to fund our investments until such time as we have invested substantially all of the proceeds of the offering. See “Regulation.” See “Material U.S. Federal Income Tax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will seek to create a diversified portfolio that will include mezzanine loans, senior secured loans and equity securities by investing approximately $15 to $50 million of capital, on average, in the securities of middle-market companies although, this investment size will vary proportionately with the size of our capital base. However, we expect that our initial portfolio upon consummation of this offering will consist primarily of senior secured loans of between $3 and $10 million each. We expect that the companies in which we invest will typically be highly leveraged, often as a result of leveraged buy-outs or other recapitalization transactions, and, in most cases, will not be rated by national rating agencies. If such companies were rated, we believe that they would typically receive a rating below investment grade (between BB and CCC under the Standard &amp; Poor’s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system) from the national rating agencies. In addition, we expect the debt securities of such companies to range in maturity from three to ten years. We expect that our target portfolio over time will include both mezzanine loans and senior secured loans. Structurally, mezzanine loans usually rank subordinate in priority of payment to senior debt, such as senior bank debt, and is often unsecured. As such, other creditors may rank senior to us in the event of an insolvency. However, mezzanine loans rank senior to common and preferred equity in a borrowers’ capital structure. Due to its higher risk profile and often less restrictive covenants as compared to senior loans, mezzanine loans generally earn a higher return than senior secured loans. We believe that mezzanine loans offer an alternative investment opportunity based upon their historic returns and resilience during economic downturns. In many cases mezzanine investors receive opportunities to invest directly in the equity securities of borrowers and from time to time may also receive warrants to purchase equity securities. We will evaluate these investment opportunities on a case-by-case basis.</w:t>
      </w:r>
    </w:p>
    <w:p>
      <w:pPr>
        <w:spacing w:after="0" w:line="9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Initially, we expect that our portfolio will consist primarily of senior secured loans and our other anticipated investments. Over time, however, we expect that our portfolio will consist of both mezzanine loans and senior secured loans and, to a lesser extent, equity securities. In addition to mezzanine loans and senior secured loans, we may invest up to 30% of our portfolio in opportunistic investments. These investments may include investments in high-yield bonds, distressed debt, private equity, securities of public companies that are not thinly traded and securities of middle-market companies located outside of the United States. We expect that these public companies generally will issue debt securities that are non-investment grade.</w:t>
      </w:r>
    </w:p>
    <w:p>
      <w:pPr>
        <w:spacing w:after="0" w:line="8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Additionally,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the securitized pool of loans.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Moreover, we may acquire investments in the secondary market and, in analyzing such investments, we will employ the same analytical process as we use for our primary investments.</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principal focus will be to provide mezzanine loans and senior secured loans to middle-market companies in a variety of industries. We will generally seek to target companies that generate positive cash flows. We will generally seek to invest in companies from the broad variety of industries in which our investment adviser has direct expertise. The following is a representative list of the industries in which we may elect to invest.</w:t>
      </w:r>
    </w:p>
    <w:p>
      <w:pPr>
        <w:spacing w:after="0" w:line="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Building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Chemicals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Finance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Equipment Rental</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Leisure 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Machinery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Publishing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Transportation</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invest in other industries if we are presented with attractive opportunities.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an effort to increase our returns and the number of loans that we can make, we may in the future seek to securitize our loans. To securitize loans, we would create a wholly owned subsidiary and contribute a pool of loans to the subsidiary. We would sell interests in the subsidiary on a non-recourse basis to purchasers who we would expect to be willing to accept a lower interest rate to invest in investment-grade loan pools. We may use the proceeds of such sales to pay down bank debt or to fund additional investment.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invest in any portfolio company in which any of our affiliates have an investment now or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portfolio company characteristics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you that not all of these criteria will be met by each prospective portfolio company in which we choose to invest. Generally, we will seek to use our experience and access to market information generated to identify investment candidates and to structure investments quickly and effectively.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Value orientation/positive cash flow</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investment philosophy will place a premium on fundamental analysis from an investor’s perspective and will have a distinct value orientation. We will focus on companies in which we can invest at relatively low multiples of operating cash flow and that are profitable at the time of investment on an operating cash flow basis. Typically, we would not expect to invest in start-up companies or companies having speculative business plans.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will generally require that our portfolio companies have an experienced management team. We will also require the portfolio companies to have in place proper incentives to induce management to succeed and to act in concert with our interests as investors, including having significant equity interests. In addition, we intend to focus our investments in companies backed by strong financial sponsors that have a history of creating value and with whom members of our investment advisor have an established relationship.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seek to invest in target companies that have developed leading market positions within their respective markets and are well positioned to capitalize on growth opportunities. We will seek companies that demonstrate significant competitive advantages versus their competitors, which should help to protect their market position and profitability.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will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Realizable liquidation value of assets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prospective liquidation value of the assets, if any, collateralizing loans in which we invest will be an important factor in our credit analysis. We will emphasize both tangible assets, such as accounts receivable, inventory, equipment and real estate, and intangible assets, such as intellectual property, customer lists, networks and databases.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will conduct a rigorous due diligence process that draws from our investment adviser’s investment experience, industry expertise and network of contacts. Our investment adviser will conduct extensive due diligence investigations in their investment activities. We expect that the senior investment professionals we retain after this offering will maintain a similar approach to conducting due diligence on prospective portfolio companies. In conducting due diligence, we expect that our investment adviser will use publicly available information as well as information from its relationships with former and current management teams, consultants, competitors and investment bankers.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will typically include:</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of senior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will present the investment opportunity to our investment adviser’s investment committee, which will determine whether to pursue the potential investment. All new investments will be required to be reviewed by the investment committee of our investment adviser, which currently consists of Messrs. Penn, Chang, Giannetti and Williams, subject to final approval by Mr. Penn. As our investment adviser adds senior investment professionals subsequent to this offering, our investment adviser may add them to its investment committee. The members of our investment committee will receive no compensation from us. These members will be employees or partners of our investment adviser and will receive compensation or profit distributions from our investment adviser.</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accountants prior to the closing of the investment, as well as other outside advisers,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Once we have determined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expected to perform relative to the other capital in the portfolio company’s capital structure.</w:t>
      </w:r>
    </w:p>
    <w:p>
      <w:pPr>
        <w:spacing w:after="0" w:line="8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anticipate investing in portfolio companies primarily in the form of senior secured loans and mezzanine loans. We expect our senior secured loans to have terms of three to ten years and to provide for deferred interest payments in the first few years of the term of the loan. We will obtain security interests in the assets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portfolio companies that will serve as collateral in support of the repayment of these loans. This collateral may take the form of first or second priority liens on the assets of a portfolio company. We expect that the interest rate on our senior secured loans generally will range between 1.5% and 10% over LIBOR.</w:t>
      </w:r>
    </w:p>
    <w:p>
      <w:pPr>
        <w:spacing w:after="0" w:line="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structuring our mezzanine investments primarily as unsecured, subordinated loans that provide for relatively high, fixed interest rates that will provide us with significant current interest income. These loans typically will have interest-only payments in the early years, with amortization of principal deferred to the later years of the mezzanine loans. In some cases, we may enter into mezzanine loans that, by their terms, convert into equity or additional debt securities or defer payments of interest for the first few years after our investment. Also, in some cases our mezzanine loans may be collateralized by a subordinated lien on some or all of the assets of the borrower. Typically, our mezzanine loans will have maturities of five to ten years. We will generally target an annual total return of 11% to 20% for our mezzanine loan investments.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case of our mezzanine loan and senior secured loan investments, we will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00" w:hanging="446"/>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receive with our debt securities generally will require only a nominal cost to exercise, and thus, as a portfolio company appreciates in value, we may achieve additional investment return from these equity interests. We may structure the warrants to provide provisions protecting our rights as a minority-interest holder, as well as puts, or rights to sell such securities back to the company, upon the occurrence of specified events. In many cases, we will also obtain registration rights in connection with these equity securities, which may include demand and “piggyback” registration rights. With respect to preferred or common equity investments, we expect to target an investment return of at least 16%. However, we can offer no assurance that we can achieve such a return with respect to any investment or our portfolio as a whole.</w:t>
      </w:r>
    </w:p>
    <w:p>
      <w:pPr>
        <w:spacing w:after="0" w:line="9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will sell our investments earlier if a liquidity event takes place, such as the sale or recapitalization of a portfolio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a business development company, we will offer, and must provide upon request, managerial assistance to certain of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receive fees for these services. PennantPark Administration will provide such managerial assistance on our behalf to portfolio companies that request this assistance.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PennantPark Investment Advisers will monitor our portfolio companies on an ongoing basis. PennantPark Investment Advisers will monitor the financial trends of each portfolio company to determine if they are meeting their respective business plans and to assess the appropriate course of action for each company.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Advisers will have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Comparisons to other PennantPark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is a description of the steps we will take each quarter to determine the value of our portfolio. Investments for which market quotations are readily available will be recorded in our financial statements at such market quotations. With respect to investments for which market quotations are not readily available, our board of directors will undertake a multi-step valuation process each quarter, as described below:</w:t>
      </w:r>
    </w:p>
    <w:p>
      <w:pPr>
        <w:spacing w:after="0" w:line="26" w:lineRule="exact"/>
        <w:rPr>
          <w:sz w:val="20"/>
          <w:szCs w:val="20"/>
          <w:color w:val="auto"/>
        </w:rPr>
      </w:pPr>
    </w:p>
    <w:p>
      <w:pPr>
        <w:ind w:left="900" w:right="1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will be allocated to the increase in the cost basis of the investment, rather than to capital appreciation or gain.</w:t>
      </w:r>
    </w:p>
    <w:p>
      <w:pPr>
        <w:spacing w:after="0" w:line="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that all of our portfolio investments will be recorded at fair value as determined under the valuation process discussed above. As a result, there will be uncertainty with respect to the value of our portfolio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primary competitors to provide financing to middle-market companies will include public and private funds, including other business development companies, commercial and investment banks, commercial financing companies, and, to the extent they provide an alternative form of financing, private equity funds. As a result of these new entrants, competition for investment opportunities at middle-market companies has intensified. Many of our competitors are substantially larger and have considerably greater financial, technical and marketing resources than we do. For example, some competitors may have a lower cost of funds and access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expect to use the industry information available our investment adviser to assess investment risks and determine appropriate pricing for our investments in portfolio companies. In addition, we expect to benefit from the relationships of Messrs. Penn, Chang, Giannetti and Williams, and other senior investment professionals retained by our investment adviser, will enable us to learn about, and compete effectively for, financing opportunities with attractive middle-market companies in the industries in which we seek to invest. For additional information concerning the competitive risks we face, see “Risk Factors—Risks relating to our business and structure—We operate in a highly competitive market for investment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do not currently have any employees. Mr. Penn, our Chief Executive Officer, is the Managing Member of our investment adviser. In addition, Mr. Efrat, our Chief Financial Officer and Treasurer is a Managing Director of our administrator. We and our investment adviser expect to hire additional investment professionals to assist with our ongoing management and in investing the proceeds of this offering. Specifically, we expect to hire a chief compliance officer promptly after the completion of the offering. Currently, our investment adviser has four senior investment professionals, Messrs. Chang, Giannetti, Penn and Williams. Following this offering our investment adviser intends to expand its management team to a total of seven to ten investment professionals within 12 months of the completion of this offering. We and our investment adviser intend to hire professionals with skills applicable to our business plan, including experience in middle-market investing, leveraged and mezzanine finance and capital markets. It is likely that some of these individuals will be employees of PennantPark Administration and will perform their respective functions under the terms of the Administration Agreement. See “Management—Investment management agreement.” In addition, we will reimburse PennantPark Administration for our allocable portion of expenses incurred by it in performing its obligations under the Administration Agreement, including rent and our allocable portion of the cost of our chief compliance officer and their respective staffs. See “Management—Administration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3" w:lineRule="exact"/>
        <w:rPr>
          <w:sz w:val="20"/>
          <w:szCs w:val="20"/>
          <w:color w:val="auto"/>
        </w:rPr>
      </w:pPr>
    </w:p>
    <w:p>
      <w:pPr>
        <w:ind w:right="960" w:firstLine="456"/>
        <w:spacing w:after="0" w:line="254" w:lineRule="auto"/>
        <w:rPr>
          <w:sz w:val="20"/>
          <w:szCs w:val="20"/>
          <w:color w:val="auto"/>
        </w:rPr>
      </w:pPr>
      <w:r>
        <w:rPr>
          <w:rFonts w:ascii="Arial" w:cs="Arial" w:eastAsia="Arial" w:hAnsi="Arial"/>
          <w:sz w:val="16"/>
          <w:szCs w:val="16"/>
          <w:color w:val="auto"/>
        </w:rPr>
        <w:t>Our executive offices are located at 445 Park Avenue,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10022, and are provided by our administrator pursuant to our Administration Agreement. We believe that our office facilities are suitable and adequate for our business as it is contemplated to be conducted.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None of our investment adviser, our administrator or us is currently subject to any material legal proceedings, nor, to our knowledge, is any material legal proceeding threatened against us, or against our investment adviser or administrator. On January 30, 2007, we received a letter from a company objecting to our use of the name Pennant Investment Corporation. We subsequently changed our name to PennantPark Investment Corporation in order to avoid any confusion with that company. In subsequent correspondence with the counsel to that company, we understand that it has continuing concerns regarding our name. We are working to resolve these concerns amicably and, while we can offer no assurance in this regard, do not believe that this issue will have a material adverse effect on our business or financial condition.</w:t>
      </w:r>
    </w:p>
    <w:p>
      <w:pPr>
        <w:spacing w:after="0" w:line="9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As of March 21, 2007, we had invested approximately $234 million of senior secured debt, of which $118 million had settled. We expect that our initial portfolio of senior secured loans will total an aggregate of approximately $250 million immediately prior to closing of this offering. The following table provides information about the investments and commitments in our portfolio as of March 21, 2007.</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left="620"/>
        <w:spacing w:after="0"/>
        <w:rPr>
          <w:sz w:val="20"/>
          <w:szCs w:val="20"/>
          <w:color w:val="auto"/>
        </w:rPr>
      </w:pPr>
      <w:r>
        <w:rPr>
          <w:rFonts w:ascii="Arial" w:cs="Arial" w:eastAsia="Arial" w:hAnsi="Arial"/>
          <w:sz w:val="12"/>
          <w:szCs w:val="12"/>
          <w:b w:val="1"/>
          <w:bCs w:val="1"/>
          <w:color w:val="auto"/>
        </w:rPr>
        <w:t>Issuer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449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Secured Debt</w:t>
      </w:r>
    </w:p>
    <w:p>
      <w:pPr>
        <w:spacing w:after="0" w:line="223" w:lineRule="auto"/>
        <w:rPr>
          <w:sz w:val="20"/>
          <w:szCs w:val="20"/>
          <w:color w:val="auto"/>
        </w:rPr>
      </w:pPr>
      <w:r>
        <w:rPr>
          <w:rFonts w:ascii="Arial" w:cs="Arial" w:eastAsia="Arial" w:hAnsi="Arial"/>
          <w:sz w:val="14"/>
          <w:szCs w:val="14"/>
          <w:color w:val="auto"/>
        </w:rPr>
        <w:t>American Cellular Corporation*</w:t>
      </w:r>
    </w:p>
    <w:p>
      <w:pPr>
        <w:ind w:left="440"/>
        <w:spacing w:after="0" w:line="222" w:lineRule="auto"/>
        <w:rPr>
          <w:sz w:val="20"/>
          <w:szCs w:val="20"/>
          <w:color w:val="auto"/>
        </w:rPr>
      </w:pPr>
      <w:r>
        <w:rPr>
          <w:rFonts w:ascii="Arial" w:cs="Arial" w:eastAsia="Arial" w:hAnsi="Arial"/>
          <w:sz w:val="14"/>
          <w:szCs w:val="14"/>
          <w:color w:val="auto"/>
        </w:rPr>
        <w:t>14201 Wireless Way, Oklahoma City,</w:t>
      </w:r>
    </w:p>
    <w:p>
      <w:pPr>
        <w:ind w:left="440"/>
        <w:spacing w:after="0"/>
        <w:rPr>
          <w:sz w:val="20"/>
          <w:szCs w:val="20"/>
          <w:color w:val="auto"/>
        </w:rPr>
      </w:pPr>
      <w:r>
        <w:rPr>
          <w:rFonts w:ascii="Arial" w:cs="Arial" w:eastAsia="Arial" w:hAnsi="Arial"/>
          <w:sz w:val="14"/>
          <w:szCs w:val="14"/>
          <w:color w:val="auto"/>
        </w:rPr>
        <w:t>OK 73134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Cost</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Value(2)</w:t>
            </w:r>
          </w:p>
        </w:tc>
        <w:tc>
          <w:tcPr>
            <w:tcW w:w="0" w:type="dxa"/>
            <w:vAlign w:val="bottom"/>
          </w:tcPr>
          <w:p>
            <w:pPr>
              <w:spacing w:after="0"/>
              <w:rPr>
                <w:sz w:val="1"/>
                <w:szCs w:val="1"/>
                <w:color w:val="auto"/>
              </w:rPr>
            </w:pPr>
          </w:p>
        </w:tc>
      </w:tr>
      <w:tr>
        <w:trPr>
          <w:trHeight w:val="175"/>
        </w:trPr>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1"/>
              </w:rPr>
              <w:t>Maturity</w:t>
            </w:r>
          </w:p>
        </w:tc>
        <w:tc>
          <w:tcPr>
            <w:tcW w:w="1460" w:type="dxa"/>
            <w:vAlign w:val="bottom"/>
          </w:tcPr>
          <w:p>
            <w:pPr>
              <w:ind w:left="4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Index (1)</w:t>
            </w: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5"/>
                <w:szCs w:val="15"/>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(000)</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05/15/04</w:t>
            </w:r>
          </w:p>
        </w:tc>
        <w:tc>
          <w:tcPr>
            <w:tcW w:w="1460" w:type="dxa"/>
            <w:vAlign w:val="bottom"/>
          </w:tcPr>
          <w:p>
            <w:pPr>
              <w:spacing w:after="0"/>
              <w:rPr>
                <w:sz w:val="20"/>
                <w:szCs w:val="20"/>
                <w:color w:val="auto"/>
              </w:rPr>
            </w:pPr>
            <w:r>
              <w:rPr>
                <w:rFonts w:ascii="Arial" w:cs="Arial" w:eastAsia="Arial" w:hAnsi="Arial"/>
                <w:sz w:val="14"/>
                <w:szCs w:val="14"/>
                <w:color w:val="auto"/>
              </w:rPr>
              <w:t>Telecom</w:t>
            </w:r>
          </w:p>
        </w:tc>
        <w:tc>
          <w:tcPr>
            <w:tcW w:w="12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Arial" w:cs="Arial" w:eastAsia="Arial" w:hAnsi="Arial"/>
                <w:sz w:val="14"/>
                <w:szCs w:val="14"/>
                <w:color w:val="auto"/>
              </w:rPr>
              <w:t>L+200</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  1,000</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$ 1,000</w:t>
            </w:r>
          </w:p>
        </w:tc>
        <w:tc>
          <w:tcPr>
            <w:tcW w:w="480" w:type="dxa"/>
            <w:vAlign w:val="bottom"/>
          </w:tcPr>
          <w:p>
            <w:pPr>
              <w:jc w:val="center"/>
              <w:spacing w:after="0"/>
              <w:rPr>
                <w:sz w:val="20"/>
                <w:szCs w:val="20"/>
                <w:color w:val="auto"/>
              </w:rPr>
            </w:pPr>
            <w:r>
              <w:rPr>
                <w:rFonts w:ascii="Arial" w:cs="Arial" w:eastAsia="Arial" w:hAnsi="Arial"/>
                <w:sz w:val="14"/>
                <w:szCs w:val="14"/>
                <w:color w:val="auto"/>
                <w:w w:val="94"/>
              </w:rPr>
              <w:t>$  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-196215</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6080" w:space="720"/>
            <w:col w:w="46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5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Brock Holdings III, Inc.</w:t>
            </w:r>
          </w:p>
        </w:tc>
        <w:tc>
          <w:tcPr>
            <w:tcW w:w="1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02/21/13</w:t>
            </w:r>
          </w:p>
        </w:tc>
        <w:tc>
          <w:tcPr>
            <w:tcW w:w="13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Industrial Services</w:t>
            </w:r>
          </w:p>
        </w:tc>
        <w:tc>
          <w:tcPr>
            <w:tcW w:w="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3,011</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1670 E. Cardinal Dr., Beaumont,</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TX 77705</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Building Materials Corp. of America*</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09/15/14</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Building Products</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L+275</w:t>
            </w:r>
          </w:p>
        </w:tc>
        <w:tc>
          <w:tcPr>
            <w:tcW w:w="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1,000**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999</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1361 Alps Rd., Wayne, NJ, 07470</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Burlington Coat Factory Warehouse Corporation</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05/28/13</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Retail</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10,000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9,988</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9,912</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1830 Rt. 130, Burlington, NJ 08016</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Cenveo Corporation*</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06/21/13</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Printing</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L+175</w:t>
            </w:r>
          </w:p>
        </w:tc>
        <w:tc>
          <w:tcPr>
            <w:tcW w:w="7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2,003</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One Canterbury Grn., 201 Broad St., Stamford, CT 06901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Charter Communications Operating, LLC*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03/06/14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Cable TV</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15,000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15,000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14,953</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 Charter Communications Holdings, 12405 Powerscourt Dr., St. Louis, MO 63131</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Cohr Holdings, Inc. (Master Plan)*</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01/31/13</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Healthcare</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L+250</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7,000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7,000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7,031</w:t>
            </w:r>
          </w:p>
        </w:tc>
      </w:tr>
      <w:tr>
        <w:trPr>
          <w:trHeight w:val="149"/>
        </w:trPr>
        <w:tc>
          <w:tcPr>
            <w:tcW w:w="5960" w:type="dxa"/>
            <w:vAlign w:val="bottom"/>
          </w:tcPr>
          <w:p>
            <w:pPr>
              <w:ind w:left="440"/>
              <w:spacing w:after="0" w:line="149" w:lineRule="exact"/>
              <w:rPr>
                <w:sz w:val="20"/>
                <w:szCs w:val="20"/>
                <w:color w:val="auto"/>
              </w:rPr>
            </w:pPr>
            <w:r>
              <w:rPr>
                <w:rFonts w:ascii="Arial" w:cs="Arial" w:eastAsia="Arial" w:hAnsi="Arial"/>
                <w:sz w:val="14"/>
                <w:szCs w:val="14"/>
                <w:color w:val="auto"/>
              </w:rPr>
              <w:t>21540 Plummer St.,</w:t>
            </w: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Chatsworth, CA 91311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Covalence Specialty Materials Corp.*</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02/16/13</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Packaging</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5,975</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5,990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5,979</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 Crossroads Dr., Building A, Third Floor, Bedminister, NJ 07921</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Domtar Corporation</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03/05/14</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Paper</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L+137.5</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4,987</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395 de Maisonnueve Blvd., West Montreal, Quebec H3A 1L6</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FR Brand Holding Corp.</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02/07/14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Infrastructure</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2,000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2,000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2,009</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600 Travis St., Suite 600, Houston,</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TX 77002</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Gatehouse Media Operating, Inc.</w:t>
            </w:r>
          </w:p>
        </w:tc>
        <w:tc>
          <w:tcPr>
            <w:tcW w:w="1420" w:type="dxa"/>
            <w:vAlign w:val="bottom"/>
          </w:tcPr>
          <w:p>
            <w:pPr>
              <w:jc w:val="right"/>
              <w:spacing w:after="0"/>
              <w:rPr>
                <w:sz w:val="20"/>
                <w:szCs w:val="20"/>
                <w:color w:val="auto"/>
              </w:rPr>
            </w:pPr>
            <w:r>
              <w:rPr>
                <w:rFonts w:ascii="Arial" w:cs="Arial" w:eastAsia="Arial" w:hAnsi="Arial"/>
                <w:sz w:val="14"/>
                <w:szCs w:val="14"/>
                <w:color w:val="auto"/>
              </w:rPr>
              <w:t>08/27/14</w:t>
            </w:r>
          </w:p>
        </w:tc>
        <w:tc>
          <w:tcPr>
            <w:tcW w:w="1380" w:type="dxa"/>
            <w:vAlign w:val="bottom"/>
          </w:tcPr>
          <w:p>
            <w:pPr>
              <w:ind w:left="60"/>
              <w:spacing w:after="0"/>
              <w:rPr>
                <w:sz w:val="20"/>
                <w:szCs w:val="20"/>
                <w:color w:val="auto"/>
              </w:rPr>
            </w:pPr>
            <w:r>
              <w:rPr>
                <w:rFonts w:ascii="Arial" w:cs="Arial" w:eastAsia="Arial" w:hAnsi="Arial"/>
                <w:sz w:val="14"/>
                <w:szCs w:val="14"/>
                <w:color w:val="auto"/>
              </w:rPr>
              <w:t>Media</w:t>
            </w:r>
          </w:p>
        </w:tc>
        <w:tc>
          <w:tcPr>
            <w:tcW w:w="900" w:type="dxa"/>
            <w:vAlign w:val="bottom"/>
          </w:tcPr>
          <w:p>
            <w:pPr>
              <w:ind w:left="320"/>
              <w:spacing w:after="0"/>
              <w:rPr>
                <w:sz w:val="20"/>
                <w:szCs w:val="20"/>
                <w:color w:val="auto"/>
              </w:rPr>
            </w:pPr>
            <w:r>
              <w:rPr>
                <w:rFonts w:ascii="Arial" w:cs="Arial" w:eastAsia="Arial" w:hAnsi="Arial"/>
                <w:sz w:val="14"/>
                <w:szCs w:val="14"/>
                <w:color w:val="auto"/>
              </w:rPr>
              <w:t>L+175</w:t>
            </w:r>
          </w:p>
        </w:tc>
        <w:tc>
          <w:tcPr>
            <w:tcW w:w="700" w:type="dxa"/>
            <w:vAlign w:val="bottom"/>
          </w:tcPr>
          <w:p>
            <w:pPr>
              <w:jc w:val="right"/>
              <w:ind w:right="152"/>
              <w:spacing w:after="0"/>
              <w:rPr>
                <w:sz w:val="20"/>
                <w:szCs w:val="20"/>
                <w:color w:val="auto"/>
              </w:rPr>
            </w:pPr>
            <w:r>
              <w:rPr>
                <w:rFonts w:ascii="Arial" w:cs="Arial" w:eastAsia="Arial" w:hAnsi="Arial"/>
                <w:sz w:val="14"/>
                <w:szCs w:val="14"/>
                <w:color w:val="auto"/>
              </w:rPr>
              <w:t>3,641</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3,641</w:t>
            </w:r>
          </w:p>
        </w:tc>
        <w:tc>
          <w:tcPr>
            <w:tcW w:w="480" w:type="dxa"/>
            <w:vAlign w:val="bottom"/>
          </w:tcPr>
          <w:p>
            <w:pPr>
              <w:jc w:val="right"/>
              <w:spacing w:after="0"/>
              <w:rPr>
                <w:sz w:val="20"/>
                <w:szCs w:val="20"/>
                <w:color w:val="auto"/>
              </w:rPr>
            </w:pPr>
            <w:r>
              <w:rPr>
                <w:rFonts w:ascii="Arial" w:cs="Arial" w:eastAsia="Arial" w:hAnsi="Arial"/>
                <w:sz w:val="14"/>
                <w:szCs w:val="14"/>
                <w:color w:val="auto"/>
              </w:rPr>
              <w:t>3,634</w:t>
            </w:r>
          </w:p>
        </w:tc>
      </w:tr>
      <w:tr>
        <w:trPr>
          <w:trHeight w:val="162"/>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350 Willowbrook Office Park,</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02/27/14</w:t>
            </w:r>
          </w:p>
        </w:tc>
        <w:tc>
          <w:tcPr>
            <w:tcW w:w="138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Media</w:t>
            </w:r>
          </w:p>
        </w:tc>
        <w:tc>
          <w:tcPr>
            <w:tcW w:w="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L+175</w:t>
            </w:r>
          </w:p>
        </w:tc>
        <w:tc>
          <w:tcPr>
            <w:tcW w:w="7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109</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62"/>
        </w:trPr>
        <w:tc>
          <w:tcPr>
            <w:tcW w:w="5960" w:type="dxa"/>
            <w:vAlign w:val="bottom"/>
          </w:tcPr>
          <w:p>
            <w:pPr>
              <w:ind w:left="440"/>
              <w:spacing w:after="0"/>
              <w:rPr>
                <w:sz w:val="20"/>
                <w:szCs w:val="20"/>
                <w:color w:val="auto"/>
              </w:rPr>
            </w:pPr>
            <w:r>
              <w:rPr>
                <w:rFonts w:ascii="Arial" w:cs="Arial" w:eastAsia="Arial" w:hAnsi="Arial"/>
                <w:sz w:val="14"/>
                <w:szCs w:val="14"/>
                <w:color w:val="auto"/>
              </w:rPr>
              <w:t>Fairport, NY 14450</w:t>
            </w:r>
          </w:p>
        </w:tc>
        <w:tc>
          <w:tcPr>
            <w:tcW w:w="1420" w:type="dxa"/>
            <w:vAlign w:val="bottom"/>
          </w:tcPr>
          <w:p>
            <w:pPr>
              <w:jc w:val="right"/>
              <w:spacing w:after="0"/>
              <w:rPr>
                <w:sz w:val="20"/>
                <w:szCs w:val="20"/>
                <w:color w:val="auto"/>
              </w:rPr>
            </w:pPr>
            <w:r>
              <w:rPr>
                <w:rFonts w:ascii="Arial" w:cs="Arial" w:eastAsia="Arial" w:hAnsi="Arial"/>
                <w:sz w:val="14"/>
                <w:szCs w:val="14"/>
                <w:color w:val="auto"/>
              </w:rPr>
              <w:t>02/27/14</w:t>
            </w:r>
          </w:p>
        </w:tc>
        <w:tc>
          <w:tcPr>
            <w:tcW w:w="1380" w:type="dxa"/>
            <w:vAlign w:val="bottom"/>
          </w:tcPr>
          <w:p>
            <w:pPr>
              <w:ind w:left="60"/>
              <w:spacing w:after="0"/>
              <w:rPr>
                <w:sz w:val="20"/>
                <w:szCs w:val="20"/>
                <w:color w:val="auto"/>
              </w:rPr>
            </w:pPr>
            <w:r>
              <w:rPr>
                <w:rFonts w:ascii="Arial" w:cs="Arial" w:eastAsia="Arial" w:hAnsi="Arial"/>
                <w:sz w:val="14"/>
                <w:szCs w:val="14"/>
                <w:color w:val="auto"/>
              </w:rPr>
              <w:t>Media</w:t>
            </w:r>
          </w:p>
        </w:tc>
        <w:tc>
          <w:tcPr>
            <w:tcW w:w="900" w:type="dxa"/>
            <w:vAlign w:val="bottom"/>
          </w:tcPr>
          <w:p>
            <w:pPr>
              <w:ind w:left="4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1,250**</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1,250</w:t>
            </w:r>
          </w:p>
        </w:tc>
        <w:tc>
          <w:tcPr>
            <w:tcW w:w="480" w:type="dxa"/>
            <w:vAlign w:val="bottom"/>
          </w:tcPr>
          <w:p>
            <w:pPr>
              <w:jc w:val="right"/>
              <w:spacing w:after="0"/>
              <w:rPr>
                <w:sz w:val="20"/>
                <w:szCs w:val="20"/>
                <w:color w:val="auto"/>
              </w:rPr>
            </w:pPr>
            <w:r>
              <w:rPr>
                <w:rFonts w:ascii="Arial" w:cs="Arial" w:eastAsia="Arial" w:hAnsi="Arial"/>
                <w:sz w:val="14"/>
                <w:szCs w:val="14"/>
                <w:color w:val="auto"/>
              </w:rPr>
              <w:t>1,248</w:t>
            </w:r>
          </w:p>
        </w:tc>
      </w:tr>
      <w:tr>
        <w:trPr>
          <w:trHeight w:val="149"/>
        </w:trPr>
        <w:tc>
          <w:tcPr>
            <w:tcW w:w="596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02/27/14</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L+175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1,456</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1,456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1,454</w:t>
            </w:r>
          </w:p>
        </w:tc>
      </w:tr>
      <w:tr>
        <w:trPr>
          <w:trHeight w:val="149"/>
        </w:trPr>
        <w:tc>
          <w:tcPr>
            <w:tcW w:w="596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02/27/14</w:t>
            </w: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544**</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544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r>
      <w:tr>
        <w:trPr>
          <w:trHeight w:val="149"/>
        </w:trPr>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03/16/12</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L+275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r>
      <w:tr>
        <w:trPr>
          <w:trHeight w:val="149"/>
        </w:trPr>
        <w:tc>
          <w:tcPr>
            <w:tcW w:w="5960" w:type="dxa"/>
            <w:vAlign w:val="bottom"/>
          </w:tcPr>
          <w:p>
            <w:pPr>
              <w:ind w:left="440"/>
              <w:spacing w:after="0" w:line="149" w:lineRule="exact"/>
              <w:rPr>
                <w:sz w:val="20"/>
                <w:szCs w:val="20"/>
                <w:color w:val="auto"/>
              </w:rPr>
            </w:pPr>
            <w:r>
              <w:rPr>
                <w:rFonts w:ascii="Arial" w:cs="Arial" w:eastAsia="Arial" w:hAnsi="Arial"/>
                <w:sz w:val="14"/>
                <w:szCs w:val="14"/>
                <w:color w:val="auto"/>
              </w:rPr>
              <w:t>300 Sixth Avenue, Pittsburgh, PA 15222</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09/16/13</w:t>
            </w: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Retail</w:t>
            </w:r>
          </w:p>
        </w:tc>
        <w:tc>
          <w:tcPr>
            <w:tcW w:w="900" w:type="dxa"/>
            <w:vAlign w:val="bottom"/>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3,500</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3,500</w:t>
            </w:r>
          </w:p>
        </w:tc>
      </w:tr>
      <w:tr>
        <w:trPr>
          <w:trHeight w:val="138"/>
        </w:trPr>
        <w:tc>
          <w:tcPr>
            <w:tcW w:w="5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Industries, Inc. (Western Refining)*</w:t>
            </w:r>
          </w:p>
        </w:tc>
        <w:tc>
          <w:tcPr>
            <w:tcW w:w="14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06/25/10</w:t>
            </w:r>
          </w:p>
        </w:tc>
        <w:tc>
          <w:tcPr>
            <w:tcW w:w="13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Energy</w:t>
            </w:r>
          </w:p>
        </w:tc>
        <w:tc>
          <w:tcPr>
            <w:tcW w:w="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L+175</w:t>
            </w:r>
          </w:p>
        </w:tc>
        <w:tc>
          <w:tcPr>
            <w:tcW w:w="7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12,000</w:t>
            </w:r>
          </w:p>
        </w:tc>
        <w:tc>
          <w:tcPr>
            <w:tcW w:w="58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12,000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12,030</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23733 North Scottsdale Rd.,</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Scottsdale, AZ 85255</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Greatwide Logistics Services, Inc.</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12/19/13</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Logistics</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L+350</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7,000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7,000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7,021</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12404 Park Central Dr., Suite 300S, Dallas, TX 75251</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Green Valley Ranch Gaming, LLC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02/08/14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Gaming</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L+200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4,818</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4,818</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4,836</w:t>
            </w: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 Station Casinos, Inc., 2411 W. Sahara Ave., Las Vegas, NV, 89102</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49"/>
        </w:trPr>
        <w:tc>
          <w:tcPr>
            <w:tcW w:w="5960" w:type="dxa"/>
            <w:vAlign w:val="bottom"/>
          </w:tcPr>
          <w:p>
            <w:pPr>
              <w:spacing w:after="0" w:line="149" w:lineRule="exact"/>
              <w:rPr>
                <w:sz w:val="20"/>
                <w:szCs w:val="20"/>
                <w:color w:val="auto"/>
              </w:rPr>
            </w:pPr>
            <w:r>
              <w:rPr>
                <w:rFonts w:ascii="Arial" w:cs="Arial" w:eastAsia="Arial" w:hAnsi="Arial"/>
                <w:sz w:val="14"/>
                <w:szCs w:val="14"/>
                <w:color w:val="auto"/>
              </w:rPr>
              <w:t>Hanley-Wood, LLC</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3/8/14</w:t>
            </w:r>
          </w:p>
        </w:tc>
        <w:tc>
          <w:tcPr>
            <w:tcW w:w="138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6,000</w:t>
            </w: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5,996</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One Thomas Circle, NW, Suite 600, Washington, DC 20005</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3/8/13</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3,000</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w:t>
            </w: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Health Management Associates, Inc.</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02/28/14</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Healthcare</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L+175</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15,000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15,000</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15,056</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5811 Pelican Bay Blvd., Suite 500, Naples, FL 34108</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Hughes Network Systems, LLC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04/15/14</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Telecom</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L+250</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5,000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5,000</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5,000</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11717 Exploration Ln., Germantown,</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MD 20876</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62"/>
        </w:trPr>
        <w:tc>
          <w:tcPr>
            <w:tcW w:w="5960" w:type="dxa"/>
            <w:vAlign w:val="bottom"/>
          </w:tcPr>
          <w:p>
            <w:pPr>
              <w:spacing w:after="0"/>
              <w:rPr>
                <w:sz w:val="20"/>
                <w:szCs w:val="20"/>
                <w:color w:val="auto"/>
              </w:rPr>
            </w:pPr>
            <w:r>
              <w:rPr>
                <w:rFonts w:ascii="Arial" w:cs="Arial" w:eastAsia="Arial" w:hAnsi="Arial"/>
                <w:sz w:val="14"/>
                <w:szCs w:val="14"/>
                <w:color w:val="auto"/>
              </w:rPr>
              <w:t>Jacuzzi Brands Corp.</w:t>
            </w:r>
          </w:p>
        </w:tc>
        <w:tc>
          <w:tcPr>
            <w:tcW w:w="1420" w:type="dxa"/>
            <w:vAlign w:val="bottom"/>
          </w:tcPr>
          <w:p>
            <w:pPr>
              <w:jc w:val="right"/>
              <w:spacing w:after="0"/>
              <w:rPr>
                <w:sz w:val="20"/>
                <w:szCs w:val="20"/>
                <w:color w:val="auto"/>
              </w:rPr>
            </w:pPr>
            <w:r>
              <w:rPr>
                <w:rFonts w:ascii="Arial" w:cs="Arial" w:eastAsia="Arial" w:hAnsi="Arial"/>
                <w:sz w:val="14"/>
                <w:szCs w:val="14"/>
                <w:color w:val="auto"/>
              </w:rPr>
              <w:t>02/27/14</w:t>
            </w:r>
          </w:p>
        </w:tc>
        <w:tc>
          <w:tcPr>
            <w:tcW w:w="1380" w:type="dxa"/>
            <w:vAlign w:val="bottom"/>
          </w:tcPr>
          <w:p>
            <w:pPr>
              <w:ind w:left="60"/>
              <w:spacing w:after="0"/>
              <w:rPr>
                <w:sz w:val="20"/>
                <w:szCs w:val="20"/>
                <w:color w:val="auto"/>
              </w:rPr>
            </w:pPr>
            <w:r>
              <w:rPr>
                <w:rFonts w:ascii="Arial" w:cs="Arial" w:eastAsia="Arial" w:hAnsi="Arial"/>
                <w:sz w:val="14"/>
                <w:szCs w:val="14"/>
                <w:color w:val="auto"/>
              </w:rPr>
              <w:t>Consumer</w:t>
            </w:r>
          </w:p>
        </w:tc>
        <w:tc>
          <w:tcPr>
            <w:tcW w:w="900" w:type="dxa"/>
            <w:vAlign w:val="bottom"/>
          </w:tcPr>
          <w:p>
            <w:pPr>
              <w:ind w:left="320"/>
              <w:spacing w:after="0"/>
              <w:rPr>
                <w:sz w:val="20"/>
                <w:szCs w:val="20"/>
                <w:color w:val="auto"/>
              </w:rPr>
            </w:pPr>
            <w:r>
              <w:rPr>
                <w:rFonts w:ascii="Arial" w:cs="Arial" w:eastAsia="Arial" w:hAnsi="Arial"/>
                <w:sz w:val="14"/>
                <w:szCs w:val="14"/>
                <w:color w:val="auto"/>
              </w:rPr>
              <w:t>L+225</w:t>
            </w:r>
          </w:p>
        </w:tc>
        <w:tc>
          <w:tcPr>
            <w:tcW w:w="700" w:type="dxa"/>
            <w:vAlign w:val="bottom"/>
          </w:tcPr>
          <w:p>
            <w:pPr>
              <w:jc w:val="right"/>
              <w:ind w:right="152"/>
              <w:spacing w:after="0"/>
              <w:rPr>
                <w:sz w:val="20"/>
                <w:szCs w:val="20"/>
                <w:color w:val="auto"/>
              </w:rPr>
            </w:pPr>
            <w:r>
              <w:rPr>
                <w:rFonts w:ascii="Arial" w:cs="Arial" w:eastAsia="Arial" w:hAnsi="Arial"/>
                <w:sz w:val="14"/>
                <w:szCs w:val="14"/>
                <w:color w:val="auto"/>
              </w:rPr>
              <w:t>9,189</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9,189</w:t>
            </w:r>
          </w:p>
        </w:tc>
        <w:tc>
          <w:tcPr>
            <w:tcW w:w="480" w:type="dxa"/>
            <w:vAlign w:val="bottom"/>
          </w:tcPr>
          <w:p>
            <w:pPr>
              <w:jc w:val="right"/>
              <w:spacing w:after="0"/>
              <w:rPr>
                <w:sz w:val="20"/>
                <w:szCs w:val="20"/>
                <w:color w:val="auto"/>
              </w:rPr>
            </w:pPr>
            <w:r>
              <w:rPr>
                <w:rFonts w:ascii="Arial" w:cs="Arial" w:eastAsia="Arial" w:hAnsi="Arial"/>
                <w:sz w:val="14"/>
                <w:szCs w:val="14"/>
                <w:color w:val="auto"/>
              </w:rPr>
              <w:t>9,206</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 JUSI Holdings, Inc., Phillips Pointe-West Tower,</w:t>
            </w: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02/14/14</w:t>
            </w:r>
          </w:p>
        </w:tc>
        <w:tc>
          <w:tcPr>
            <w:tcW w:w="13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w:t>
            </w:r>
          </w:p>
        </w:tc>
        <w:tc>
          <w:tcPr>
            <w:tcW w:w="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L+225</w:t>
            </w:r>
          </w:p>
        </w:tc>
        <w:tc>
          <w:tcPr>
            <w:tcW w:w="7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811</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r>
      <w:tr>
        <w:trPr>
          <w:trHeight w:val="149"/>
        </w:trPr>
        <w:tc>
          <w:tcPr>
            <w:tcW w:w="5960" w:type="dxa"/>
            <w:vAlign w:val="bottom"/>
          </w:tcPr>
          <w:p>
            <w:pPr>
              <w:ind w:left="440"/>
              <w:spacing w:after="0" w:line="149" w:lineRule="exact"/>
              <w:rPr>
                <w:sz w:val="20"/>
                <w:szCs w:val="20"/>
                <w:color w:val="auto"/>
              </w:rPr>
            </w:pPr>
            <w:r>
              <w:rPr>
                <w:rFonts w:ascii="Arial" w:cs="Arial" w:eastAsia="Arial" w:hAnsi="Arial"/>
                <w:sz w:val="14"/>
                <w:szCs w:val="14"/>
                <w:color w:val="auto"/>
              </w:rPr>
              <w:t>777 S. Flagler Dr., Suite 1100, West Palm Beach,</w:t>
            </w:r>
          </w:p>
        </w:tc>
        <w:tc>
          <w:tcPr>
            <w:tcW w:w="1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FL 33401</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38"/>
        </w:trPr>
        <w:tc>
          <w:tcPr>
            <w:tcW w:w="5960" w:type="dxa"/>
            <w:vAlign w:val="bottom"/>
          </w:tcPr>
          <w:p>
            <w:pPr>
              <w:spacing w:after="0" w:line="138" w:lineRule="exact"/>
              <w:rPr>
                <w:sz w:val="20"/>
                <w:szCs w:val="20"/>
                <w:color w:val="auto"/>
              </w:rPr>
            </w:pPr>
            <w:r>
              <w:rPr>
                <w:rFonts w:ascii="Arial" w:cs="Arial" w:eastAsia="Arial" w:hAnsi="Arial"/>
                <w:sz w:val="14"/>
                <w:szCs w:val="14"/>
                <w:color w:val="auto"/>
              </w:rPr>
              <w:t>Journal Register Company*</w:t>
            </w:r>
          </w:p>
        </w:tc>
        <w:tc>
          <w:tcPr>
            <w:tcW w:w="1420" w:type="dxa"/>
            <w:vAlign w:val="bottom"/>
          </w:tcPr>
          <w:p>
            <w:pPr>
              <w:jc w:val="right"/>
              <w:spacing w:after="0" w:line="138" w:lineRule="exact"/>
              <w:rPr>
                <w:sz w:val="20"/>
                <w:szCs w:val="20"/>
                <w:color w:val="auto"/>
              </w:rPr>
            </w:pPr>
            <w:r>
              <w:rPr>
                <w:rFonts w:ascii="Arial" w:cs="Arial" w:eastAsia="Arial" w:hAnsi="Arial"/>
                <w:sz w:val="14"/>
                <w:szCs w:val="14"/>
                <w:color w:val="auto"/>
              </w:rPr>
              <w:t>08/12/12</w:t>
            </w:r>
          </w:p>
        </w:tc>
        <w:tc>
          <w:tcPr>
            <w:tcW w:w="1380" w:type="dxa"/>
            <w:vAlign w:val="bottom"/>
          </w:tcPr>
          <w:p>
            <w:pPr>
              <w:ind w:left="60"/>
              <w:spacing w:after="0" w:line="138" w:lineRule="exact"/>
              <w:rPr>
                <w:sz w:val="20"/>
                <w:szCs w:val="20"/>
                <w:color w:val="auto"/>
              </w:rPr>
            </w:pPr>
            <w:r>
              <w:rPr>
                <w:rFonts w:ascii="Arial" w:cs="Arial" w:eastAsia="Arial" w:hAnsi="Arial"/>
                <w:sz w:val="14"/>
                <w:szCs w:val="14"/>
                <w:color w:val="auto"/>
              </w:rPr>
              <w:t>Media</w:t>
            </w:r>
          </w:p>
        </w:tc>
        <w:tc>
          <w:tcPr>
            <w:tcW w:w="900" w:type="dxa"/>
            <w:vAlign w:val="bottom"/>
          </w:tcPr>
          <w:p>
            <w:pPr>
              <w:ind w:left="320"/>
              <w:spacing w:after="0" w:line="138" w:lineRule="exact"/>
              <w:rPr>
                <w:sz w:val="20"/>
                <w:szCs w:val="20"/>
                <w:color w:val="auto"/>
              </w:rPr>
            </w:pPr>
            <w:r>
              <w:rPr>
                <w:rFonts w:ascii="Arial" w:cs="Arial" w:eastAsia="Arial" w:hAnsi="Arial"/>
                <w:sz w:val="14"/>
                <w:szCs w:val="14"/>
                <w:color w:val="auto"/>
              </w:rPr>
              <w:t>L+125</w:t>
            </w:r>
          </w:p>
        </w:tc>
        <w:tc>
          <w:tcPr>
            <w:tcW w:w="7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5,000</w:t>
            </w:r>
          </w:p>
        </w:tc>
        <w:tc>
          <w:tcPr>
            <w:tcW w:w="580" w:type="dxa"/>
            <w:vAlign w:val="bottom"/>
          </w:tcPr>
          <w:p>
            <w:pPr>
              <w:jc w:val="right"/>
              <w:ind w:right="52"/>
              <w:spacing w:after="0" w:line="138" w:lineRule="exact"/>
              <w:rPr>
                <w:sz w:val="20"/>
                <w:szCs w:val="20"/>
                <w:color w:val="auto"/>
              </w:rPr>
            </w:pPr>
            <w:r>
              <w:rPr>
                <w:rFonts w:ascii="Arial" w:cs="Arial" w:eastAsia="Arial" w:hAnsi="Arial"/>
                <w:sz w:val="14"/>
                <w:szCs w:val="14"/>
                <w:color w:val="auto"/>
              </w:rPr>
              <w:t>4,913</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4,869</w:t>
            </w:r>
          </w:p>
        </w:tc>
      </w:tr>
      <w:tr>
        <w:trPr>
          <w:trHeight w:val="172"/>
        </w:trPr>
        <w:tc>
          <w:tcPr>
            <w:tcW w:w="5960" w:type="dxa"/>
            <w:vAlign w:val="bottom"/>
          </w:tcPr>
          <w:p>
            <w:pPr>
              <w:ind w:left="440"/>
              <w:spacing w:after="0"/>
              <w:rPr>
                <w:sz w:val="20"/>
                <w:szCs w:val="20"/>
                <w:color w:val="auto"/>
              </w:rPr>
            </w:pPr>
            <w:r>
              <w:rPr>
                <w:rFonts w:ascii="Arial" w:cs="Arial" w:eastAsia="Arial" w:hAnsi="Arial"/>
                <w:sz w:val="14"/>
                <w:szCs w:val="14"/>
                <w:color w:val="auto"/>
              </w:rPr>
              <w:t>50 West State St., 12th Fl., Trenton, NJ 08608</w:t>
            </w: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38"/>
        </w:trPr>
        <w:tc>
          <w:tcPr>
            <w:tcW w:w="5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Knology Inc.*</w:t>
            </w:r>
          </w:p>
        </w:tc>
        <w:tc>
          <w:tcPr>
            <w:tcW w:w="14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06/30/12</w:t>
            </w:r>
          </w:p>
        </w:tc>
        <w:tc>
          <w:tcPr>
            <w:tcW w:w="1380" w:type="dxa"/>
            <w:vAlign w:val="bottom"/>
            <w:shd w:val="clear" w:color="auto" w:fill="CCEEFF"/>
          </w:tcPr>
          <w:p>
            <w:pPr>
              <w:ind w:left="60"/>
              <w:spacing w:after="0" w:line="139" w:lineRule="exact"/>
              <w:rPr>
                <w:sz w:val="20"/>
                <w:szCs w:val="20"/>
                <w:color w:val="auto"/>
              </w:rPr>
            </w:pPr>
            <w:r>
              <w:rPr>
                <w:rFonts w:ascii="Arial" w:cs="Arial" w:eastAsia="Arial" w:hAnsi="Arial"/>
                <w:sz w:val="14"/>
                <w:szCs w:val="14"/>
                <w:color w:val="auto"/>
              </w:rPr>
              <w:t>Cable TV</w:t>
            </w:r>
          </w:p>
        </w:tc>
        <w:tc>
          <w:tcPr>
            <w:tcW w:w="90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L+275</w:t>
            </w:r>
          </w:p>
        </w:tc>
        <w:tc>
          <w:tcPr>
            <w:tcW w:w="7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3,250</w:t>
            </w:r>
          </w:p>
        </w:tc>
        <w:tc>
          <w:tcPr>
            <w:tcW w:w="58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3,255</w:t>
            </w:r>
          </w:p>
        </w:tc>
        <w:tc>
          <w:tcPr>
            <w:tcW w:w="4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3,262</w:t>
            </w:r>
          </w:p>
        </w:tc>
      </w:tr>
      <w:tr>
        <w:trPr>
          <w:trHeight w:val="149"/>
        </w:trPr>
        <w:tc>
          <w:tcPr>
            <w:tcW w:w="59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1241 O.G. Skinner Dr., West Point,</w:t>
            </w:r>
          </w:p>
        </w:tc>
        <w:tc>
          <w:tcPr>
            <w:tcW w:w="1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3"/>
        </w:trPr>
        <w:tc>
          <w:tcPr>
            <w:tcW w:w="59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GA 31833</w:t>
            </w:r>
          </w:p>
        </w:tc>
        <w:tc>
          <w:tcPr>
            <w:tcW w:w="1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Par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Spread</w:t>
            </w:r>
          </w:p>
        </w:tc>
        <w:tc>
          <w:tcPr>
            <w:tcW w:w="8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Above</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Value(2)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Maturity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Index (1)</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(000)</w:t>
            </w:r>
          </w:p>
        </w:tc>
        <w:tc>
          <w:tcPr>
            <w:tcW w:w="26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(000)</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Level 3 Financing, Inc.*</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03/13/14</w:t>
            </w:r>
          </w:p>
        </w:tc>
        <w:tc>
          <w:tcPr>
            <w:tcW w:w="174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Telecom</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2,000</w:t>
            </w:r>
          </w:p>
        </w:tc>
        <w:tc>
          <w:tcPr>
            <w:tcW w:w="2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2,000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 Level 3 Communications, Inc., 1025 Eldarado Blvd., Broomfield, CO 80021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Levlad, LLC (Natural Products)*</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03/08/14</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5,000</w:t>
            </w:r>
          </w:p>
        </w:tc>
        <w:tc>
          <w:tcPr>
            <w:tcW w:w="260" w:type="dxa"/>
            <w:vAlign w:val="bottom"/>
          </w:tcPr>
          <w:p>
            <w:pPr>
              <w:spacing w:after="0"/>
              <w:rPr>
                <w:sz w:val="11"/>
                <w:szCs w:val="11"/>
                <w:color w:val="auto"/>
              </w:rPr>
            </w:pP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5,019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c/o Harvest Partners, Inc., 280 Park Ave., New York, NY 10017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02/28/14</w:t>
            </w:r>
          </w:p>
        </w:tc>
        <w:tc>
          <w:tcPr>
            <w:tcW w:w="1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2,333**</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1040 Great Plain Ave., Needham,</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03/13/14</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Energy</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L+225</w:t>
            </w:r>
          </w:p>
        </w:tc>
        <w:tc>
          <w:tcPr>
            <w:tcW w:w="560" w:type="dxa"/>
            <w:vAlign w:val="bottom"/>
          </w:tcPr>
          <w:p>
            <w:pPr>
              <w:jc w:val="right"/>
              <w:spacing w:after="0"/>
              <w:rPr>
                <w:sz w:val="20"/>
                <w:szCs w:val="20"/>
                <w:color w:val="auto"/>
              </w:rPr>
            </w:pPr>
            <w:r>
              <w:rPr>
                <w:rFonts w:ascii="Arial" w:cs="Arial" w:eastAsia="Arial" w:hAnsi="Arial"/>
                <w:sz w:val="14"/>
                <w:szCs w:val="14"/>
                <w:color w:val="auto"/>
              </w:rPr>
              <w:t>667</w:t>
            </w: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667</w:t>
            </w:r>
          </w:p>
        </w:tc>
        <w:tc>
          <w:tcPr>
            <w:tcW w:w="600" w:type="dxa"/>
            <w:vAlign w:val="bottom"/>
          </w:tcPr>
          <w:p>
            <w:pPr>
              <w:jc w:val="right"/>
              <w:spacing w:after="0"/>
              <w:rPr>
                <w:sz w:val="20"/>
                <w:szCs w:val="20"/>
                <w:color w:val="auto"/>
              </w:rPr>
            </w:pPr>
            <w:r>
              <w:rPr>
                <w:rFonts w:ascii="Arial" w:cs="Arial" w:eastAsia="Arial" w:hAnsi="Arial"/>
                <w:sz w:val="14"/>
                <w:szCs w:val="14"/>
                <w:color w:val="auto"/>
              </w:rPr>
              <w:t>671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 02492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03/13/14</w:t>
            </w:r>
          </w:p>
        </w:tc>
        <w:tc>
          <w:tcPr>
            <w:tcW w:w="1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L+125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820" w:type="dxa"/>
            <w:vAlign w:val="bottom"/>
            <w:gridSpan w:val="2"/>
          </w:tcPr>
          <w:p>
            <w:pPr>
              <w:spacing w:after="0"/>
              <w:rPr>
                <w:sz w:val="20"/>
                <w:szCs w:val="20"/>
                <w:color w:val="auto"/>
              </w:rPr>
            </w:pPr>
            <w:r>
              <w:rPr>
                <w:rFonts w:ascii="Arial" w:cs="Arial" w:eastAsia="Arial" w:hAnsi="Arial"/>
                <w:sz w:val="14"/>
                <w:szCs w:val="14"/>
                <w:color w:val="auto"/>
              </w:rPr>
              <w:t>MachGen, LLC</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02/22/13</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Energy</w:t>
            </w:r>
          </w:p>
        </w:tc>
        <w:tc>
          <w:tcPr>
            <w:tcW w:w="12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560" w:type="dxa"/>
            <w:vAlign w:val="bottom"/>
          </w:tcPr>
          <w:p>
            <w:pPr>
              <w:jc w:val="right"/>
              <w:spacing w:after="0"/>
              <w:rPr>
                <w:sz w:val="20"/>
                <w:szCs w:val="20"/>
                <w:color w:val="auto"/>
              </w:rPr>
            </w:pPr>
            <w:r>
              <w:rPr>
                <w:rFonts w:ascii="Arial" w:cs="Arial" w:eastAsia="Arial" w:hAnsi="Arial"/>
                <w:sz w:val="14"/>
                <w:szCs w:val="14"/>
                <w:color w:val="auto"/>
              </w:rPr>
              <w:t>94</w:t>
            </w:r>
          </w:p>
        </w:tc>
        <w:tc>
          <w:tcPr>
            <w:tcW w:w="2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94</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9300 US Highway 9W, Athens, NY 12015</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02/22/14</w:t>
            </w:r>
          </w:p>
        </w:tc>
        <w:tc>
          <w:tcPr>
            <w:tcW w:w="1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02/22/14</w:t>
            </w:r>
          </w:p>
        </w:tc>
        <w:tc>
          <w:tcPr>
            <w:tcW w:w="1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Energy</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6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02/22/14</w:t>
            </w:r>
          </w:p>
        </w:tc>
        <w:tc>
          <w:tcPr>
            <w:tcW w:w="1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5820" w:type="dxa"/>
            <w:vAlign w:val="bottom"/>
            <w:gridSpan w:val="2"/>
          </w:tcPr>
          <w:p>
            <w:pPr>
              <w:spacing w:after="0"/>
              <w:rPr>
                <w:sz w:val="20"/>
                <w:szCs w:val="20"/>
                <w:color w:val="auto"/>
              </w:rPr>
            </w:pPr>
            <w:r>
              <w:rPr>
                <w:rFonts w:ascii="Arial" w:cs="Arial" w:eastAsia="Arial" w:hAnsi="Arial"/>
                <w:sz w:val="14"/>
                <w:szCs w:val="14"/>
                <w:color w:val="auto"/>
              </w:rPr>
              <w:t>Mattress Holding Corp</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01/18/14</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Retail</w:t>
            </w: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L+225</w:t>
            </w:r>
          </w:p>
        </w:tc>
        <w:tc>
          <w:tcPr>
            <w:tcW w:w="560" w:type="dxa"/>
            <w:vAlign w:val="bottom"/>
          </w:tcPr>
          <w:p>
            <w:pPr>
              <w:jc w:val="right"/>
              <w:spacing w:after="0"/>
              <w:rPr>
                <w:sz w:val="20"/>
                <w:szCs w:val="20"/>
                <w:color w:val="auto"/>
              </w:rPr>
            </w:pPr>
            <w:r>
              <w:rPr>
                <w:rFonts w:ascii="Arial" w:cs="Arial" w:eastAsia="Arial" w:hAnsi="Arial"/>
                <w:sz w:val="14"/>
                <w:szCs w:val="14"/>
                <w:color w:val="auto"/>
              </w:rPr>
              <w:t>4,000</w:t>
            </w:r>
          </w:p>
        </w:tc>
        <w:tc>
          <w:tcPr>
            <w:tcW w:w="26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4,000</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5815 Gulf Freeway, Houston, TX 77023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McJunkin Corporation</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01/31/14</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Industrial Distribution</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L+225</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8365 Hillcrest Dr., Charleston, WV 25311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MediaNews Group, Inc.*</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12/30/10</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Media</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L+125</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4,845</w:t>
            </w:r>
          </w:p>
        </w:tc>
        <w:tc>
          <w:tcPr>
            <w:tcW w:w="260" w:type="dxa"/>
            <w:vAlign w:val="bottom"/>
          </w:tcPr>
          <w:p>
            <w:pPr>
              <w:spacing w:after="0"/>
              <w:rPr>
                <w:sz w:val="11"/>
                <w:szCs w:val="11"/>
                <w:color w:val="auto"/>
              </w:rPr>
            </w:pP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4,825</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4,820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101 W. Colfax Ave., Suite 1100, Denver,</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CO 80202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Mitchell International, Inc.*</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06/30/14</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Software</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L+200</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4,000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4,015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9889 Willow Creek Rd., San Diego,</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CA 92131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National Bedding Company L.L.C.*</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08/31/11</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7,000</w:t>
            </w:r>
          </w:p>
        </w:tc>
        <w:tc>
          <w:tcPr>
            <w:tcW w:w="260" w:type="dxa"/>
            <w:vAlign w:val="bottom"/>
          </w:tcPr>
          <w:p>
            <w:pPr>
              <w:spacing w:after="0"/>
              <w:rPr>
                <w:sz w:val="11"/>
                <w:szCs w:val="11"/>
                <w:color w:val="auto"/>
              </w:rPr>
            </w:pP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7,008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7,013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5401 Trillium Blvd., Suite 250, Hoffman Estates, IL 60692</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National CineMedia, LLC</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02/17/15</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Advertising</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L+175</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3,000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9110 East Nichols Ave., Suite 200, Centennial, CO 80112</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01/31/14</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Media</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5,000</w:t>
            </w:r>
          </w:p>
        </w:tc>
        <w:tc>
          <w:tcPr>
            <w:tcW w:w="260" w:type="dxa"/>
            <w:vAlign w:val="bottom"/>
          </w:tcPr>
          <w:p>
            <w:pPr>
              <w:spacing w:after="0"/>
              <w:rPr>
                <w:sz w:val="11"/>
                <w:szCs w:val="11"/>
                <w:color w:val="auto"/>
              </w:rPr>
            </w:pP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5,000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5,013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249 W. 17th St., Fourth Floor, New York,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NY 10011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Philosophy Inc.</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03/23/14</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Consumer</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L+200</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1,500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3809 East Watkins St., Phoenix, AZ 85034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ProQuest-CSA LLC</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02/09/14</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Education</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L+300</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1,000</w:t>
            </w:r>
          </w:p>
        </w:tc>
        <w:tc>
          <w:tcPr>
            <w:tcW w:w="260" w:type="dxa"/>
            <w:vAlign w:val="bottom"/>
          </w:tcPr>
          <w:p>
            <w:pPr>
              <w:spacing w:after="0"/>
              <w:rPr>
                <w:sz w:val="11"/>
                <w:szCs w:val="11"/>
                <w:color w:val="auto"/>
              </w:rPr>
            </w:pP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7200 Wisconsin Ave., Suite 601, Bethesda, MD 20814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Rexnord Corporation</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02/09/14</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Industrial</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L+225</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5,000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4701 W. Greenfield Ave., Milwaukee,</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WI 53214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Seminole Tribe of Florida*</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03/15/14</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Gaming</w:t>
            </w:r>
          </w:p>
        </w:tc>
        <w:tc>
          <w:tcPr>
            <w:tcW w:w="120" w:type="dxa"/>
            <w:vAlign w:val="bottom"/>
          </w:tcPr>
          <w:p>
            <w:pPr>
              <w:spacing w:after="0"/>
              <w:rPr>
                <w:sz w:val="11"/>
                <w:szCs w:val="11"/>
                <w:color w:val="auto"/>
              </w:rPr>
            </w:pPr>
          </w:p>
        </w:tc>
        <w:tc>
          <w:tcPr>
            <w:tcW w:w="860" w:type="dxa"/>
            <w:vAlign w:val="bottom"/>
            <w:gridSpan w:val="2"/>
          </w:tcPr>
          <w:p>
            <w:pPr>
              <w:ind w:left="38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7,000**</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7,000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7,026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6300 Stirling Rd., Hollywood, FL 33024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Sitel, LLC (Clientlogic)</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01/30/14</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Business Services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P+150 - 250</w:t>
            </w:r>
          </w:p>
        </w:tc>
        <w:tc>
          <w:tcPr>
            <w:tcW w:w="5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5,000</w:t>
            </w: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5,000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5,019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Two American Center, 3102 West End Ave., Suite 1000, Nashville, TN 37203</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00" w:type="dxa"/>
            <w:vAlign w:val="bottom"/>
          </w:tcPr>
          <w:p>
            <w:pPr>
              <w:spacing w:after="0" w:line="138" w:lineRule="exact"/>
              <w:rPr>
                <w:sz w:val="20"/>
                <w:szCs w:val="20"/>
                <w:color w:val="auto"/>
              </w:rPr>
            </w:pPr>
            <w:r>
              <w:rPr>
                <w:rFonts w:ascii="Arial" w:cs="Arial" w:eastAsia="Arial" w:hAnsi="Arial"/>
                <w:sz w:val="14"/>
                <w:szCs w:val="14"/>
                <w:color w:val="auto"/>
              </w:rPr>
              <w:t>The Reader’s Digest Association, Inc.</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02/23/14</w:t>
            </w:r>
          </w:p>
        </w:tc>
        <w:tc>
          <w:tcPr>
            <w:tcW w:w="1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Media</w:t>
            </w:r>
          </w:p>
        </w:tc>
        <w:tc>
          <w:tcPr>
            <w:tcW w:w="120" w:type="dxa"/>
            <w:vAlign w:val="bottom"/>
          </w:tcPr>
          <w:p>
            <w:pPr>
              <w:spacing w:after="0"/>
              <w:rPr>
                <w:sz w:val="11"/>
                <w:szCs w:val="11"/>
                <w:color w:val="auto"/>
              </w:rPr>
            </w:pPr>
          </w:p>
        </w:tc>
        <w:tc>
          <w:tcPr>
            <w:tcW w:w="8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1,000</w:t>
            </w:r>
          </w:p>
        </w:tc>
        <w:tc>
          <w:tcPr>
            <w:tcW w:w="260" w:type="dxa"/>
            <w:vAlign w:val="bottom"/>
          </w:tcPr>
          <w:p>
            <w:pPr>
              <w:spacing w:after="0"/>
              <w:rPr>
                <w:sz w:val="11"/>
                <w:szCs w:val="11"/>
                <w:color w:val="auto"/>
              </w:rPr>
            </w:pP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ind w:left="420"/>
              <w:spacing w:after="0" w:line="149" w:lineRule="exact"/>
              <w:rPr>
                <w:sz w:val="20"/>
                <w:szCs w:val="20"/>
                <w:color w:val="auto"/>
              </w:rPr>
            </w:pPr>
            <w:r>
              <w:rPr>
                <w:rFonts w:ascii="Arial" w:cs="Arial" w:eastAsia="Arial" w:hAnsi="Arial"/>
                <w:sz w:val="14"/>
                <w:szCs w:val="14"/>
                <w:color w:val="auto"/>
              </w:rPr>
              <w:t>Reader’s Digest Rd., Pleasantville,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0" w:type="dxa"/>
            <w:vAlign w:val="bottom"/>
          </w:tcPr>
          <w:p>
            <w:pPr>
              <w:ind w:left="420"/>
              <w:spacing w:after="0"/>
              <w:rPr>
                <w:sz w:val="20"/>
                <w:szCs w:val="20"/>
                <w:color w:val="auto"/>
              </w:rPr>
            </w:pPr>
            <w:r>
              <w:rPr>
                <w:rFonts w:ascii="Arial" w:cs="Arial" w:eastAsia="Arial" w:hAnsi="Arial"/>
                <w:sz w:val="14"/>
                <w:szCs w:val="14"/>
                <w:color w:val="auto"/>
              </w:rPr>
              <w:t>NY 10570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80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Univision Communications Inc.*</w:t>
            </w:r>
          </w:p>
        </w:tc>
        <w:tc>
          <w:tcPr>
            <w:tcW w:w="760" w:type="dxa"/>
            <w:vAlign w:val="bottom"/>
            <w:gridSpan w:val="3"/>
            <w:shd w:val="clear" w:color="auto" w:fill="CCEEFF"/>
          </w:tcPr>
          <w:p>
            <w:pPr>
              <w:jc w:val="right"/>
              <w:ind w:right="60"/>
              <w:spacing w:after="0" w:line="139" w:lineRule="exact"/>
              <w:rPr>
                <w:sz w:val="20"/>
                <w:szCs w:val="20"/>
                <w:color w:val="auto"/>
              </w:rPr>
            </w:pPr>
            <w:r>
              <w:rPr>
                <w:rFonts w:ascii="Arial" w:cs="Arial" w:eastAsia="Arial" w:hAnsi="Arial"/>
                <w:sz w:val="14"/>
                <w:szCs w:val="14"/>
                <w:color w:val="auto"/>
              </w:rPr>
              <w:t>03/24/14</w:t>
            </w:r>
          </w:p>
        </w:tc>
        <w:tc>
          <w:tcPr>
            <w:tcW w:w="1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Media</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L+225</w:t>
            </w:r>
          </w:p>
        </w:tc>
        <w:tc>
          <w:tcPr>
            <w:tcW w:w="82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15,000**</w:t>
            </w: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4"/>
                <w:szCs w:val="14"/>
                <w:color w:val="auto"/>
              </w:rPr>
              <w:t>15,000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500 Frank W. Burr Blvd., Sixth Floor, Teaneck, NJ 07666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line="149" w:lineRule="exact"/>
              <w:rPr>
                <w:sz w:val="20"/>
                <w:szCs w:val="20"/>
                <w:color w:val="auto"/>
              </w:rPr>
            </w:pPr>
            <w:r>
              <w:rPr>
                <w:rFonts w:ascii="Arial" w:cs="Arial" w:eastAsia="Arial" w:hAnsi="Arial"/>
                <w:sz w:val="14"/>
                <w:szCs w:val="14"/>
                <w:color w:val="auto"/>
              </w:rPr>
              <w:t>Valassis Communications, Inc.</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02/02/14</w:t>
            </w:r>
          </w:p>
        </w:tc>
        <w:tc>
          <w:tcPr>
            <w:tcW w:w="17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2"/>
                <w:szCs w:val="12"/>
                <w:color w:val="auto"/>
              </w:rPr>
            </w:pP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2,987</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19975 Victor Parkway, Livonia, MI 48152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03/02/14</w:t>
            </w:r>
          </w:p>
        </w:tc>
        <w:tc>
          <w:tcPr>
            <w:tcW w:w="17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Consumer</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L+175</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11,013</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11,013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5820" w:type="dxa"/>
            <w:vAlign w:val="bottom"/>
            <w:gridSpan w:val="2"/>
          </w:tcPr>
          <w:p>
            <w:pPr>
              <w:spacing w:after="0"/>
              <w:rPr>
                <w:sz w:val="20"/>
                <w:szCs w:val="20"/>
                <w:color w:val="auto"/>
              </w:rPr>
            </w:pPr>
            <w:r>
              <w:rPr>
                <w:rFonts w:ascii="Arial" w:cs="Arial" w:eastAsia="Arial" w:hAnsi="Arial"/>
                <w:sz w:val="14"/>
                <w:szCs w:val="14"/>
                <w:color w:val="auto"/>
              </w:rPr>
              <w:t>Yankee Candle Company, Inc.</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02/06/14</w:t>
            </w:r>
          </w:p>
        </w:tc>
        <w:tc>
          <w:tcPr>
            <w:tcW w:w="1740" w:type="dxa"/>
            <w:vAlign w:val="bottom"/>
            <w:gridSpan w:val="2"/>
          </w:tcPr>
          <w:p>
            <w:pPr>
              <w:ind w:left="4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L+200</w:t>
            </w: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bl>
    <w:p>
      <w:pPr>
        <w:ind w:left="440"/>
        <w:spacing w:after="0" w:line="221" w:lineRule="auto"/>
        <w:rPr>
          <w:sz w:val="20"/>
          <w:szCs w:val="20"/>
          <w:color w:val="auto"/>
        </w:rPr>
      </w:pPr>
      <w:r>
        <w:rPr>
          <w:rFonts w:ascii="Arial" w:cs="Arial" w:eastAsia="Arial" w:hAnsi="Arial"/>
          <w:sz w:val="14"/>
          <w:szCs w:val="14"/>
          <w:color w:val="auto"/>
        </w:rPr>
        <w:t>16 Yankee Candle Way, South Deerfield,</w:t>
      </w:r>
    </w:p>
    <w:p>
      <w:pPr>
        <w:ind w:left="440"/>
        <w:spacing w:after="0"/>
        <w:rPr>
          <w:sz w:val="20"/>
          <w:szCs w:val="20"/>
          <w:color w:val="auto"/>
        </w:rPr>
      </w:pPr>
      <w:r>
        <w:rPr>
          <w:rFonts w:ascii="Arial" w:cs="Arial" w:eastAsia="Arial" w:hAnsi="Arial"/>
          <w:sz w:val="14"/>
          <w:szCs w:val="14"/>
          <w:color w:val="auto"/>
        </w:rPr>
        <w:t>MA 01373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1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3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Senior Secured Debt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86"/>
              </w:rPr>
              <w:t>$ 233,888</w:t>
            </w: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w w:val="90"/>
              </w:rPr>
              <w:t>233,802</w:t>
            </w:r>
          </w:p>
        </w:tc>
        <w:tc>
          <w:tcPr>
            <w:tcW w:w="1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0"/>
              </w:rPr>
              <w:t>234,025</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w:t>
            </w: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00" w:type="dxa"/>
            <w:vAlign w:val="bottom"/>
            <w:gridSpan w:val="2"/>
            <w:vMerge w:val="continue"/>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w w:val="86"/>
              </w:rPr>
              <w:t>$ 233,888</w:t>
            </w:r>
          </w:p>
        </w:tc>
        <w:tc>
          <w:tcPr>
            <w:tcW w:w="26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0"/>
              </w:rPr>
              <w:t>233,802</w:t>
            </w:r>
          </w:p>
        </w:tc>
        <w:tc>
          <w:tcPr>
            <w:tcW w:w="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234,025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(London Interbank Offer Rate) (“L”) or Prime Rate (“P”).</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dealer quotations as of March 21, 2007.</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Purchase of debt not yet settled.</w:t>
      </w:r>
    </w:p>
    <w:p>
      <w:pPr>
        <w:spacing w:after="0" w:line="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Credit facilities with partially or fully delayed draws. The aggregate amount of these delayed draws totals $15.27 million. These delayed draws do not have a basis point spread above index.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board of directors intends to use its standard procedures to determine the fair value of investments in senior secured loans or debt obligations held by us. These are described under “Business—Investment selection—Ongoing relationships with portfolio companies—Valuation process.” Under the terms of the Credit Facility, we will be advanced 100% of the lesser of (1) the par value or (2) current market value of any senior secured loan or debt obligation to be acquired. Our board of directors will consider a number of factors when it reviews the purchase of the senior secured loans and other debt obligations. See “Business—Investments.”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Portfolio Companies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those investments that represent 5% or more of our total portfolio as of March 21, 2007.</w:t>
      </w:r>
    </w:p>
    <w:p>
      <w:pPr>
        <w:spacing w:after="0" w:line="14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Charter Communications Operating, LLC </w:t>
      </w:r>
      <w:r>
        <w:rPr>
          <w:rFonts w:ascii="Arial" w:cs="Arial" w:eastAsia="Arial" w:hAnsi="Arial"/>
          <w:sz w:val="16"/>
          <w:szCs w:val="16"/>
          <w:color w:val="auto"/>
        </w:rPr>
        <w:t>is a broadband communications company operating in the United States. The company provides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cable video programming services (both analog and digital video), high speed internet and, in some cases, advanced broadband services such as high-definition television, video on demand and telephony services. The company also sells local advertising on satellite-delivered networks.</w:t>
      </w:r>
    </w:p>
    <w:p>
      <w:pPr>
        <w:spacing w:after="0" w:line="8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Giant Industries, Inc. </w:t>
      </w:r>
      <w:r>
        <w:rPr>
          <w:rFonts w:ascii="Arial" w:cs="Arial" w:eastAsia="Arial" w:hAnsi="Arial"/>
          <w:sz w:val="16"/>
          <w:szCs w:val="16"/>
          <w:color w:val="auto"/>
        </w:rPr>
        <w:t>(Western Refining) is primarily a refiner and marketer of petroleum products. Giant Industries owns and operates three crude oil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refineries in the United States; of which one is in Virginia and two are in New Mexico. This company also owns a crude oil gathering pipeline system based in Farmington, New Mexico, which services its New Mexico refineries. In addition, Giant Industries distributes commercial wholesale finished petroleum products. The company owns distribution terminals in Albuquerque, New Mexico, and Flagstaff, Arizona, as well as a fleet of crude oil and finished product truck transports and a chain of retail service stations in New Mexico, Colorado and Arizona. Giant Industries is the parent company of Phoenix Fuel Co., Dial Oil Co. and Empire Oil Co., all of which are wholesale petroleum products distributors.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Health Management Associates, Inc. </w:t>
      </w:r>
      <w:r>
        <w:rPr>
          <w:rFonts w:ascii="Arial" w:cs="Arial" w:eastAsia="Arial" w:hAnsi="Arial"/>
          <w:sz w:val="18"/>
          <w:szCs w:val="18"/>
          <w:color w:val="auto"/>
        </w:rPr>
        <w:t>operates acute care hospitals primarily outside of major urban areas in the southeastern and southwestern regions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United States. When it adds an additional hospital by acquisition, this company seeks to upgrade the quality of healthcare delivery, expand offered medical services, upgrade the technology used by acquired hospitals and to introduce proven hospital management practices to encourage community residents not to commute to major urban centers for specialty medical care.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Univision Communications, Inc.</w:t>
      </w:r>
      <w:r>
        <w:rPr>
          <w:rFonts w:ascii="Arial" w:cs="Arial" w:eastAsia="Arial" w:hAnsi="Arial"/>
          <w:sz w:val="16"/>
          <w:szCs w:val="16"/>
          <w:color w:val="auto"/>
        </w:rPr>
        <w:t>, through its wholly owned subsidiaries, operates as a Spanish-language media company in the United States. Univision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services through television, radio, music and internet segments. The company’s television segment primarily operates the Univision, TeleFutura and Galavision television networks, as well as certain broadcast television stations in Utah, Massachusetts, Florida, Colorado, New Mexico and Washington, D.C. This segment also owns two stations, WLII and WSUR, in Puerto Rico. The radio segment owns and operates sixty-nine radio stations in sixteen of the twenty-five leading U.S. Hispanic markets and four radio stations in Puerto Rico. The music segment owns and operates under Univision.com, which provides Spanish-language content directed at Hispanics in the United States, Mexico and Latin America.</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Valassis Communications, Inc. </w:t>
      </w:r>
      <w:r>
        <w:rPr>
          <w:rFonts w:ascii="Arial" w:cs="Arial" w:eastAsia="Arial" w:hAnsi="Arial"/>
          <w:sz w:val="18"/>
          <w:szCs w:val="18"/>
          <w:color w:val="auto"/>
        </w:rPr>
        <w:t>is a media products company which provides a wide range of marketing products and services to numerous manufacturers,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 marketers, retailers, telecommunications companies, franchisees and other advertisers. Valassis provides a combination of home-delivered media products and services at the market, neighborhood and household-targeted levels. It can also integrate all three levels marketing services to provide a single-source marketing solution.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as defined in Section 2(a)(19) of the 1940 Act. We refer to these individuals as our independent directors. Our board of directors elects our officers, who will serve at the discretion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our charter, our directors will be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55"/>
        </w:trPr>
        <w:tc>
          <w:tcPr>
            <w:tcW w:w="39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Chairman of Board</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Jeffrey Flug</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director is 445 Park Avenue, 10th Floor, New York, New York 10022, or by telephone at (212) 307-3280.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3420" w:type="dxa"/>
            <w:vAlign w:val="bottom"/>
          </w:tcPr>
          <w:p>
            <w:pPr>
              <w:ind w:left="1400"/>
              <w:spacing w:after="0"/>
              <w:rPr>
                <w:sz w:val="20"/>
                <w:szCs w:val="20"/>
                <w:color w:val="auto"/>
              </w:rPr>
            </w:pPr>
            <w:r>
              <w:rPr>
                <w:rFonts w:ascii="Arial" w:cs="Arial" w:eastAsia="Arial" w:hAnsi="Arial"/>
                <w:sz w:val="14"/>
                <w:szCs w:val="14"/>
                <w:b w:val="1"/>
                <w:bCs w:val="1"/>
                <w:color w:val="auto"/>
              </w:rPr>
              <w:t>Position(1)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Aviv Efrat</w:t>
            </w:r>
          </w:p>
        </w:tc>
        <w:tc>
          <w:tcPr>
            <w:tcW w:w="22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42   Chief Financial Officer, Treasurer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expect to retain a chief compliance officer as soon as practicable after completion of this offering. Mr. Penn will serve as our interim Chief Compliance Officer until our board of directors has approved a permanent chief compliance officer.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executive officer is 445 Park Avenue, 10th Floor, New York, New York 10022, by telephone at (212) 307-3280.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Arthur H. Penn </w:t>
      </w:r>
      <w:r>
        <w:rPr>
          <w:rFonts w:ascii="Arial" w:cs="Arial" w:eastAsia="Arial" w:hAnsi="Arial"/>
          <w:sz w:val="16"/>
          <w:szCs w:val="16"/>
          <w:color w:val="auto"/>
        </w:rPr>
        <w:t>(43) Founder, Chief Executive Officer and Chairman of the Board of Directors. Mr. Penn became the chief executive officer and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 PennantPark at its inception in January 2007. He also founded and became Managing Member of PennantPark Investment Advisers in January 2007. Mr. Penn co-founded Apollo Investment Management in February 2004, where he was a Managing Partner through November 2006. He also served as Chief Operating Officer of Apollo Investment Corporation from its inception in February 2004 through February 2006 and served as President and Chief Operating Officer of that company from February 2006 through November 2006. Mr. Penn was formerly a Managing Partner of Apollo Value Fund L.P. (formerly Apollo Distressed Investment Fund, L.P.) from 2003 through November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90" w:lineRule="exact"/>
        <w:rPr>
          <w:sz w:val="20"/>
          <w:szCs w:val="20"/>
          <w:color w:val="auto"/>
        </w:rPr>
      </w:pPr>
    </w:p>
    <w:p>
      <w:pPr>
        <w:jc w:val="both"/>
        <w:ind w:right="180" w:firstLine="456"/>
        <w:spacing w:after="0" w:line="287" w:lineRule="auto"/>
        <w:rPr>
          <w:sz w:val="20"/>
          <w:szCs w:val="20"/>
          <w:color w:val="auto"/>
        </w:rPr>
      </w:pPr>
      <w:r>
        <w:rPr>
          <w:rFonts w:ascii="Arial" w:cs="Arial" w:eastAsia="Arial" w:hAnsi="Arial"/>
          <w:sz w:val="16"/>
          <w:szCs w:val="16"/>
          <w:b w:val="1"/>
          <w:bCs w:val="1"/>
          <w:color w:val="auto"/>
        </w:rPr>
        <w:t xml:space="preserve">Adam K. Bernstein </w:t>
      </w:r>
      <w:r>
        <w:rPr>
          <w:rFonts w:ascii="Arial" w:cs="Arial" w:eastAsia="Arial" w:hAnsi="Arial"/>
          <w:sz w:val="16"/>
          <w:szCs w:val="16"/>
          <w:color w:val="auto"/>
        </w:rPr>
        <w:t>(43), Director. Mr. Bernstein became a director of PennantPark Investment in February 2007. Mr. Bernstein is currently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Bernstein Companies, a Washington, D.C.-based real estate firm which he founded in 1985. Mr. Bernstein also serves as the President and Chief Executive Officer of Consortium Atlantic Realty Trust, Inc., a private real estate investment trust operating in the mid-Atlantic region since its formation in 2000.</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Mr. Bernstein is on the Greater Washington Advisory Board of SunTrust Bank, N.A. and is the President of the Mid-Atlantic Regional Advisory Board of the University of Pennsylvania. An affiliate of SunTrust Bank, N.A. is acting as an underwriter in connection with this offering.</w:t>
      </w:r>
    </w:p>
    <w:p>
      <w:pPr>
        <w:spacing w:after="0" w:line="14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Marshall Brozost </w:t>
      </w:r>
      <w:r>
        <w:rPr>
          <w:rFonts w:ascii="Arial" w:cs="Arial" w:eastAsia="Arial" w:hAnsi="Arial"/>
          <w:sz w:val="16"/>
          <w:szCs w:val="16"/>
          <w:color w:val="auto"/>
        </w:rPr>
        <w:t>(39), Director. Mr. Brozost became a director of PennantPark Investment in February 2007. Since January 1, 2007, Mr. Brozost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at the international law firm of Dewey Ballantine LLP, where he practices in the real estate and private equity groups. Prior to his tenure at Dewey Ballantine which began in June 2005, Mr. Brozost practiced law at O’Melveny &amp; Myers LLP from April 2001 through October 2004 and Solomon &amp; Weinberg LLP from October 2004 through June 2005. Mr. Brozost also served as a vice president of Nomura Asset Capital Corporation from 1997 through 2000.</w:t>
      </w:r>
    </w:p>
    <w:p>
      <w:pPr>
        <w:spacing w:after="0" w:line="15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Jeffrey Flug </w:t>
      </w:r>
      <w:r>
        <w:rPr>
          <w:rFonts w:ascii="Arial" w:cs="Arial" w:eastAsia="Arial" w:hAnsi="Arial"/>
          <w:sz w:val="16"/>
          <w:szCs w:val="16"/>
          <w:color w:val="auto"/>
        </w:rPr>
        <w:t>(44), Director. Mr. Flug became a director of PennantPark Investment in February 2007. Mr. Flug has been the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of Millennium Promise Alliance, Inc. since April 2006. Millennium Promise is a non-profit organization whose mission is to eradicate extreme global poverty. Prior to joining Millennium Promise, Mr. Flug was Managing Director and Head of North American Institutional Sales at JP Morgan’s Investment Bank from May 2000 to April 2006. From 1988 to 2000, Mr. Flug was Managing Director for Goldman Sachs &amp; Co. in its Fixed Income Division.</w:t>
      </w:r>
    </w:p>
    <w:p>
      <w:pPr>
        <w:spacing w:after="0" w:line="15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Samuel L. Katz </w:t>
      </w:r>
      <w:r>
        <w:rPr>
          <w:rFonts w:ascii="Arial" w:cs="Arial" w:eastAsia="Arial" w:hAnsi="Arial"/>
          <w:sz w:val="18"/>
          <w:szCs w:val="18"/>
          <w:color w:val="auto"/>
        </w:rPr>
        <w:t>(41), Director. Mr. Katz became a director of PennantPark Investment in February 2007. Mr. Katz is Chairman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TZP Group LLC, a private equity fund. He served as Chief Executive Officer of MacAndrews &amp; Forbes Acquisition Holdings, Inc. from January 2006 through January 2007. From 1996 until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Aviv Efrat </w:t>
      </w:r>
      <w:r>
        <w:rPr>
          <w:rFonts w:ascii="Arial" w:cs="Arial" w:eastAsia="Arial" w:hAnsi="Arial"/>
          <w:sz w:val="16"/>
          <w:szCs w:val="16"/>
          <w:color w:val="auto"/>
        </w:rPr>
        <w:t>(42), Chief Financial Officer and Treasurer. Mr. Efrat joined PennantPark in February 2007 as its Chief Financial Officer and Treasurer.</w:t>
      </w:r>
    </w:p>
    <w:p>
      <w:pPr>
        <w:spacing w:after="0" w:line="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Efrat is also a Managing Director of PennantPark Investment Administration, LLC. Prior to joining the firm, he was a Director at BlackRock, LLC, where he was responsible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a variety of administrative and financial aspects of closed-end and open-end registered investment companies. He joined BlackRock in 1997. From 1994 to 1997, Mr. Efrat was in the Investment Companies Business Unit at Deloitte &amp; Touche LLP. He is a member of the American Institute of Certified Public Accountants and the New York State Society of Certified Public Accountants.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MANAGEMENT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Each of the individuals listed below, in addition to Mr. Penn, is a member of our investment committee and has primary responsibility for the day-to-day management of PennantPark’s portfolio, and each reports to Mr. Penn who has the final determination as to investment decisions. All of the portfolio managers are partners of our investment adviser.</w:t>
      </w:r>
    </w:p>
    <w:p>
      <w:pPr>
        <w:spacing w:after="0" w:line="10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Geoffrey S. Chang </w:t>
      </w:r>
      <w:r>
        <w:rPr>
          <w:rFonts w:ascii="Arial" w:cs="Arial" w:eastAsia="Arial" w:hAnsi="Arial"/>
          <w:sz w:val="18"/>
          <w:szCs w:val="18"/>
          <w:color w:val="auto"/>
        </w:rPr>
        <w:t>(33), Partner of PennantPark Investment Advisers. Mr. Chang became Partner of PennantPark Investment Advisers in February 2007.</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Chang was a founding member of Audax Mezzanine where he worked from 2000 until 2007, most recently as a Principal. Prior to Audax Mezzanine, Mr. Chang was a Director in the Leveraged Finance Group at CIBC World Markets Corp. and a Financial Analyst with its predecessor firm, The Argosy Group L.P., from 1995 to 2000.</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Salvatore Giannetti III </w:t>
      </w:r>
      <w:r>
        <w:rPr>
          <w:rFonts w:ascii="Arial" w:cs="Arial" w:eastAsia="Arial" w:hAnsi="Arial"/>
          <w:sz w:val="18"/>
          <w:szCs w:val="18"/>
          <w:color w:val="auto"/>
        </w:rPr>
        <w:t>(42), Partner of PennantPark Investment Advisers. Mr. Giannetti became Partner of PennantPark Investment Advisers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2007. Mr. Giannetti was most recently Partner in the private equity firm Wilton Ivy Partners from 2004. He was a Managing Director at UBS Warburg LLC (now UBS Investment Bank LLC) in the Leveraged Finance and Financial Sponsors Groups during 2000 and 2001. From 1997 through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12" w:lineRule="exact"/>
        <w:rPr>
          <w:sz w:val="20"/>
          <w:szCs w:val="20"/>
          <w:color w:val="auto"/>
        </w:rPr>
      </w:pPr>
    </w:p>
    <w:p>
      <w:pPr>
        <w:ind w:right="380" w:firstLine="456"/>
        <w:spacing w:after="0" w:line="289" w:lineRule="auto"/>
        <w:rPr>
          <w:sz w:val="20"/>
          <w:szCs w:val="20"/>
          <w:color w:val="auto"/>
        </w:rPr>
      </w:pPr>
      <w:r>
        <w:rPr>
          <w:rFonts w:ascii="Arial" w:cs="Arial" w:eastAsia="Arial" w:hAnsi="Arial"/>
          <w:sz w:val="16"/>
          <w:szCs w:val="16"/>
          <w:b w:val="1"/>
          <w:bCs w:val="1"/>
          <w:color w:val="auto"/>
        </w:rPr>
        <w:t xml:space="preserve">P. Whitridge Williams, Jr. </w:t>
      </w:r>
      <w:r>
        <w:rPr>
          <w:rFonts w:ascii="Arial" w:cs="Arial" w:eastAsia="Arial" w:hAnsi="Arial"/>
          <w:sz w:val="16"/>
          <w:szCs w:val="16"/>
          <w:color w:val="auto"/>
        </w:rPr>
        <w:t>(35), Partner of PennantPark Investment Advisers. Whit Williams became Partner of PennantPark Investment Advisers in</w:t>
      </w:r>
      <w:r>
        <w:rPr>
          <w:rFonts w:ascii="Arial" w:cs="Arial" w:eastAsia="Arial" w:hAnsi="Arial"/>
          <w:sz w:val="16"/>
          <w:szCs w:val="16"/>
          <w:b w:val="1"/>
          <w:bCs w:val="1"/>
          <w:color w:val="auto"/>
        </w:rPr>
        <w:t xml:space="preserve"> </w:t>
      </w:r>
      <w:r>
        <w:rPr>
          <w:rFonts w:ascii="Arial" w:cs="Arial" w:eastAsia="Arial" w:hAnsi="Arial"/>
          <w:sz w:val="16"/>
          <w:szCs w:val="16"/>
          <w:color w:val="auto"/>
        </w:rPr>
        <w:t>March of 2007. Mr. Williams was most recently a Managing Director in the Financial Sponsors and Leveraged Finance Group at UBS Investment Bank.</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Williams worked at UBS and predecessor firms, including Dillon Read and Co. Inc. from 1996 to March 2007. During Mr. Williams’ tenure at UBS, he spent four years as a senior member of the Telecom, Media and Technology Group.</w:t>
      </w:r>
    </w:p>
    <w:p>
      <w:pPr>
        <w:spacing w:after="0" w:line="11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our investment adviser adds senior investment professionals subsequent to this offering, our investment adviser may add them to its investment committee. The members of our investment committee will receive no compensation from us. These members will be employees or partners of our investment adviser and will receive compensation and/or profit distributions from our investment adviser.</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portfolio managers who are primarily responsible for the day-to-day management of PennantPark do not manage any other registered investment companies, pooled investment vehicles or other accounts. The table below shows the dollar range of shares of common stock to be beneficially owned by each manager of the investment adviser and each of our officers after giving effect to the private placement of 320,000 shares of common stock to our directors and officers, our investment adviser and the management of our investment adviser immediately prior to this offering.</w:t>
      </w:r>
    </w:p>
    <w:p>
      <w:pPr>
        <w:spacing w:after="0" w:line="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Portfolio Managers of PennantPark Investment Advisers</w:t>
            </w:r>
          </w:p>
        </w:tc>
        <w:tc>
          <w:tcPr>
            <w:tcW w:w="1400" w:type="dxa"/>
            <w:vAlign w:val="bottom"/>
          </w:tcPr>
          <w:p>
            <w:pPr>
              <w:spacing w:after="0"/>
              <w:rPr>
                <w:sz w:val="14"/>
                <w:szCs w:val="14"/>
                <w:color w:val="auto"/>
              </w:rPr>
            </w:pPr>
          </w:p>
        </w:tc>
        <w:tc>
          <w:tcPr>
            <w:tcW w:w="2080" w:type="dxa"/>
            <w:vAlign w:val="bottom"/>
          </w:tcPr>
          <w:p>
            <w:pPr>
              <w:ind w:left="580"/>
              <w:spacing w:after="0"/>
              <w:rPr>
                <w:sz w:val="20"/>
                <w:szCs w:val="20"/>
                <w:color w:val="auto"/>
              </w:rPr>
            </w:pPr>
            <w:r>
              <w:rPr>
                <w:rFonts w:ascii="Arial" w:cs="Arial" w:eastAsia="Arial" w:hAnsi="Arial"/>
                <w:sz w:val="14"/>
                <w:szCs w:val="14"/>
                <w:b w:val="1"/>
                <w:bCs w:val="1"/>
                <w:color w:val="auto"/>
              </w:rPr>
              <w:t>Dollar Range of</w:t>
            </w:r>
          </w:p>
        </w:tc>
        <w:tc>
          <w:tcPr>
            <w:tcW w:w="0" w:type="dxa"/>
            <w:vAlign w:val="bottom"/>
          </w:tcPr>
          <w:p>
            <w:pPr>
              <w:spacing w:after="0"/>
              <w:rPr>
                <w:sz w:val="1"/>
                <w:szCs w:val="1"/>
                <w:color w:val="auto"/>
              </w:rPr>
            </w:pPr>
          </w:p>
        </w:tc>
      </w:tr>
      <w:tr>
        <w:trPr>
          <w:trHeight w:val="155"/>
        </w:trPr>
        <w:tc>
          <w:tcPr>
            <w:tcW w:w="5060" w:type="dxa"/>
            <w:vAlign w:val="bottom"/>
            <w:tcBorders>
              <w:bottom w:val="single" w:sz="8" w:color="auto"/>
            </w:tcBorders>
            <w:vMerge w:val="continue"/>
          </w:tcPr>
          <w:p>
            <w:pPr>
              <w:spacing w:after="0"/>
              <w:rPr>
                <w:sz w:val="13"/>
                <w:szCs w:val="13"/>
                <w:color w:val="auto"/>
              </w:rPr>
            </w:pPr>
          </w:p>
        </w:tc>
        <w:tc>
          <w:tcPr>
            <w:tcW w:w="1400" w:type="dxa"/>
            <w:vAlign w:val="bottom"/>
          </w:tcPr>
          <w:p>
            <w:pPr>
              <w:spacing w:after="0"/>
              <w:rPr>
                <w:sz w:val="13"/>
                <w:szCs w:val="13"/>
                <w:color w:val="auto"/>
              </w:rPr>
            </w:pPr>
          </w:p>
        </w:tc>
        <w:tc>
          <w:tcPr>
            <w:tcW w:w="20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Equity Securities in PennantPark(1)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4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Geoffrey S. Chang</w:t>
            </w:r>
          </w:p>
        </w:tc>
        <w:tc>
          <w:tcPr>
            <w:tcW w:w="3480" w:type="dxa"/>
            <w:vAlign w:val="bottom"/>
            <w:gridSpan w:val="2"/>
          </w:tcPr>
          <w:p>
            <w:pPr>
              <w:ind w:left="1400"/>
              <w:spacing w:after="0"/>
              <w:rPr>
                <w:sz w:val="20"/>
                <w:szCs w:val="20"/>
                <w:color w:val="auto"/>
              </w:rPr>
            </w:pPr>
            <w:r>
              <w:rPr>
                <w:rFonts w:ascii="Arial" w:cs="Arial" w:eastAsia="Arial" w:hAnsi="Arial"/>
                <w:sz w:val="18"/>
                <w:szCs w:val="18"/>
                <w:color w:val="auto"/>
              </w:rPr>
              <w:t>$100,001 - $500,000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34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$100,001 - $500,000</w:t>
            </w:r>
          </w:p>
        </w:tc>
        <w:tc>
          <w:tcPr>
            <w:tcW w:w="0" w:type="dxa"/>
            <w:vAlign w:val="bottom"/>
          </w:tcPr>
          <w:p>
            <w:pPr>
              <w:spacing w:after="0"/>
              <w:rPr>
                <w:sz w:val="1"/>
                <w:szCs w:val="1"/>
                <w:color w:val="auto"/>
              </w:rPr>
            </w:pPr>
          </w:p>
        </w:tc>
      </w:tr>
      <w:tr>
        <w:trPr>
          <w:trHeight w:val="228"/>
        </w:trPr>
        <w:tc>
          <w:tcPr>
            <w:tcW w:w="5060" w:type="dxa"/>
            <w:vAlign w:val="bottom"/>
          </w:tcPr>
          <w:p>
            <w:pPr>
              <w:spacing w:after="0"/>
              <w:rPr>
                <w:sz w:val="20"/>
                <w:szCs w:val="20"/>
                <w:color w:val="auto"/>
              </w:rPr>
            </w:pPr>
            <w:r>
              <w:rPr>
                <w:rFonts w:ascii="Arial" w:cs="Arial" w:eastAsia="Arial" w:hAnsi="Arial"/>
                <w:sz w:val="18"/>
                <w:szCs w:val="18"/>
                <w:color w:val="auto"/>
              </w:rPr>
              <w:t>P. Whitridge Williams, Jr.</w:t>
            </w:r>
          </w:p>
        </w:tc>
        <w:tc>
          <w:tcPr>
            <w:tcW w:w="3480" w:type="dxa"/>
            <w:vAlign w:val="bottom"/>
            <w:gridSpan w:val="2"/>
          </w:tcPr>
          <w:p>
            <w:pPr>
              <w:ind w:left="1400"/>
              <w:spacing w:after="0"/>
              <w:rPr>
                <w:sz w:val="20"/>
                <w:szCs w:val="20"/>
                <w:color w:val="auto"/>
              </w:rPr>
            </w:pPr>
            <w:r>
              <w:rPr>
                <w:rFonts w:ascii="Arial" w:cs="Arial" w:eastAsia="Arial" w:hAnsi="Arial"/>
                <w:sz w:val="18"/>
                <w:szCs w:val="18"/>
                <w:color w:val="auto"/>
              </w:rPr>
              <w:t>$100,001 - $500,000</w:t>
            </w:r>
          </w:p>
        </w:tc>
        <w:tc>
          <w:tcPr>
            <w:tcW w:w="0" w:type="dxa"/>
            <w:vAlign w:val="bottom"/>
          </w:tcPr>
          <w:p>
            <w:pPr>
              <w:spacing w:after="0"/>
              <w:rPr>
                <w:sz w:val="1"/>
                <w:szCs w:val="1"/>
                <w:color w:val="auto"/>
              </w:rPr>
            </w:pPr>
          </w:p>
        </w:tc>
      </w:tr>
      <w:tr>
        <w:trPr>
          <w:trHeight w:val="347"/>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Officers of PennantPark</w:t>
            </w:r>
          </w:p>
        </w:tc>
        <w:tc>
          <w:tcPr>
            <w:tcW w:w="140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34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Aviv Efrat</w:t>
            </w:r>
          </w:p>
        </w:tc>
        <w:tc>
          <w:tcPr>
            <w:tcW w:w="3480" w:type="dxa"/>
            <w:vAlign w:val="bottom"/>
            <w:gridSpan w:val="2"/>
          </w:tcPr>
          <w:p>
            <w:pPr>
              <w:ind w:left="1400"/>
              <w:spacing w:after="0"/>
              <w:rPr>
                <w:sz w:val="20"/>
                <w:szCs w:val="20"/>
                <w:color w:val="auto"/>
              </w:rPr>
            </w:pPr>
            <w:r>
              <w:rPr>
                <w:rFonts w:ascii="Arial" w:cs="Arial" w:eastAsia="Arial" w:hAnsi="Arial"/>
                <w:sz w:val="18"/>
                <w:szCs w:val="18"/>
                <w:color w:val="auto"/>
              </w:rPr>
              <w:t>$100,001 - $500,000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$100,001 - $500,000; $500,001 - $1,000,000 or Over $1,000,000.</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Global Market corporate governance regulations. Mr. Flug serves as chairman of the audit committee. The audit committee is responsible for approving our independent accountants, reviewing with our independent accountants the plans and results of the audit engagement, approving professional services provided by our independent accountants, reviewing the independence of our independent accountants and reviewing the adequacy of our internal accounting controls. The audit committee is also responsible for aiding our board of directors in fair value pricing debt and equity securities that are not publicly traded or for which current market values are not readily available. The board of directors and audit committee will use the services of nationally recognized independent valuation firms to help them determine the fair value of these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have a compensation committee because our executive officers will not receive any direct compensation from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Beginning in 2007, the independent directors each will receive an annual fee of $75,000. They will also receive $2,500 plus reimbursement of reasonable out-of-pocket expenses incurred in connection with attending each board meeting and will receive $1,000 plus reimbursement of reasonable out-of-pocket expenses incurred in connection with attending each committee meeting. In addition, the Chairman of the Audit Committee will receive an annual fee of $7,500 and each chairman of any other committee will receive an annual fee of $2,500 for their additional services in these capacities. In addition, we have purchased directors’ and officers’ liability insurance on behalf of our directors and officers. Independent directors will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None of our officers will receive direct compensation from PennantPark. We expect to retain a chief compliance officer promptly after completion of this offering. Mr. Penn will serve as our interim Chief Compliance Officer until our Board of Directors has approved a permanent chief compliance officer. The compensation of our chief financial officer and our permanent chief compliance officer, once retained, will be paid by PennantPark Administration, subject to reimbursement by us of an allocable portion of such compensation for services rendered by him to PennantPark. To the extent that our administrator outsources any of its functions we will pay the fees associated with such functions on a direct basis without profit to the administrators. Mr. Penn will receive no incremental compensation for his service as interim Chief Compliance Officer.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and PennantPark Investment Advisers have entered into an Interim Management Agreement whereby PennantPark Investment Advisers will provide investment management services to us prior to consummation of this offering. Under the Interim Management Agreement, PennantPark Investment Advisers will be reimbursed for expenses and will not receive a management or incentive fee under this agreement. Prior to the closing of this offering, PennantPark Investment Advisers will register with the SEC as an investment adviser, and we and PennantPark Investment Advisers will enter into the Investment Management Agreement in accordance with the 1940 Act at the time we elect to be treated as a business development company, which we expect to occur shortly before consummation of this offering. PennantPark Investment Advisers will serve as our investment adviser subsequent to consummation of this offering in accordance with the terms of the Investment Management Agreement. Subject to the overall supervision of our board of directors, the investment adviser will manage the day-to-day operations of, and provide investment management services to, PennantPark. Under the terms of the Interim Investment Management Agreement and the Investment Management Agreement, PennantPark Investment Advisers will:</w:t>
      </w:r>
    </w:p>
    <w:p>
      <w:pPr>
        <w:spacing w:after="0" w:line="3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determine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close and monitor the investments we make.</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PennantPark Investment Advisers’ services under the Interim Management Agreement and the Investment Management Agreement are not exclusive, and it is free to furnish similar services to other entities so long as its services to us are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Investment Management Agreement in effect subsequent to completion of this offering, we will pay PennantPark Investment Advisers a fee for investment management services consisting of two components—a base management fee and an incentive fee.</w:t>
      </w:r>
    </w:p>
    <w:p>
      <w:pPr>
        <w:spacing w:after="0" w:line="105"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base management fee will be calculated at an annual rate of 2.00 percent of our gross assets. Although the base management fee will be 2.00 percent of our gross assets, the investment adviser has agreed to waive a portion of the base management fee such that the base management fee will equal 1.50 percent from the consummation of this offering through September 30, 2007, 1.75 percent from October 1, 2007 through March 31, 2008, and 2.00 percent thereafter.</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services rendered under the investment advisory and management agreement during the period commencing from the closing of this offering through and including the first six months of operations, the base management fee will be payable monthly in arrears. For services rendered under the investment advisory and management agreement after that time, the base management fee will be payable quarterly in arrears. For the first quarter of our operations, the base management fee will be calculated based on the initial value of our gross assets. Subsequently, the base management fee will be calculated based on the average value of our gross assets at the end of the two most recently completed calendar quarters, and appropriately adjusted for any share issuances or repurchases during the current calendar quarter. Base investment advisory fees for any partial month or quarter will be appropriately pro rated.</w:t>
      </w:r>
    </w:p>
    <w:p>
      <w:pPr>
        <w:spacing w:after="0" w:line="91" w:lineRule="exact"/>
        <w:rPr>
          <w:sz w:val="20"/>
          <w:szCs w:val="20"/>
          <w:color w:val="auto"/>
        </w:rPr>
      </w:pPr>
    </w:p>
    <w:p>
      <w:pPr>
        <w:ind w:right="520" w:firstLine="456"/>
        <w:spacing w:after="0" w:line="255" w:lineRule="auto"/>
        <w:rPr>
          <w:sz w:val="20"/>
          <w:szCs w:val="20"/>
          <w:color w:val="auto"/>
        </w:rPr>
      </w:pPr>
      <w:r>
        <w:rPr>
          <w:rFonts w:ascii="Arial" w:cs="Arial" w:eastAsia="Arial" w:hAnsi="Arial"/>
          <w:sz w:val="18"/>
          <w:szCs w:val="18"/>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management fee, expenses payable under the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gross assets used to calculate the 2.00% base management fee. We will pay PennantPark Investment Advisers an incentive fee with respect to our Pre-Incentive Fee Net Investment Income in each calendar quarter as follows:</w:t>
      </w:r>
    </w:p>
    <w:p>
      <w:pPr>
        <w:spacing w:after="0" w:line="3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These calculations will be appropriately pro rated for any period of less than three months and adjusted for any share issuances or repurchases during the current quarter.</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20" w:right="4620" w:firstLine="890"/>
        <w:spacing w:after="0" w:line="427" w:lineRule="auto"/>
        <w:rPr>
          <w:sz w:val="20"/>
          <w:szCs w:val="20"/>
          <w:color w:val="auto"/>
        </w:rPr>
      </w:pPr>
      <w:r>
        <w:rPr>
          <w:rFonts w:ascii="Arial" w:cs="Arial" w:eastAsia="Arial" w:hAnsi="Arial"/>
          <w:sz w:val="16"/>
          <w:szCs w:val="16"/>
          <w:color w:val="auto"/>
        </w:rPr>
        <w:t>(investment income - (base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60" w:right="4820" w:firstLine="443"/>
        <w:spacing w:after="0" w:line="281" w:lineRule="auto"/>
        <w:rPr>
          <w:sz w:val="20"/>
          <w:szCs w:val="20"/>
          <w:color w:val="auto"/>
        </w:rPr>
      </w:pPr>
      <w:r>
        <w:rPr>
          <w:rFonts w:ascii="Arial" w:cs="Arial" w:eastAsia="Arial" w:hAnsi="Arial"/>
          <w:sz w:val="16"/>
          <w:szCs w:val="16"/>
          <w:color w:val="auto"/>
        </w:rPr>
        <w:t>(investment income - (base management fee + other expenses)) = 2.00% Incentive fee = 20% x Pre-Incentive Fee Net Investment Income, subject to “catch-up”</w:t>
      </w:r>
    </w:p>
    <w:p>
      <w:pPr>
        <w:spacing w:after="0" w:line="1" w:lineRule="exact"/>
        <w:rPr>
          <w:sz w:val="20"/>
          <w:szCs w:val="20"/>
          <w:color w:val="auto"/>
        </w:rPr>
      </w:pPr>
    </w:p>
    <w:p>
      <w:pPr>
        <w:ind w:left="1480" w:hanging="139"/>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0.25%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60" w:right="4820" w:firstLine="443"/>
        <w:spacing w:after="0" w:line="281" w:lineRule="auto"/>
        <w:rPr>
          <w:sz w:val="20"/>
          <w:szCs w:val="20"/>
          <w:color w:val="auto"/>
        </w:rPr>
      </w:pPr>
      <w:r>
        <w:rPr>
          <w:rFonts w:ascii="Arial" w:cs="Arial" w:eastAsia="Arial" w:hAnsi="Arial"/>
          <w:sz w:val="16"/>
          <w:szCs w:val="16"/>
          <w:color w:val="auto"/>
        </w:rPr>
        <w:t>(investment income - (base management fee + other expenses)) = 2.30% Incentive fee = 20% x Pre-Incentive Fee Net Investment Income, subject to “catch-up”</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2.1875% - 1.75%</w:t>
      </w:r>
    </w:p>
    <w:p>
      <w:pPr>
        <w:spacing w:after="0" w:line="15" w:lineRule="exact"/>
        <w:rPr>
          <w:sz w:val="20"/>
          <w:szCs w:val="20"/>
          <w:color w:val="auto"/>
        </w:rPr>
      </w:pPr>
    </w:p>
    <w:p>
      <w:pPr>
        <w:ind w:left="600" w:hanging="140"/>
        <w:spacing w:after="0"/>
        <w:tabs>
          <w:tab w:leader="none" w:pos="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0.4375%</w:t>
      </w:r>
    </w:p>
    <w:p>
      <w:pPr>
        <w:spacing w:after="0" w:line="9" w:lineRule="exact"/>
        <w:rPr>
          <w:rFonts w:ascii="Arial" w:cs="Arial" w:eastAsia="Arial" w:hAnsi="Arial"/>
          <w:sz w:val="18"/>
          <w:szCs w:val="18"/>
          <w:color w:val="auto"/>
        </w:rPr>
      </w:pPr>
    </w:p>
    <w:p>
      <w:pPr>
        <w:ind w:left="460" w:right="7380"/>
        <w:spacing w:after="0" w:line="250" w:lineRule="auto"/>
        <w:tabs>
          <w:tab w:leader="none" w:pos="6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(100% x 0.4375%) + (20% x (2.3% - 2.1875%)) =0.4375% + (20% x 0.1125%)</w:t>
      </w:r>
    </w:p>
    <w:p>
      <w:pPr>
        <w:ind w:left="600" w:hanging="140"/>
        <w:spacing w:after="0"/>
        <w:tabs>
          <w:tab w:leader="none" w:pos="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 w:lineRule="exact"/>
        <w:rPr>
          <w:rFonts w:ascii="Arial" w:cs="Arial" w:eastAsia="Arial" w:hAnsi="Arial"/>
          <w:sz w:val="18"/>
          <w:szCs w:val="18"/>
          <w:color w:val="auto"/>
        </w:rPr>
      </w:pPr>
    </w:p>
    <w:p>
      <w:pPr>
        <w:ind w:left="600" w:hanging="140"/>
        <w:spacing w:after="0"/>
        <w:tabs>
          <w:tab w:leader="none" w:pos="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0.46%</w:t>
      </w: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7.0 percent annualized Hurdle.</w:t>
      </w:r>
    </w:p>
    <w:p>
      <w:pPr>
        <w:ind w:left="340" w:right="2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2.0 percent annualized base management fee. Although the management fee will be 2.00 percent of our gross assets, the investment adviser has agreed to waive a portion of the base management fee such that the base management fee will equal 1.50 percent from the consummation of this offering through September 30, 2007, 1.75 percent from October 1, 2007 through March 31, 2008, and 2.00 percent thereafter.</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46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6"/>
            <w:szCs w:val="16"/>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ectPr>
          <w:pgSz w:w="11900" w:h="16838" w:orient="portrait"/>
          <w:cols w:equalWidth="0" w:num="1">
            <w:col w:w="11300"/>
          </w:cols>
          <w:pgMar w:left="240" w:top="459" w:right="359" w:bottom="1440" w:gutter="0" w:footer="0" w:header="0"/>
        </w:sectPr>
      </w:pP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46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20% x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w:t>
      </w:r>
    </w:p>
    <w:p>
      <w:pPr>
        <w:spacing w:after="0" w:line="200" w:lineRule="exact"/>
        <w:rPr>
          <w:sz w:val="20"/>
          <w:szCs w:val="20"/>
          <w:color w:val="auto"/>
        </w:rPr>
      </w:pPr>
    </w:p>
    <w:p>
      <w:pPr>
        <w:sectPr>
          <w:pgSz w:w="11900" w:h="16838" w:orient="portrait"/>
          <w:cols w:equalWidth="0" w:num="2">
            <w:col w:w="5440" w:space="720"/>
            <w:col w:w="5140"/>
          </w:cols>
          <w:pgMar w:left="240" w:top="459" w:right="359" w:bottom="1440" w:gutter="0" w:footer="0" w:header="0"/>
          <w:type w:val="continuous"/>
        </w:sectPr>
      </w:pPr>
    </w:p>
    <w:p>
      <w:pPr>
        <w:spacing w:after="0" w:line="30"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All investment professionals of the investment adviser and their respective staffs when and to the extent engaged in providing investment advisory and management services, and the compensation and routine overhead expenses of such personnel allocable to such services, will be provided and paid for by PennantPark Administration. We will bear all other costs and expenses of our operations and transactions, including (without limitation):</w:t>
      </w:r>
    </w:p>
    <w:p>
      <w:pPr>
        <w:spacing w:after="0" w:line="26"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other expenses incurred by either PennantPark Administration or us in connection with organization and offering, administering our business, including payments under the Administration Agreement that will be based upon our allocable portion of overhead and other expenses incurred by PennantPark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Investment Management Agreement was approved by our board of directors, including a majority of our directors who are not interested persons of PennantPark, on February 13, 2007 and is scheduled to be executed on the date of this prospectus. Unless terminated earlier as described below, the Investment</w:t>
      </w:r>
    </w:p>
    <w:p>
      <w:pPr>
        <w:spacing w:after="0" w:line="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Management Agreement 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Each of the Interim Management Agreement and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of the Investment Adviser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PennantPark Investment Advisers is a newly formed Delaware limited liability company that intends to register as an investment adviser under the Advisers Act prior to completion of this offering. The principal executive offices of PennantPark Investment Advisers are located at 445 Park Avenue, New York, NY 10022.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Management Agreement</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discussion regarding the basis for our board of director’s approval of our Investment Management Agreement will be included in our first quarterly report on Form 10-Q filed subsequent to completion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PennantPark Administration will furnish us with office facilities, equipment and clerical, bookkeeping and record keeping services at such facilities. Under the Administration Agreement, PennantPark Administration also will perform, or oversee the performance of, our required administrative services, which include, among other things, being responsible for the financial records which we are required to maintain and preparing reports to our stockholders and reports filed with the SEC. In addition, PennantPark Administration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PennantPark Administration’s overhead in performing its obligations under the Administration Agreement, including rent and our allocable portion of the cost of our chief compliance officer and chief financial officer and their respective staffs. Under the Administration Agreement, PennantPark Administration will also provide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PennantPark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Administration and its officers, manager, partners, agents, employees, controlling persons, members and any other person or entity affiliated with it are entitled to indemnification from PennantPark for any damages, liabilities, costs and expenses (including reasonable attorneys’ fees and amounts reasonably paid in settlement) arising from the rendering of PennantPark Administration’s services under the Administration Agreement or otherwise as administrator for PennantPark.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agreed to grant us a non-exclusive, royalty-free license to use the name “PennantPark.” Under this agreement, we will have a right to use the PennantPark name, for so long as PennantPark Investment Advisers or one of its affiliates remains our investment adviser. Other than with respect to this limited license, we will have no legal right to the “PennantPark” name. The License Agreement will remain in effect for so long as the investment advisory and management agreement with our investment adviser is in effect.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w:t>
      </w:r>
    </w:p>
    <w:p>
      <w:pPr>
        <w:spacing w:after="0" w:line="15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entered into the Interim Investment Management Agreement and upon the closing of this offering, we will have entered into the Investment Management Agreement with PennantPark Investment Advisers, in which the Chairman of our Board of Directors and our Chief Executive Officer has ownership and financial interests. Our Chief Financial Officer and Treasurer, Aviv Efrat, and the chief compliance officer we expect to retain promptly after this offering, as well as Messrs. Chang, Giannetti and Williams and other investment professionals our investment adviser may retain after this offering, may also serve as principals of other investment managers affiliated with PennantPark Investment Advisers. Such entities may in the future manage investment funds with investment objectives similar to ours. In addition, our current executive officers and directors, the chief compliance officer we expect to retain after this offering and the senior investment professionals of our investment adviser, serve or may serve as officers, directors or principals of entities that operate or may operate in the same or related line of business as we do or of investment funds managed by our affiliates. Accordingly, we may not be given the opportunity to participate in certain investments made by investment funds managed by advisers affiliated with PennantPark Investment Advisers. However, our investment adviser intends to allocate investment opportunities in a fair and equitable manner consistent with our investment objectives and strategies so that we are not disadvantaged in relation to any other client of our investment adviser. See “Risk Factors—Risks relating to our business and structure—There are significant potential conflicts of interest which could impact our investment returns.”</w:t>
      </w:r>
    </w:p>
    <w:p>
      <w:pPr>
        <w:spacing w:after="0" w:line="9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agreed to grant us a non-exclusive, royalty-free license to use the name “PennantPark.”</w:t>
      </w:r>
    </w:p>
    <w:p>
      <w:pPr>
        <w:spacing w:after="0" w:line="10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pursuant to the terms of the Administration Agreement, PennantPark Administration provides us with the office facilities and administrative services necessary to conduct our day-to-day operations. PennantPark Investment Advisers is the sole member of and controls PennantPark Administration.</w:t>
      </w:r>
    </w:p>
    <w:p>
      <w:pPr>
        <w:spacing w:after="0" w:line="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through our wholly owned subsidiary, Pennant SPV Company, LLC, have established a Credit Facility with the Lender, one of the underwriters for this offering, to use advances thereunder to acquire interests in certain senior secured loans that will comprise our initial investment portfolio upon the consummation of this offering. One or more of the underwriters of this offering may also have acted as an agent or broker in connection with loans we have purchased in the market. Neither we, nor Pennant SPV Company, LLC, has paid or will pay any commissions in connection with such purchases.</w:t>
      </w:r>
    </w:p>
    <w:p>
      <w:pPr>
        <w:spacing w:after="0" w:line="8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PennantPark Investment Advisers purchased 80,000 shares of common stock from PennantPark at $15.00 per share for a total of $1.2 million for the purpose of capitalizing Pennant SPV Company, LLC. Mr. Penn is the Managing Member of PennantPark Investment Advisers.</w:t>
      </w:r>
    </w:p>
    <w:p>
      <w:pPr>
        <w:spacing w:after="0" w:line="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Immediately prior to the closing of this offering, we expect to sell 320,000 shares of common stock to our directors and officers, our investment adviser and the managers of our investment advisor at a price of $15.00 per share in a private placement. We will receive the full proceeds of this private placement, and no underwriting discounts or commissions will be paid in respect of these shares. Under a registration rights agreement signed at the time of such private placement, the holders of these shares will receive registration rights that will entitle them to make up to two demands on us to register their shares under the Securities Act. Holders of a majority of these shares may elect to exercise their registration rights at any time after the date on which these shares of common stock are released from the lock-up arrangement agreed as part of this offering. In addition, these stockholders have certain “piggy-back” registration rights that entitle them to include their shares in certain registration statements that we file subsequent to the closing date of this offering. We will bear the expenses incurred in connection with the filing of any such registration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5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Immediately prior to the completion of this offering and the private placement of 320,000 shares to our officers and directors, our investment adviser and the managers of our investment adviser, there will be 80,000 shares of common stock outstanding and one stockholder of record. At that time, we will have no other shares of capital stock outstanding. The following table sets forth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86"/>
              </w:rPr>
              <w:t>Percentage of common stock outstanding</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140" w:type="dxa"/>
            <w:vAlign w:val="bottom"/>
            <w:gridSpan w:val="4"/>
          </w:tcPr>
          <w:p>
            <w:pPr>
              <w:jc w:val="center"/>
              <w:ind w:right="600"/>
              <w:spacing w:after="0" w:line="125" w:lineRule="exact"/>
              <w:rPr>
                <w:sz w:val="20"/>
                <w:szCs w:val="20"/>
                <w:color w:val="auto"/>
              </w:rPr>
            </w:pPr>
            <w:r>
              <w:rPr>
                <w:rFonts w:ascii="Arial" w:cs="Arial" w:eastAsia="Arial" w:hAnsi="Arial"/>
                <w:sz w:val="14"/>
                <w:szCs w:val="14"/>
                <w:b w:val="1"/>
                <w:bCs w:val="1"/>
                <w:color w:val="auto"/>
                <w:w w:val="90"/>
              </w:rPr>
              <w:t>Immediately prior</w:t>
            </w:r>
          </w:p>
        </w:tc>
        <w:tc>
          <w:tcPr>
            <w:tcW w:w="16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Immediately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4"/>
          </w:tcPr>
          <w:p>
            <w:pPr>
              <w:jc w:val="center"/>
              <w:ind w:right="600"/>
              <w:spacing w:after="0" w:line="181" w:lineRule="exact"/>
              <w:rPr>
                <w:sz w:val="20"/>
                <w:szCs w:val="20"/>
                <w:color w:val="auto"/>
              </w:rPr>
            </w:pPr>
            <w:r>
              <w:rPr>
                <w:rFonts w:ascii="Arial" w:cs="Arial" w:eastAsia="Arial" w:hAnsi="Arial"/>
                <w:sz w:val="13"/>
                <w:szCs w:val="13"/>
                <w:b w:val="1"/>
                <w:bCs w:val="1"/>
                <w:color w:val="auto"/>
                <w:w w:val="91"/>
              </w:rPr>
              <w:t>to this offering</w:t>
            </w:r>
            <w:r>
              <w:rPr>
                <w:rFonts w:ascii="Arial" w:cs="Arial" w:eastAsia="Arial" w:hAnsi="Arial"/>
                <w:sz w:val="20"/>
                <w:szCs w:val="20"/>
                <w:b w:val="1"/>
                <w:bCs w:val="1"/>
                <w:color w:val="auto"/>
                <w:w w:val="91"/>
                <w:vertAlign w:val="superscript"/>
              </w:rPr>
              <w:t>(1)</w:t>
            </w:r>
          </w:p>
        </w:tc>
        <w:tc>
          <w:tcPr>
            <w:tcW w:w="1660" w:type="dxa"/>
            <w:vAlign w:val="bottom"/>
            <w:gridSpan w:val="3"/>
          </w:tcPr>
          <w:p>
            <w:pPr>
              <w:jc w:val="center"/>
              <w:spacing w:after="0" w:line="181" w:lineRule="exact"/>
              <w:rPr>
                <w:sz w:val="20"/>
                <w:szCs w:val="20"/>
                <w:color w:val="auto"/>
              </w:rPr>
            </w:pPr>
            <w:r>
              <w:rPr>
                <w:rFonts w:ascii="Arial" w:cs="Arial" w:eastAsia="Arial" w:hAnsi="Arial"/>
                <w:sz w:val="13"/>
                <w:szCs w:val="13"/>
                <w:b w:val="1"/>
                <w:bCs w:val="1"/>
                <w:color w:val="auto"/>
                <w:w w:val="92"/>
              </w:rPr>
              <w:t>after this offering</w:t>
            </w:r>
            <w:r>
              <w:rPr>
                <w:rFonts w:ascii="Arial" w:cs="Arial" w:eastAsia="Arial" w:hAnsi="Arial"/>
                <w:sz w:val="20"/>
                <w:szCs w:val="20"/>
                <w:b w:val="1"/>
                <w:bCs w:val="1"/>
                <w:color w:val="auto"/>
                <w:w w:val="92"/>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40" w:type="dxa"/>
            <w:vAlign w:val="bottom"/>
            <w:gridSpan w:val="4"/>
          </w:tcPr>
          <w:p>
            <w:pPr>
              <w:jc w:val="center"/>
              <w:ind w:right="600"/>
              <w:spacing w:after="0" w:line="144" w:lineRule="exact"/>
              <w:rPr>
                <w:sz w:val="20"/>
                <w:szCs w:val="20"/>
                <w:color w:val="auto"/>
              </w:rPr>
            </w:pPr>
            <w:r>
              <w:rPr>
                <w:rFonts w:ascii="Arial" w:cs="Arial" w:eastAsia="Arial" w:hAnsi="Arial"/>
                <w:sz w:val="14"/>
                <w:szCs w:val="14"/>
                <w:b w:val="1"/>
                <w:bCs w:val="1"/>
                <w:color w:val="auto"/>
                <w:w w:val="88"/>
              </w:rPr>
              <w:t>and private</w:t>
            </w:r>
          </w:p>
        </w:tc>
        <w:tc>
          <w:tcPr>
            <w:tcW w:w="166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8"/>
              </w:rPr>
              <w:t>and private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4"/>
          </w:tcPr>
          <w:p>
            <w:pPr>
              <w:jc w:val="center"/>
              <w:ind w:right="580"/>
              <w:spacing w:after="0" w:line="207" w:lineRule="exact"/>
              <w:rPr>
                <w:sz w:val="20"/>
                <w:szCs w:val="20"/>
                <w:color w:val="auto"/>
              </w:rPr>
            </w:pPr>
            <w:r>
              <w:rPr>
                <w:rFonts w:ascii="Arial" w:cs="Arial" w:eastAsia="Arial" w:hAnsi="Arial"/>
                <w:sz w:val="14"/>
                <w:szCs w:val="14"/>
                <w:b w:val="1"/>
                <w:bCs w:val="1"/>
                <w:color w:val="auto"/>
                <w:w w:val="82"/>
              </w:rPr>
              <w:t>placement</w:t>
            </w:r>
            <w:r>
              <w:rPr>
                <w:rFonts w:ascii="Arial" w:cs="Arial" w:eastAsia="Arial" w:hAnsi="Arial"/>
                <w:sz w:val="22"/>
                <w:szCs w:val="22"/>
                <w:b w:val="1"/>
                <w:bCs w:val="1"/>
                <w:color w:val="auto"/>
                <w:w w:val="82"/>
                <w:vertAlign w:val="superscript"/>
              </w:rPr>
              <w:t>(2)</w:t>
            </w:r>
          </w:p>
        </w:tc>
        <w:tc>
          <w:tcPr>
            <w:tcW w:w="1660" w:type="dxa"/>
            <w:vAlign w:val="bottom"/>
            <w:gridSpan w:val="3"/>
          </w:tcPr>
          <w:p>
            <w:pPr>
              <w:jc w:val="center"/>
              <w:spacing w:after="0" w:line="207" w:lineRule="exact"/>
              <w:rPr>
                <w:sz w:val="20"/>
                <w:szCs w:val="20"/>
                <w:color w:val="auto"/>
              </w:rPr>
            </w:pPr>
            <w:r>
              <w:rPr>
                <w:rFonts w:ascii="Arial" w:cs="Arial" w:eastAsia="Arial" w:hAnsi="Arial"/>
                <w:sz w:val="14"/>
                <w:szCs w:val="14"/>
                <w:b w:val="1"/>
                <w:bCs w:val="1"/>
                <w:color w:val="auto"/>
                <w:w w:val="84"/>
              </w:rPr>
              <w:t>placement</w:t>
            </w:r>
            <w:r>
              <w:rPr>
                <w:rFonts w:ascii="Arial" w:cs="Arial" w:eastAsia="Arial" w:hAnsi="Arial"/>
                <w:sz w:val="22"/>
                <w:szCs w:val="22"/>
                <w:b w:val="1"/>
                <w:bCs w:val="1"/>
                <w:color w:val="auto"/>
                <w:w w:val="84"/>
                <w:vertAlign w:val="superscript"/>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(3)</w:t>
            </w:r>
          </w:p>
        </w:tc>
        <w:tc>
          <w:tcPr>
            <w:tcW w:w="440" w:type="dxa"/>
            <w:vAlign w:val="bottom"/>
          </w:tcPr>
          <w:p>
            <w:pPr>
              <w:spacing w:after="0"/>
              <w:rPr>
                <w:sz w:val="11"/>
                <w:szCs w:val="11"/>
                <w:color w:val="auto"/>
              </w:rPr>
            </w:pPr>
          </w:p>
        </w:tc>
        <w:tc>
          <w:tcPr>
            <w:tcW w:w="116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4"/>
              </w:rPr>
              <w:t>Type of</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tcBorders>
              <w:bottom w:val="single" w:sz="8" w:color="auto"/>
            </w:tcBorders>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ownership</w:t>
            </w:r>
          </w:p>
        </w:tc>
        <w:tc>
          <w:tcPr>
            <w:tcW w:w="44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owned</w:t>
            </w:r>
          </w:p>
        </w:tc>
        <w:tc>
          <w:tcPr>
            <w:tcW w:w="420" w:type="dxa"/>
            <w:vAlign w:val="bottom"/>
          </w:tcPr>
          <w:p>
            <w:pPr>
              <w:spacing w:after="0"/>
              <w:rPr>
                <w:sz w:val="13"/>
                <w:szCs w:val="13"/>
                <w:color w:val="auto"/>
              </w:rPr>
            </w:pPr>
          </w:p>
        </w:tc>
        <w:tc>
          <w:tcPr>
            <w:tcW w:w="66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2"/>
              </w:rPr>
              <w:t>Percentage</w:t>
            </w:r>
          </w:p>
        </w:tc>
        <w:tc>
          <w:tcPr>
            <w:tcW w:w="580" w:type="dxa"/>
            <w:vAlign w:val="bottom"/>
          </w:tcPr>
          <w:p>
            <w:pPr>
              <w:spacing w:after="0"/>
              <w:rPr>
                <w:sz w:val="13"/>
                <w:szCs w:val="13"/>
                <w:color w:val="auto"/>
              </w:rPr>
            </w:pPr>
          </w:p>
        </w:tc>
        <w:tc>
          <w:tcPr>
            <w:tcW w:w="5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owned</w:t>
            </w:r>
          </w:p>
        </w:tc>
        <w:tc>
          <w:tcPr>
            <w:tcW w:w="440" w:type="dxa"/>
            <w:vAlign w:val="bottom"/>
          </w:tcPr>
          <w:p>
            <w:pPr>
              <w:spacing w:after="0"/>
              <w:rPr>
                <w:sz w:val="13"/>
                <w:szCs w:val="13"/>
                <w:color w:val="auto"/>
              </w:rPr>
            </w:pPr>
          </w:p>
        </w:tc>
        <w:tc>
          <w:tcPr>
            <w:tcW w:w="6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PennantPark Investment Advisers, LLC</w:t>
            </w:r>
            <w:r>
              <w:rPr>
                <w:rFonts w:ascii="Arial" w:cs="Arial" w:eastAsia="Arial" w:hAnsi="Arial"/>
                <w:sz w:val="22"/>
                <w:szCs w:val="22"/>
                <w:color w:val="auto"/>
                <w:vertAlign w:val="superscript"/>
              </w:rPr>
              <w:t>(4)</w:t>
            </w:r>
          </w:p>
        </w:tc>
        <w:tc>
          <w:tcPr>
            <w:tcW w:w="1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Record</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80,000</w:t>
            </w: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203,333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line="217" w:lineRule="exact"/>
              <w:rPr>
                <w:sz w:val="20"/>
                <w:szCs w:val="20"/>
                <w:color w:val="auto"/>
              </w:rPr>
            </w:pPr>
            <w:r>
              <w:rPr>
                <w:rFonts w:ascii="Arial" w:cs="Arial" w:eastAsia="Arial" w:hAnsi="Arial"/>
                <w:sz w:val="18"/>
                <w:szCs w:val="18"/>
                <w:color w:val="auto"/>
              </w:rPr>
              <w:t>Arthur H. Penn</w:t>
            </w:r>
            <w:r>
              <w:rPr>
                <w:rFonts w:ascii="Arial" w:cs="Arial" w:eastAsia="Arial" w:hAnsi="Arial"/>
                <w:sz w:val="22"/>
                <w:szCs w:val="22"/>
                <w:color w:val="auto"/>
                <w:vertAlign w:val="superscript"/>
              </w:rPr>
              <w:t>(4)</w:t>
            </w: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Beneficial</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80,000</w:t>
            </w:r>
          </w:p>
        </w:tc>
        <w:tc>
          <w:tcPr>
            <w:tcW w:w="1660" w:type="dxa"/>
            <w:vAlign w:val="bottom"/>
            <w:gridSpan w:val="3"/>
          </w:tcPr>
          <w:p>
            <w:pPr>
              <w:ind w:left="82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203,333</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group (</w:t>
            </w:r>
            <w:r>
              <w:rPr>
                <w:rFonts w:ascii="Arial" w:cs="Arial" w:eastAsia="Arial" w:hAnsi="Arial"/>
                <w:sz w:val="18"/>
                <w:szCs w:val="18"/>
                <w:i w:val="1"/>
                <w:iCs w:val="1"/>
                <w:color w:val="auto"/>
              </w:rPr>
              <w:t>6 persons</w:t>
            </w:r>
            <w:r>
              <w:rPr>
                <w:rFonts w:ascii="Arial" w:cs="Arial" w:eastAsia="Arial" w:hAnsi="Arial"/>
                <w:sz w:val="18"/>
                <w:szCs w:val="18"/>
                <w:color w:val="auto"/>
              </w:rPr>
              <w:t>)</w:t>
            </w:r>
          </w:p>
        </w:tc>
        <w:tc>
          <w:tcPr>
            <w:tcW w:w="1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Beneficial</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80,000</w:t>
            </w: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203,333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Record</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156,666</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Assumes issuance of 27,000,000 shares offered by this prospectus. Does not reflect shares of common stock reserved for issuance upon exercise of the underwriters’ over-allotment option.</w:t>
      </w:r>
    </w:p>
    <w:p>
      <w:pPr>
        <w:spacing w:after="0" w:line="22" w:lineRule="exact"/>
        <w:rPr>
          <w:rFonts w:ascii="Arial" w:cs="Arial" w:eastAsia="Arial" w:hAnsi="Arial"/>
          <w:sz w:val="12"/>
          <w:szCs w:val="12"/>
          <w:color w:val="auto"/>
        </w:rPr>
      </w:pPr>
    </w:p>
    <w:p>
      <w:pPr>
        <w:ind w:left="340" w:right="260" w:hanging="332"/>
        <w:spacing w:after="0" w:line="25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Immediately prior to the closing of this offering, we expect to sell 320,000 shares of common stock to our directors and officers, our investment adviser and the managers of our investment adviser at a price of $15.00 per share in a private placement. We will receive the full proceeds of this private placement, and no underwriting discounts or commissions will be paid in respect of these shares.</w:t>
      </w:r>
    </w:p>
    <w:p>
      <w:pPr>
        <w:ind w:left="340" w:hanging="332"/>
        <w:spacing w:after="0" w:line="187" w:lineRule="auto"/>
        <w:tabs>
          <w:tab w:leader="none" w:pos="340" w:val="left"/>
        </w:tabs>
        <w:numPr>
          <w:ilvl w:val="0"/>
          <w:numId w:val="43"/>
        </w:numPr>
        <w:rPr>
          <w:rFonts w:ascii="Arial" w:cs="Arial" w:eastAsia="Arial" w:hAnsi="Arial"/>
          <w:sz w:val="18"/>
          <w:szCs w:val="18"/>
          <w:color w:val="auto"/>
          <w:vertAlign w:val="superscript"/>
        </w:rPr>
      </w:pPr>
      <w:r>
        <w:rPr>
          <w:rFonts w:ascii="Arial" w:cs="Arial" w:eastAsia="Arial" w:hAnsi="Arial"/>
          <w:sz w:val="10"/>
          <w:szCs w:val="10"/>
          <w:color w:val="auto"/>
        </w:rPr>
        <w:t>The address for Pennant Investment Advisers, LLC and each executive officer and director is 445 Park Avenue, 10</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Floor, New York, New York 10022.</w:t>
      </w:r>
    </w:p>
    <w:p>
      <w:pPr>
        <w:ind w:left="340" w:hanging="332"/>
        <w:spacing w:after="0"/>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beneficially own the shares held by PennantPark Investment Advisers, LLC.</w:t>
      </w:r>
    </w:p>
    <w:p>
      <w:pPr>
        <w:spacing w:after="0" w:line="10" w:lineRule="exact"/>
        <w:rPr>
          <w:sz w:val="20"/>
          <w:szCs w:val="20"/>
          <w:color w:val="auto"/>
        </w:rPr>
      </w:pPr>
    </w:p>
    <w:p>
      <w:pPr>
        <w:ind w:left="340" w:hanging="298"/>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1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after giving effect to the private placement of 320,000 shares of common stock to our directors and officers, our investment adviser and the management of our investment adviser immediately prior to this offering in addition to 80,000 shares of common stock already outstanding. We are not part of a “family of investment companies,” as that term is defined in the 1940 Act.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Dollar Range of Equity</w:t>
            </w:r>
          </w:p>
        </w:tc>
      </w:tr>
      <w:tr>
        <w:trPr>
          <w:trHeight w:val="144"/>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86"/>
              </w:rPr>
              <w:t>Securities in</w:t>
            </w:r>
          </w:p>
        </w:tc>
      </w:tr>
      <w:tr>
        <w:trPr>
          <w:trHeight w:val="213"/>
        </w:trPr>
        <w:tc>
          <w:tcPr>
            <w:tcW w:w="58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Name of Director</w:t>
            </w:r>
          </w:p>
        </w:tc>
        <w:tc>
          <w:tcPr>
            <w:tcW w:w="240" w:type="dxa"/>
            <w:vAlign w:val="bottom"/>
          </w:tcPr>
          <w:p>
            <w:pPr>
              <w:spacing w:after="0"/>
              <w:rPr>
                <w:sz w:val="18"/>
                <w:szCs w:val="18"/>
                <w:color w:val="auto"/>
              </w:rPr>
            </w:pPr>
          </w:p>
        </w:tc>
        <w:tc>
          <w:tcPr>
            <w:tcW w:w="5360" w:type="dxa"/>
            <w:vAlign w:val="bottom"/>
            <w:tcBorders>
              <w:bottom w:val="single" w:sz="8" w:color="auto"/>
            </w:tcBorders>
            <w:gridSpan w:val="2"/>
          </w:tcPr>
          <w:p>
            <w:pPr>
              <w:jc w:val="center"/>
              <w:spacing w:after="0" w:line="193" w:lineRule="exact"/>
              <w:rPr>
                <w:sz w:val="20"/>
                <w:szCs w:val="20"/>
                <w:color w:val="auto"/>
              </w:rPr>
            </w:pPr>
            <w:r>
              <w:rPr>
                <w:rFonts w:ascii="Arial" w:cs="Arial" w:eastAsia="Arial" w:hAnsi="Arial"/>
                <w:sz w:val="14"/>
                <w:szCs w:val="14"/>
                <w:b w:val="1"/>
                <w:bCs w:val="1"/>
                <w:color w:val="auto"/>
                <w:w w:val="84"/>
              </w:rPr>
              <w:t>PennantPark</w:t>
            </w:r>
            <w:r>
              <w:rPr>
                <w:rFonts w:ascii="Arial" w:cs="Arial" w:eastAsia="Arial" w:hAnsi="Arial"/>
                <w:sz w:val="22"/>
                <w:szCs w:val="22"/>
                <w:b w:val="1"/>
                <w:bCs w:val="1"/>
                <w:color w:val="auto"/>
                <w:w w:val="84"/>
                <w:vertAlign w:val="superscript"/>
              </w:rPr>
              <w:t>(1)</w:t>
            </w:r>
          </w:p>
        </w:tc>
      </w:tr>
      <w:tr>
        <w:trPr>
          <w:trHeight w:val="195"/>
        </w:trPr>
        <w:tc>
          <w:tcPr>
            <w:tcW w:w="5820" w:type="dxa"/>
            <w:vAlign w:val="bottom"/>
          </w:tcPr>
          <w:p>
            <w:pPr>
              <w:spacing w:after="0" w:line="195"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00" w:type="dxa"/>
            <w:vAlign w:val="bottom"/>
          </w:tcPr>
          <w:p>
            <w:pPr>
              <w:spacing w:after="0"/>
              <w:rPr>
                <w:sz w:val="16"/>
                <w:szCs w:val="16"/>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Adam K. Bernstein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$500,001</w:t>
            </w:r>
          </w:p>
        </w:tc>
        <w:tc>
          <w:tcPr>
            <w:tcW w:w="2800" w:type="dxa"/>
            <w:vAlign w:val="bottom"/>
          </w:tcPr>
          <w:p>
            <w:pPr>
              <w:ind w:left="20"/>
              <w:spacing w:after="0"/>
              <w:rPr>
                <w:sz w:val="20"/>
                <w:szCs w:val="20"/>
                <w:color w:val="auto"/>
              </w:rPr>
            </w:pPr>
            <w:r>
              <w:rPr>
                <w:rFonts w:ascii="Arial" w:cs="Arial" w:eastAsia="Arial" w:hAnsi="Arial"/>
                <w:sz w:val="18"/>
                <w:szCs w:val="18"/>
                <w:color w:val="auto"/>
              </w:rPr>
              <w:t>- $1,000,000</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Marshall Brozost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$100,001</w:t>
            </w:r>
          </w:p>
        </w:tc>
        <w:tc>
          <w:tcPr>
            <w:tcW w:w="2800" w:type="dxa"/>
            <w:vAlign w:val="bottom"/>
          </w:tcPr>
          <w:p>
            <w:pPr>
              <w:ind w:left="20"/>
              <w:spacing w:after="0"/>
              <w:rPr>
                <w:sz w:val="20"/>
                <w:szCs w:val="20"/>
                <w:color w:val="auto"/>
              </w:rPr>
            </w:pPr>
            <w:r>
              <w:rPr>
                <w:rFonts w:ascii="Arial" w:cs="Arial" w:eastAsia="Arial" w:hAnsi="Arial"/>
                <w:sz w:val="18"/>
                <w:szCs w:val="18"/>
                <w:color w:val="auto"/>
              </w:rPr>
              <w:t>- $500,000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Jeffrey Flug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$500,001</w:t>
            </w:r>
          </w:p>
        </w:tc>
        <w:tc>
          <w:tcPr>
            <w:tcW w:w="2800" w:type="dxa"/>
            <w:vAlign w:val="bottom"/>
          </w:tcPr>
          <w:p>
            <w:pPr>
              <w:ind w:left="20"/>
              <w:spacing w:after="0"/>
              <w:rPr>
                <w:sz w:val="20"/>
                <w:szCs w:val="20"/>
                <w:color w:val="auto"/>
              </w:rPr>
            </w:pPr>
            <w:r>
              <w:rPr>
                <w:rFonts w:ascii="Arial" w:cs="Arial" w:eastAsia="Arial" w:hAnsi="Arial"/>
                <w:sz w:val="18"/>
                <w:szCs w:val="18"/>
                <w:color w:val="auto"/>
              </w:rPr>
              <w:t>- $1,000,000</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Samuel L. Katz</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$100,001</w:t>
            </w:r>
          </w:p>
        </w:tc>
        <w:tc>
          <w:tcPr>
            <w:tcW w:w="2800" w:type="dxa"/>
            <w:vAlign w:val="bottom"/>
          </w:tcPr>
          <w:p>
            <w:pPr>
              <w:ind w:left="20"/>
              <w:spacing w:after="0"/>
              <w:rPr>
                <w:sz w:val="20"/>
                <w:szCs w:val="20"/>
                <w:color w:val="auto"/>
              </w:rPr>
            </w:pPr>
            <w:r>
              <w:rPr>
                <w:rFonts w:ascii="Arial" w:cs="Arial" w:eastAsia="Arial" w:hAnsi="Arial"/>
                <w:sz w:val="18"/>
                <w:szCs w:val="18"/>
                <w:color w:val="auto"/>
              </w:rPr>
              <w:t>- $500,000</w:t>
            </w:r>
          </w:p>
        </w:tc>
      </w:tr>
      <w:tr>
        <w:trPr>
          <w:trHeight w:val="331"/>
        </w:trPr>
        <w:tc>
          <w:tcPr>
            <w:tcW w:w="5820" w:type="dxa"/>
            <w:vAlign w:val="bottom"/>
          </w:tcPr>
          <w:p>
            <w:pPr>
              <w:spacing w:after="0"/>
              <w:rPr>
                <w:sz w:val="20"/>
                <w:szCs w:val="20"/>
                <w:color w:val="auto"/>
              </w:rPr>
            </w:pPr>
            <w:r>
              <w:rPr>
                <w:rFonts w:ascii="Arial" w:cs="Arial" w:eastAsia="Arial" w:hAnsi="Arial"/>
                <w:sz w:val="18"/>
                <w:szCs w:val="18"/>
                <w:b w:val="1"/>
                <w:bCs w:val="1"/>
                <w:color w:val="auto"/>
              </w:rPr>
              <w:t>Interested Directors</w:t>
            </w:r>
          </w:p>
        </w:tc>
        <w:tc>
          <w:tcPr>
            <w:tcW w:w="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spacing w:after="0"/>
              <w:rPr>
                <w:sz w:val="19"/>
                <w:szCs w:val="19"/>
                <w:color w:val="auto"/>
              </w:rPr>
            </w:pP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89"/>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or $100,001- $500,000; $500,001 - $1,000,000; and Over $1,000,000.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5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will be determined quarterly by dividing the value of total assets minus liabilities by the total number of shares outstanding.</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calculating the value of our total assets, we will value investments for which market quotations are readily available at such market quotations. Debt and equity securities that are not publicly traded or whose market price is not readily available will be valued at fair value as determined in good faith by our board of directors. As a general rule, loans or debt securities will not be valued above cost, but loans and debt securities will be subject to fair value write-downs when the asset is considered impaired. With respect to private equity securities, each investment will be valued using comparisons of financial ratios of the portfolio companies that issued such private equity securities to peer companies that are public. The value will then be discounted to reflect the illiquid nature of the investment, as well as our minority, non-control position. When an external event such as a purchase transaction, public offering or subsequent equity sale occurs, we will use the pricing indicated by the external event to corroborate our private equity valuation. Because we expect that there will not be a readily available market value for most of the investments in our portfolio, we expect to value substantially all of our portfolio investments at fair value as determined in good faith by our board under a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w:t>
      </w:r>
    </w:p>
    <w:p>
      <w:pPr>
        <w:spacing w:after="0" w:line="10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will discuss valuations and will determine the fair value of each investment in our portfolio in good faith based on the input of our investment adviser, nationally recognized independent valuation firms and audit committee.</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2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will be required to make the determination that we are not selling shares of our common stock at a price below the then current net asset value of our common stock at the time at which the sale is made. Our board of directors will consider the following factors, among others, in making such determination:</w:t>
      </w:r>
    </w:p>
    <w:p>
      <w:pPr>
        <w:spacing w:after="0" w:line="59"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20" w:hanging="446"/>
        <w:spacing w:after="0" w:line="30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magnitude of the difference between (1) the net asset value of our common stock disclosed in the most recent periodic report that we filed with the SEC and our management’s assessment of any material change in the net asset value of our common stock since the date of the most recently disclosed net asset value of our common stock, and (2) the offering price of the shares of our common stock in the proposed offering.</w:t>
      </w:r>
    </w:p>
    <w:p>
      <w:pPr>
        <w:spacing w:after="0" w:line="8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Importantly, this determination will not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8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the extent that there is even a remote possibility that we may (1) issue shares of our common stock at a price below the then current net asset value of our common stock at the time at which the sale is made or (2) trigger the undertaking (which we provide in certain registration statements we file with the SEC) to suspend the offering of shares of our common stock pursuant to this prospectus if the net asset value of our common stock fluctuates by certain amounts in certain circumstances until the prospectus is amended, our board of directors will elect, in the case of clause (1) above, either to postpone the offering until such time that there is no longer the possibility of the occurrence of such event or to undertake to determine the net asset value of our common stock within two days prior to any such sale to ensure that such sale will not be below our then current net asset value, and, in the case of clause (2) above, to comply with such undertaking or to undertake to determine the net asset value of our common stock to ensure that such undertaking has not been triggered.</w:t>
      </w:r>
    </w:p>
    <w:p>
      <w:pPr>
        <w:spacing w:after="0" w:line="9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5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a registered stockholder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9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Market on the valuation date for such distribution. Market price per share on that date will be the closing price for such shares on The Nasdaq Global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91" w:lineRule="exact"/>
        <w:rPr>
          <w:sz w:val="20"/>
          <w:szCs w:val="20"/>
          <w:color w:val="auto"/>
        </w:rPr>
      </w:pPr>
    </w:p>
    <w:p>
      <w:pPr>
        <w:jc w:val="both"/>
        <w:ind w:right="520" w:firstLine="456"/>
        <w:spacing w:after="0" w:line="256" w:lineRule="auto"/>
        <w:rPr>
          <w:sz w:val="20"/>
          <w:szCs w:val="20"/>
          <w:color w:val="auto"/>
        </w:rPr>
      </w:pPr>
      <w:r>
        <w:rPr>
          <w:rFonts w:ascii="Arial" w:cs="Arial" w:eastAsia="Arial" w:hAnsi="Arial"/>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$.10 per share brokerage commissions from the proceeds.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5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44"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As a business development company, we intend to elect to be treated as a RIC under Subchapter M of the Code. We expect to comply with the requirements to be a RIC and to make a corresponding change in our tax year within one month of the completion of this offering. Until that time, we will be taxed as a regular corporation under Subchapter C of the Code and will be subject to corporate level taxes, including any taxes on the deemed recognition of any net unrealized gains at the effective date of the RIC election. We will also need to distribute any earnings for the period we are taxed as a regular corporation.</w:t>
      </w:r>
    </w:p>
    <w:p>
      <w:pPr>
        <w:spacing w:after="0" w:line="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a RIC, we generally will not have to pay corporate-level federal income taxes on any ordinary income or capital gains that we distribute to our stockholders as distributions. To qualify as a RIC, we must, among other things, meet certain source-of-income and asset diversification requirements (as described below). In addition, in order to obtain RIC tax benefits we must distribute to our stockholders, for each taxable year, at least 90% of our “investment company taxable income,” which is generally our ordinary income plus the excess of realized net short-term capital gains over realized net long-term capital losses (the “Annual Distribution Requirement”).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60" w:right="20" w:hanging="547"/>
        <w:spacing w:after="0" w:line="306" w:lineRule="auto"/>
        <w:tabs>
          <w:tab w:leader="none" w:pos="14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8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w:t>
      </w:r>
    </w:p>
    <w:p>
      <w:pPr>
        <w:ind w:right="440" w:firstLine="8"/>
        <w:spacing w:after="0" w:line="361" w:lineRule="auto"/>
        <w:tabs>
          <w:tab w:leader="none" w:pos="249" w:val="left"/>
        </w:tabs>
        <w:numPr>
          <w:ilvl w:val="0"/>
          <w:numId w:val="51"/>
        </w:numPr>
        <w:rPr>
          <w:rFonts w:ascii="Arial" w:cs="Arial" w:eastAsia="Arial" w:hAnsi="Arial"/>
          <w:sz w:val="15"/>
          <w:szCs w:val="15"/>
          <w:color w:val="auto"/>
        </w:rPr>
      </w:pPr>
      <w:r>
        <w:rPr>
          <w:rFonts w:ascii="Arial" w:cs="Arial" w:eastAsia="Arial" w:hAnsi="Arial"/>
          <w:sz w:val="15"/>
          <w:szCs w:val="15"/>
          <w:color w:val="auto"/>
        </w:rPr>
        <w:t>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4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1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7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8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9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9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were unable to qualify for treatment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5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authorized capital stock consists of 100,000,000 shares of stock, par value $0.001 per share, all of which is initially designated as common stock. There is currently no market for our common stock, and we can offer no assurances that a market for our shares will develop in the future. We have applied to have our common stock quoted on The Nasdaq Global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March 21, 2007: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(4) Amount Outstanding</w:t>
            </w:r>
          </w:p>
        </w:tc>
      </w:tr>
      <w:tr>
        <w:trPr>
          <w:trHeight w:val="149"/>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 Amount</w:t>
            </w:r>
          </w:p>
        </w:tc>
        <w:tc>
          <w:tcPr>
            <w:tcW w:w="240" w:type="dxa"/>
            <w:vAlign w:val="bottom"/>
          </w:tcPr>
          <w:p>
            <w:pPr>
              <w:spacing w:after="0"/>
              <w:rPr>
                <w:sz w:val="12"/>
                <w:szCs w:val="12"/>
                <w:color w:val="auto"/>
              </w:rPr>
            </w:pP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(3) Amount Held by</w:t>
            </w:r>
          </w:p>
        </w:tc>
        <w:tc>
          <w:tcPr>
            <w:tcW w:w="22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Exclusive of Amounts Shown</w:t>
            </w:r>
          </w:p>
        </w:tc>
      </w:tr>
      <w:tr>
        <w:trPr>
          <w:trHeight w:val="175"/>
        </w:trPr>
        <w:tc>
          <w:tcPr>
            <w:tcW w:w="29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(1) Title of Class</w:t>
            </w:r>
          </w:p>
        </w:tc>
        <w:tc>
          <w:tcPr>
            <w:tcW w:w="2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Authorized</w:t>
            </w:r>
          </w:p>
        </w:tc>
        <w:tc>
          <w:tcPr>
            <w:tcW w:w="24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Us or for Our Account</w:t>
            </w:r>
          </w:p>
        </w:tc>
        <w:tc>
          <w:tcPr>
            <w:tcW w:w="220" w:type="dxa"/>
            <w:vAlign w:val="bottom"/>
          </w:tcPr>
          <w:p>
            <w:pPr>
              <w:spacing w:after="0"/>
              <w:rPr>
                <w:sz w:val="15"/>
                <w:szCs w:val="15"/>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Under (3)</w:t>
            </w:r>
          </w:p>
        </w:tc>
      </w:tr>
      <w:tr>
        <w:trPr>
          <w:trHeight w:val="275"/>
        </w:trPr>
        <w:tc>
          <w:tcPr>
            <w:tcW w:w="2980" w:type="dxa"/>
            <w:vAlign w:val="bottom"/>
          </w:tcPr>
          <w:p>
            <w:pPr>
              <w:spacing w:after="0"/>
              <w:rPr>
                <w:sz w:val="20"/>
                <w:szCs w:val="20"/>
                <w:color w:val="auto"/>
              </w:rPr>
            </w:pPr>
            <w:r>
              <w:rPr>
                <w:rFonts w:ascii="Arial" w:cs="Arial" w:eastAsia="Arial" w:hAnsi="Arial"/>
                <w:sz w:val="18"/>
                <w:szCs w:val="18"/>
                <w:color w:val="auto"/>
              </w:rPr>
              <w:t>Common Stock</w:t>
            </w:r>
          </w:p>
        </w:tc>
        <w:tc>
          <w:tcPr>
            <w:tcW w:w="28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100,000,000</w:t>
            </w:r>
          </w:p>
        </w:tc>
        <w:tc>
          <w:tcPr>
            <w:tcW w:w="240" w:type="dxa"/>
            <w:vAlign w:val="bottom"/>
          </w:tcPr>
          <w:p>
            <w:pPr>
              <w:spacing w:after="0"/>
              <w:rPr>
                <w:sz w:val="23"/>
                <w:szCs w:val="23"/>
                <w:color w:val="auto"/>
              </w:rPr>
            </w:pPr>
          </w:p>
        </w:tc>
        <w:tc>
          <w:tcPr>
            <w:tcW w:w="2620" w:type="dxa"/>
            <w:vAlign w:val="bottom"/>
          </w:tcPr>
          <w:p>
            <w:pPr>
              <w:ind w:left="236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center"/>
              <w:ind w:left="132"/>
              <w:spacing w:after="0"/>
              <w:rPr>
                <w:sz w:val="20"/>
                <w:szCs w:val="20"/>
                <w:color w:val="auto"/>
              </w:rPr>
            </w:pPr>
            <w:r>
              <w:rPr>
                <w:rFonts w:ascii="Arial" w:cs="Arial" w:eastAsia="Arial" w:hAnsi="Arial"/>
                <w:sz w:val="18"/>
                <w:szCs w:val="18"/>
                <w:color w:val="auto"/>
                <w:w w:val="90"/>
              </w:rPr>
              <w:t>80,000</w:t>
            </w:r>
          </w:p>
        </w:tc>
      </w:tr>
    </w:tbl>
    <w:p>
      <w:pPr>
        <w:spacing w:after="0" w:line="12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with the requirements of the 1940 Act.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after deducting the amount of such distribution or purchase price, as the case may be,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9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Our charter provides that, at such time as we have three independent directors and our common stock is registered under the Exchange Act,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9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8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96"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0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9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merger, consolidation, share exchange or, in circumstances specified in the statute, an asset transfer or issuance or reclassification of equity securities. An interested stockholder is defined as:</w:t>
      </w:r>
    </w:p>
    <w:p>
      <w:pPr>
        <w:spacing w:after="0" w:line="5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is fundamental and may be changed without stockholder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332"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40" w:hanging="446"/>
        <w:spacing w:after="0" w:line="335"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business development company will affect our ability to, and the way in which we, raise additional capital.”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obtain copies of the code of ethics, after paying a duplicating fee, by electronic request at the following Email address: publicinfo@sec.gov, or by writing the SEC’s Public Reference Section, 100 F Street, N.E., Washington, D.C. 20549.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shareholders.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445 Park Avenue, 10th Floor, New York, New York 10022.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non-public personal information about our stockholders or former stockholders to anyone, except as permitted by law or as is necessary in order to service stockholder accounts (for example, to a transfer agent or third party administrator).</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44"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PennantPark or our stockholders arising from willful misfeasance, bad faith, gross negligence or reckless disregard of the duties involved in the conduct of such person’s office.</w:t>
      </w:r>
    </w:p>
    <w:p>
      <w:pPr>
        <w:spacing w:after="0" w:line="8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and PennantPark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 held companies and their insiders. Many of these requirements affect us. For example:</w:t>
      </w:r>
    </w:p>
    <w:p>
      <w:pPr>
        <w:spacing w:after="0" w:line="51" w:lineRule="exact"/>
        <w:rPr>
          <w:sz w:val="20"/>
          <w:szCs w:val="20"/>
          <w:color w:val="auto"/>
        </w:rPr>
      </w:pPr>
    </w:p>
    <w:p>
      <w:pPr>
        <w:ind w:left="900" w:right="3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5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completion of this offering and our private placement of 320,000 shares immediately prior to this offering, 27,400,000 shares of our common stock will be outstanding, based on the number of shares outstanding on March 21, 2007 and assuming no exercise of the underwriters’ over-allotment option. Of these shares, 27,000,000 shares of our common stock sold in this offering will be freely tradable without restriction or limitation under the Securities Act, less that number of shares purchased by our affiliates. Any shares purchased in this offering by our affiliates, as well as the 400,000 shares expected to be owned by our officers and directors, our investment adviser and the managers of our investment adviser immediately prior to this offering, will be subject to the public information, manner of sale and volume limitations of Rule 144 under the Securities Act of 1933.</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if one year has elapsed since the date of acquisition of restricted securities from us or any of our affiliates, the holder of such restricted securities can sell such securities; provided that the number of securities sold by such person with any three month period cannot exceed the greater of:</w:t>
      </w:r>
    </w:p>
    <w:p>
      <w:pPr>
        <w:spacing w:after="0" w:line="59"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 of the total number of securities then outstanding, or</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average weekly trading volume of our securities during the four calendar weeks preceding the date on which notice of the sale is filed with the SEC.</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Sales under Rule 144 also are subject to certain manners of sale provisions, notice requirements and the availability of current public information about us. If two years have elapsed since the date of acquisition of restricted securities from us or any of our affiliates and the holder is not one of our affiliates at any time during the three months preceding the proposed sale, such person can sell such securities in the public market under Rule 144(k) without regard to the volume limitations, manner of sale provisions, public information requirements or notice requirements. No assurance can be given as to (1) the likelihood that an active market for our common stock will develop, (2) the liquidity of any such market, (3) the ability of our stockholders to sell our securities or (4) the prices that stockholders may obtain for any of our securities. No prediction can be made as to the effect, if any, that future sales of securities, or the availability of securities for future sales, will have on the market price prevailing from time to time. Sales of substantial amounts of our securities, or the perception that such sales could occur, may affect adversely prevailing market prices of our common stock. See “Risk Factors—Risks relating to this offering.”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Immediately prior to this offering, we expect to sell 320,000 shares of common stock to our directors and officers, our investment adviser and the management of our investment adviser in a private placement. Under a registration rights agreement signed at the time of such private placement, the holders of these shares will receive registration rights that will entitle them to make up to two demands on us to register their shares under the Securities Act. Holders of a majority of these shares may elect to exercise their registration rights at any time after the date on which these shares of common stock are released from the lock-up arrangement agreed as part of this offering. In addition, these stockholders have certain “piggy-back” registration rights that entitle them to include their shares in certain registration statements that we file subsequent to the closing date of this offering. We will bear the expenses incurred in connection with the filing of any such registration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DISTRIBUTION PAYING AGENT AND REGISTRAR</w:t>
      </w:r>
    </w:p>
    <w:p>
      <w:pPr>
        <w:spacing w:after="0" w:line="15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securities are held under a custody agreement by LaSalle Bank National Association. The address of the custodian is: 135 S. LaSalle Street, Suite 1625, Chicago, Illinois 60603. American Stock Transfer &amp; Trust Company will act as our transfer agent, distribution paying agent and registrar. The principal business address of American Stock Transfer &amp; Trust Company is P.O. Box 922, Wall Street Station, New York, New York 10269, telephone number: (800) 937-5449.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5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Since we will generally acquire and dispose of our investments in privately negotiated transactions, we will infrequently use brokers in the normal course of our business. Subject to policies established by our board of directors, the investment adviser will be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PennantPark, taking into account such factors as price (including the applicable brokerage commission or dealer spread), size of order, difficulty of execution, and operational facilities of the firm and the firm’s risk and skill in positioning blocks of securities. While the investment adviser generally will seek reasonably competitive trade execution costs, PennantPark will not necessarily pay the lowest spread or commission available. Subject to applicable legal requirements, the investment adviser may select a broker based partly upon brokerage or research services provided to the investment adviser and PennantPark and any other clients. In return for such services, we may pay a higher commission than other brokers would charge if the investment adviser determines in good faith that such commission is reasonable in relation to the services provided.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50" w:lineRule="exact"/>
        <w:rPr>
          <w:sz w:val="20"/>
          <w:szCs w:val="20"/>
          <w:color w:val="auto"/>
        </w:rPr>
      </w:pPr>
    </w:p>
    <w:p>
      <w:pPr>
        <w:ind w:left="460"/>
        <w:spacing w:after="0"/>
        <w:tabs>
          <w:tab w:leader="none" w:pos="7100" w:val="left"/>
        </w:tabs>
        <w:rPr>
          <w:sz w:val="20"/>
          <w:szCs w:val="20"/>
          <w:color w:val="auto"/>
        </w:rPr>
      </w:pPr>
      <w:r>
        <w:rPr>
          <w:rFonts w:ascii="Arial" w:cs="Arial" w:eastAsia="Arial" w:hAnsi="Arial"/>
          <w:sz w:val="18"/>
          <w:szCs w:val="18"/>
          <w:color w:val="auto"/>
        </w:rPr>
        <w:t>Subject to the terms and conditions described in an underwriting agreement dated</w:t>
      </w:r>
      <w:r>
        <w:rPr>
          <w:sz w:val="20"/>
          <w:szCs w:val="20"/>
          <w:color w:val="auto"/>
        </w:rPr>
        <w:tab/>
      </w:r>
      <w:r>
        <w:rPr>
          <w:rFonts w:ascii="Arial" w:cs="Arial" w:eastAsia="Arial" w:hAnsi="Arial"/>
          <w:sz w:val="15"/>
          <w:szCs w:val="15"/>
          <w:color w:val="auto"/>
        </w:rPr>
        <w:t>, 2007, between us and Bear, Stearns &amp; Co. Inc., Banc of</w:t>
      </w:r>
    </w:p>
    <w:p>
      <w:pPr>
        <w:spacing w:after="0" w:line="15"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America Securities LLC, UBS Securities LLC and SunTrust Capital Markets, Inc., as representatives, we have agreed to sell to the underwriters, and the underwriters severally have agreed to purchase from us, the number of shares of common stock listed opposite their names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4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5"/>
        </w:trPr>
        <w:tc>
          <w:tcPr>
            <w:tcW w:w="100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0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04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040" w:type="dxa"/>
            <w:vAlign w:val="bottom"/>
            <w:gridSpan w:val="2"/>
          </w:tcPr>
          <w:p>
            <w:pPr>
              <w:spacing w:after="0"/>
              <w:rPr>
                <w:sz w:val="20"/>
                <w:szCs w:val="20"/>
                <w:color w:val="auto"/>
              </w:rPr>
            </w:pPr>
            <w:r>
              <w:rPr>
                <w:rFonts w:ascii="Arial" w:cs="Arial" w:eastAsia="Arial" w:hAnsi="Arial"/>
                <w:sz w:val="18"/>
                <w:szCs w:val="18"/>
                <w:color w:val="auto"/>
              </w:rPr>
              <w:t>SunTrust Capital Markets, Inc.</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0040" w:type="dxa"/>
            <w:vAlign w:val="bottom"/>
            <w:gridSpan w:val="2"/>
          </w:tcPr>
          <w:p>
            <w:pPr>
              <w:spacing w:after="0"/>
              <w:rPr>
                <w:sz w:val="20"/>
                <w:szCs w:val="20"/>
                <w:color w:val="auto"/>
              </w:rPr>
            </w:pPr>
            <w:r>
              <w:rPr>
                <w:rFonts w:ascii="Arial" w:cs="Arial" w:eastAsia="Arial" w:hAnsi="Arial"/>
                <w:sz w:val="18"/>
                <w:szCs w:val="18"/>
                <w:color w:val="auto"/>
              </w:rPr>
              <w:t>Friedman, Billings, Ramsey &amp; Co., Inc.</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Jefferies &amp; Company, Inc.</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0040" w:type="dxa"/>
            <w:vAlign w:val="bottom"/>
            <w:gridSpan w:val="2"/>
          </w:tcPr>
          <w:p>
            <w:pPr>
              <w:spacing w:after="0"/>
              <w:rPr>
                <w:sz w:val="20"/>
                <w:szCs w:val="20"/>
                <w:color w:val="auto"/>
              </w:rPr>
            </w:pPr>
            <w:r>
              <w:rPr>
                <w:rFonts w:ascii="Arial" w:cs="Arial" w:eastAsia="Arial" w:hAnsi="Arial"/>
                <w:sz w:val="18"/>
                <w:szCs w:val="18"/>
                <w:color w:val="auto"/>
              </w:rPr>
              <w:t>Robert W. Baird &amp; Co. Incorporated.</w:t>
            </w: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4"/>
              </w:rPr>
              <w:t>27,000,000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underwriters have agreed to purchase all of the shares sold under the underwriting agreement if any of the shares are purchased, other than shares covered by the over-allotment option described below. 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Bear, Stearns &amp; Co. Inc., Banc of America Securities LLC, UBS Securities LLC and SunTrust Capital Markets, Inc., are serving as joint book-runners of this offering.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granted the underwriters an option exercisable for 30 days from the date of this prospectus to purchase up to an aggregate of 4,000,000 additional shares at the public offering price less the underwriting discount. The underwriters may exercise this option solely to cover over-allotments, if any, made in connection with this offering. To the extent the underwriters exercise this option in whole or in part, each will be obligated, subject to conditions contained in the underwriting agreement, to purchase a number of additional shares approximately proportionate to that underwriter’s initial commitment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At our request, the underwriters have reserved up 500,000 shares of common stock for sale in this offering at the initial public offering price, directly or indirectly, to certain persons. The number of shares of common stock available for sale to the general public will be reduced to the extent that these individuals purchase all or a portion of the reserved shares. Any reserved shares that are not purchased may be reallocated to other directors, officers, employees and friends or offered to the general public on the same basis as the other shares of common stock offered by this prospectus. We have agreed to indemnify the underwriters against some liabilities and expenses, including liabilities under the Securities Act, in connection with the sale of the reserved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and to dealers at that price less a concession not in excess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per share. The underwriters may allow, and the dealers may reallow, a discount not in excess of $ per share to other dealers. After the public offering, the public offering price, concession and discount may be changed. No such change, however, shall modify the amount of proceeds to be received by us as set forth on the cover page of this prospectus. In connection with this offering, the underwriters may allocate shares to accounts over which they exercise discretionary authority. The underwriters do not intend to confirm sales to any account over which they exercise discretionary authority.</w:t>
      </w:r>
    </w:p>
    <w:p>
      <w:pPr>
        <w:spacing w:after="0" w:line="8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Per Share</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6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Without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98"/>
              </w:rPr>
              <w:t>With</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92"/>
              </w:rPr>
              <w:t>Without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98"/>
              </w:rPr>
              <w:t>With</w:t>
            </w:r>
          </w:p>
        </w:tc>
        <w:tc>
          <w:tcPr>
            <w:tcW w:w="20" w:type="dxa"/>
            <w:vAlign w:val="bottom"/>
          </w:tcPr>
          <w:p>
            <w:pPr>
              <w:spacing w:after="0"/>
              <w:rPr>
                <w:sz w:val="11"/>
                <w:szCs w:val="11"/>
                <w:color w:val="auto"/>
              </w:rPr>
            </w:pPr>
          </w:p>
        </w:tc>
      </w:tr>
      <w:tr>
        <w:trPr>
          <w:trHeight w:val="149"/>
        </w:trPr>
        <w:tc>
          <w:tcPr>
            <w:tcW w:w="46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Over-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Over-</w:t>
            </w:r>
          </w:p>
        </w:tc>
        <w:tc>
          <w:tcPr>
            <w:tcW w:w="16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Over-</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Allotment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Allotment</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Allotment</w:t>
            </w:r>
          </w:p>
        </w:tc>
        <w:tc>
          <w:tcPr>
            <w:tcW w:w="2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405,000,000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465,750,000</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Underwriting discount</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0.975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0.975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26,325,000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30,273,750</w:t>
            </w:r>
          </w:p>
        </w:tc>
        <w:tc>
          <w:tcPr>
            <w:tcW w:w="2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14.025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14.025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378,675,000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435,476,250</w:t>
            </w:r>
          </w:p>
        </w:tc>
        <w:tc>
          <w:tcPr>
            <w:tcW w:w="2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payable by us, excluding the underwriting discounts and related fees, are estimated at $900,000.</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 of Similar Securities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each of our officers and directors and each of our existing stockholders have agreed, with certain limited exceptions, not to sell or transfer any of our securities for 180 days after the date of this prospectus without first obtaining the written consent of each of the joint book-runners. Specifically, pursuant to these lock-up agreements, we and these other individuals have agreed not to directly or indirectly:</w:t>
      </w:r>
    </w:p>
    <w:p>
      <w:pPr>
        <w:spacing w:after="0" w:line="59" w:lineRule="exact"/>
        <w:rPr>
          <w:sz w:val="20"/>
          <w:szCs w:val="20"/>
          <w:color w:val="auto"/>
        </w:rPr>
      </w:pPr>
    </w:p>
    <w:p>
      <w:pPr>
        <w:ind w:left="900" w:right="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 sell or agree to offer or sell any common stock, any other equity security of ours or any of our subsidiaries, and any security convertible into, or exercisable or exchangeable for, any common stock or other such equity security;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solicit offers to purchase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grant any call option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 any put option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pledge, borrow or otherwise dispose of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or increase any “put equivalent position”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liquidate or decrease any “call equivalent position” with respect to any such securities; or</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enter into any swap, derivative or other transaction or arrangement that transfers to another, in whole or in part, any economic consequences of ownership of any of such securities, whether or not such transaction is to be settled by delivery of such securities, other securities, cash or other consideration.</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Notwithstanding the foregoing, if (1) during the last 17 days of the applicable lock-up restriction period we issue an earnings release or disclose material news or a material event relating to us occurs, or (2) prior to the expiration of the applicable lock-up restriction period, we announce that we will release earnings results or become aware that we will disclose material news or that material event relating to us will occur during the 16-day period beginning on the last day of the applicable lock-up period, the above restrictions shall continue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apply until the expiration of the 18-day period beginning on the issuance of the earnings release or the disclosure of the material news or the occurrence of the material event unless such extension is waived in writing by each of the joint book-runners.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lock-up provisions do not prevent:</w:t>
      </w:r>
    </w:p>
    <w:p>
      <w:pPr>
        <w:spacing w:after="0" w:line="9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by bona fide gift;</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to any trust for the benefit of such security holder or any parent, grandparent, step parent, step grandparent, mother-in-law, father-in-law, spouse, sibling, sister-in-law, brother-in-law, son-in-law, daughter-in-law, child, step child, grandchild, step grandchild, niece or nephew, including adoptive relationships, of such security holder;</w:t>
      </w:r>
    </w:p>
    <w:p>
      <w:pPr>
        <w:spacing w:after="0" w:line="59"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 security holder that is partnership, transfers by such security holder of such securities to any general partner, limited partner or affiliate of such security holder;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 security holder that is a limited liability company, transfers by such security holder of such securities to any member or affiliate of such security holder;</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 security holder that is a corporation, transfers by such security holder of such securities to any wholly-owned subsidiary or affiliate of such security holder;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sale by us of shares to the underwriters;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conversion or exchange of outstanding convertible or exchangeable securities;</w:t>
      </w:r>
    </w:p>
    <w:p>
      <w:pPr>
        <w:spacing w:after="0" w:line="113"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outstanding options or warrants or in connection with other equity instruments pursuant to employee benefit plans described in this prospectus or assumed by us in a merger or acquisition transaction;</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by us of common stock, or securities exercisable for or convertible into, common stock in connection with mergers or acquisitions of securities, businesses, property or other assets, joint ventures or other strategic corporate transaction or any other transaction, the primary purpose of which is not to raise capital;</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filing by us, or the participation by a security holder in the filing by us, of any registration statement on Form S-8 or registration statements filed in connection with a corporate transaction described in the preceding bullet;</w:t>
      </w:r>
    </w:p>
    <w:p>
      <w:pPr>
        <w:spacing w:after="0" w:line="1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provided that, in the case of each of the transactions described in the first, second, third, fourth, fifth and ninth bullets above, each donee, transferee or recipient delivers to each of the joint book-runners an agreement certifying that such donee, transferee or recipient agrees to be subject to the restrictions described in the immediately preceding two paragraphs, subject to the applicable exceptions described above in this paragraph, and that such donee, transferee or recipient has been in compliance with the terms of such restrictions from the date the donor or transferor first entered into an agreement with each of the joint book-runners regarding the foregoing; provided further that, in the case of each of the transactions described in the first, second, third, fourth and fifth bullets above, such transaction did not involve a disposition for value and shall not be required to be, and will not be, disclosed or reported publicly under applicable laws, including Section 16 of the Exchange Act and the rules and regulations promulgated thereunder; and provided further that, in the case of each of the transactions described in the first, second, third, fourth and fifth bullets above, such transaction shall not have been effected on the Nasdaq Stock Market, the over-the-counter market or any other exchange or system providing share price quotations.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restrictions described in the preceding paragraphs will not restrict the sale or other disposition of such securities that are acquired by a security holder subject to such lock-up agreements in the open market after completion of this offering, provided that such sale or other disposition fully complies with, and is not required to be, and will not be, disclosed or reported under, applicable law, including, but not limited to, Section 16 of the Exchange Act and the rules and regulations promulgated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restrictions described above shall not apply to the establishment of a trading plan pursuant to Rule 10b5-1 under the Exchange Act by any of our officers or directors relating to the sale of such securities, provided that such securities subject to such a Rule 10b5-1 trading plan may not be sold until after the completion of the 180-day restricted period, as the same may be extended as provided above, and neither we nor any security holder signing the above described agreement may make any public announcement, disclosure or filing relating to, or disclosing, such plan or its existence prior to the end of the lock-up period, including any extension thereof.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joint book-runners may, in their sole discretion, waive this lock-up without public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“PNNT”.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prevailing market conditions, our financial operating information in recent periods, and market prices of securities and financial and operating information of companies engaged in activities similar to ours and other factors deemed relevant. The estimated initial public offering price range set forth on the cover page of this prospectus is subject to change as a result of market conditions and other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of this offering, or by their affiliates. Other than any prospectus made available in electronic format in this manner, the information on any web site containing the prospectus is not part of this prospectus or the registration statement of which this prospectus forms a part, has not been approved or endorsed by us or any underwriter in such capacity, and should not be relied on by prospective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offering, some participants in the offering may purchase and sell shares of common stock in the open market. These transactions may include short sales, syndicate covering transactions and stabilizing transactions. Short sales involve sales by the underwriters of common stock in excess of the number of shares required to be purchased by the underwriters in the offering, which creates a syndicate short position. “Covered” short sales are sales of shares made in an amount up to the number of shares represented by the underwriters’ over-allotment option. Transactions to close out the covered syndicate short involve either purchases of the common stock in the open market after the distribution has been completed or the exercise of the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The underwriters may also make “naked” short sales, or sales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fixing or maintaining the price of the shares of common stock.</w:t>
      </w:r>
    </w:p>
    <w:p>
      <w:pPr>
        <w:spacing w:after="0" w:line="10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an underwriter or syndicate member when the underwriters repurchase shares originally sold by that underwriter or syndicate member in order to cover syndicate short positions or make stabilizing purchases.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Any of these activities may have the effect of raising or maintaining the market price of the common stock or preventing or retarding a decline in the market price of the common stock. As a result, the price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common stock may be higher than the price that might otherwise exist in the open market. The underwriters may conduct these transactions on the Nasdaq Global Market or otherwise. Neither we nor any of the underwriters makes any representation or prediction as to the direction or magnitude of any effect that the transactions described above may have on the price of our common stock. In addition, neither we nor any of the underwriters makes any representation that the underwriters will engage in these transactions. If the underwriters commence any of these transactions, they may discontinue them at any time.</w:t>
      </w:r>
    </w:p>
    <w:p>
      <w:pPr>
        <w:spacing w:after="0" w:line="86"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In connection with this offering, the underwriters may engage in passive market making transactions in our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However, if all independent bids are lowered below the passive market maker’s bid, that bid must then be lowered when specified purchase limits are exceeded.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Underwriters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commercial banking, financial advisory and investment banking services for us for which they have received or will receive customary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underwriter has represented and agreed that (a) it has not made and will not make an offer of shares to the public in the United Kingdom prior to the publication of a prospectus in relation to shares and the offer that has been approved by the Financial Services Authority, or FSA, or where appropriate, approved in another Member State and notified to the FSA, all in accordance with the Prospectus Directive, except that it may make an offer of the shares to persons who fall within the definition of “qualified investor” as that term is defined in section 86(1) of the Financial Services and Markets Act 2000, or FSMA, or otherwise in circumstances which do not result in an offer of transferable securities to the public in the United Kingdom within the meaning of the FSMA; (b) it has only communicated or caused to be communicated and will only communicate or cause to be communicated an invitation or inducement to engage in investment activity (within the meaning of section 21 of FSMA) received by it in connection with the issue or sale of the shares in circumstances in which section 21(1) of FSMA does not apply; and (c) it has complied and will comply with all applicable provisions of the FSMA with respect to anything done by it in relation to the shares in, from or otherwise involving the 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66" w:lineRule="exact"/>
        <w:rPr>
          <w:sz w:val="20"/>
          <w:szCs w:val="20"/>
          <w:color w:val="auto"/>
        </w:rPr>
      </w:pPr>
    </w:p>
    <w:p>
      <w:pPr>
        <w:ind w:left="900" w:right="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5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by Dechert LLP, Washington, D.C., and Venable LLP, Baltimore, Maryland. Dechert LLP also represents PennantPark Investment Advisers. Certain legal matters in connection with the offering will be passed upon for the underwriters by Sutherland Asbill &amp; Brennan, LLP, Washington, D.C.</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KPMG LLP, our independent registered public accounting firm located at 345 Park Avenue, New York, New York 10154, has audited our consolidated financial statements at February 6, 2007, as set forth in their report. We have included our consolidated financial statements in this prospectus and elsewhere in the registration statement in reliance on KPMG LLP’s report, given on their authority as experts in accounting and auditing.</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of 1933, with respect to our shares of common stock offered by this prospectus. The registration statement contains additional information about us and our shares of common stock being offered by this prospectus.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(202) 551-8090. Currently, we do not have a website. We maintain a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and intend to make all of our annual, quarterly and current reports, proxy statements and other publicly filed information available, free of charge, on or through our website. In the interim, you may obtain such information by contacting us, in writing at: 445 Park Avenue, 10th Floor, New York, New York 10022, Attn: Chief Financial Officer, or by telephone at (212) 307-3280. The SEC maintains an Internet site that contains reports, proxy and information statements and other information filed electronically by us with the SEC which are available on the SEC’s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Copies of these reports, proxy and information statements and other information may be obtained, after paying a duplicating fee, by electronic request at the following e-mail address: publicinfo@sec.gov, or by writing the SEC’s Public Reference Section, Washington, D.C. 20549-0102.</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6"/>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6"/>
            <w:vMerge w:val="continue"/>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Statement of Assets and Liabilities</w:t>
              </w:r>
            </w:hyperlink>
          </w:p>
        </w:tc>
        <w:tc>
          <w:tcPr>
            <w:tcW w:w="694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tcBorders>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Consolidated Statement of Operations</w:t>
              </w:r>
            </w:hyperlink>
          </w:p>
        </w:tc>
        <w:tc>
          <w:tcPr>
            <w:tcW w:w="7640" w:type="dxa"/>
            <w:vAlign w:val="bottom"/>
            <w:gridSpan w:val="3"/>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6"/>
              </w:rPr>
              <w:t>Consolidated Statement of Changes in Net Assets</w:t>
            </w:r>
          </w:p>
        </w:tc>
        <w:tc>
          <w:tcPr>
            <w:tcW w:w="7560" w:type="dxa"/>
            <w:vAlign w:val="bottom"/>
            <w:gridSpan w:val="2"/>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420" w:type="dxa"/>
            <w:vAlign w:val="bottom"/>
            <w:tcBorders>
              <w:bottom w:val="single" w:sz="8" w:color="0000EE"/>
            </w:tcBorders>
          </w:tcPr>
          <w:p>
            <w:pPr>
              <w:spacing w:after="0"/>
              <w:rPr>
                <w:rFonts w:ascii="Arial" w:cs="Arial" w:eastAsia="Arial" w:hAnsi="Arial"/>
                <w:sz w:val="18"/>
                <w:szCs w:val="18"/>
                <w:color w:val="0000EE"/>
                <w:w w:val="84"/>
              </w:rPr>
            </w:pPr>
            <w:hyperlink w:anchor="page98">
              <w:r>
                <w:rPr>
                  <w:rFonts w:ascii="Arial" w:cs="Arial" w:eastAsia="Arial" w:hAnsi="Arial"/>
                  <w:sz w:val="18"/>
                  <w:szCs w:val="18"/>
                  <w:color w:val="0000EE"/>
                  <w:w w:val="84"/>
                </w:rPr>
                <w:t>Notes</w:t>
              </w:r>
            </w:hyperlink>
          </w:p>
        </w:tc>
        <w:tc>
          <w:tcPr>
            <w:tcW w:w="10640" w:type="dxa"/>
            <w:vAlign w:val="bottom"/>
            <w:gridSpan w:val="5"/>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80" w:firstLine="2695"/>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 and Board of Directors of PennantPark Investment Corporation:</w:t>
      </w:r>
    </w:p>
    <w:p>
      <w:pPr>
        <w:spacing w:after="0" w:line="1"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have audited the accompanying consolidated statement of assets and liabilities of PennantPark Investment Corporation (the “Company”) as of February 6, 2007 and the related consolidated statements of operations and changes in net assets for the period from January 10, 2007 (date of incorporation) through February 6, 2007. These consolidated financial statements are the responsibility of the Company’s management. Our responsibility is to express an opinion on the consolidated financial statements based on our audit.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8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PennantPark Investment Corporation as of February 6, 2007, and the results of its consolidated operations and its consolidated changes in net assets for the period from January 10, 2007 (date of incorporation) through February 6, 2007, in conformity with U.S. generally accepted accounting principles.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2007, except for Note 7,</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which is as of March 27,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80" w:type="dxa"/>
            <w:vAlign w:val="bottom"/>
          </w:tcPr>
          <w:p>
            <w:pPr>
              <w:jc w:val="center"/>
              <w:ind w:left="2312"/>
              <w:spacing w:after="0"/>
              <w:rPr>
                <w:sz w:val="20"/>
                <w:szCs w:val="20"/>
                <w:color w:val="auto"/>
              </w:rPr>
            </w:pPr>
            <w:r>
              <w:rPr>
                <w:rFonts w:ascii="Arial" w:cs="Arial" w:eastAsia="Arial" w:hAnsi="Arial"/>
                <w:sz w:val="18"/>
                <w:szCs w:val="18"/>
                <w:b w:val="1"/>
                <w:bCs w:val="1"/>
                <w:color w:val="auto"/>
                <w:w w:val="86"/>
              </w:rPr>
              <w:t>Consolidated Statement of Assets and Liabilities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980" w:type="dxa"/>
            <w:vAlign w:val="bottom"/>
          </w:tcPr>
          <w:p>
            <w:pPr>
              <w:jc w:val="center"/>
              <w:ind w:left="2312"/>
              <w:spacing w:after="0"/>
              <w:rPr>
                <w:sz w:val="20"/>
                <w:szCs w:val="20"/>
                <w:color w:val="auto"/>
              </w:rPr>
            </w:pPr>
            <w:r>
              <w:rPr>
                <w:rFonts w:ascii="Arial" w:cs="Arial" w:eastAsia="Arial" w:hAnsi="Arial"/>
                <w:sz w:val="18"/>
                <w:szCs w:val="18"/>
                <w:b w:val="1"/>
                <w:bCs w:val="1"/>
                <w:color w:val="auto"/>
                <w:w w:val="88"/>
              </w:rPr>
              <w:t>As of February 6, 2007</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Cash</w:t>
            </w: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organization costs and other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assets </w:t>
            </w:r>
            <w:r>
              <w:rPr>
                <w:rFonts w:ascii="Arial" w:cs="Arial" w:eastAsia="Arial" w:hAnsi="Arial"/>
                <w:sz w:val="18"/>
                <w:szCs w:val="18"/>
                <w:color w:val="auto"/>
              </w:rPr>
              <w:t>(80,000 shares of beneficial interest issued and outstanding;</w:t>
            </w:r>
          </w:p>
        </w:tc>
        <w:tc>
          <w:tcPr>
            <w:tcW w:w="1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100,000,000 shares authorized, par value of $0.001 per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845,116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58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58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Period from January 10, 2007 (Date of Incorporation) through February 6, 2007</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Organizational costs and other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$ 154,884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vMerge w:val="restart"/>
          </w:tcPr>
          <w:p>
            <w:pPr>
              <w:ind w:left="420"/>
              <w:spacing w:after="0"/>
              <w:rPr>
                <w:sz w:val="20"/>
                <w:szCs w:val="20"/>
                <w:color w:val="auto"/>
              </w:rPr>
            </w:pPr>
            <w:r>
              <w:rPr>
                <w:rFonts w:ascii="Arial" w:cs="Arial" w:eastAsia="Arial" w:hAnsi="Arial"/>
                <w:sz w:val="18"/>
                <w:szCs w:val="18"/>
                <w:color w:val="auto"/>
              </w:rPr>
              <w:t>Decrease in net assets resulting from operations</w:t>
            </w: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620" w:type="dxa"/>
            <w:vAlign w:val="bottom"/>
          </w:tcPr>
          <w:p>
            <w:pPr>
              <w:jc w:val="center"/>
              <w:ind w:left="1692"/>
              <w:spacing w:after="0"/>
              <w:rPr>
                <w:sz w:val="20"/>
                <w:szCs w:val="20"/>
                <w:color w:val="auto"/>
              </w:rPr>
            </w:pPr>
            <w:r>
              <w:rPr>
                <w:rFonts w:ascii="Arial" w:cs="Arial" w:eastAsia="Arial" w:hAnsi="Arial"/>
                <w:sz w:val="18"/>
                <w:szCs w:val="18"/>
                <w:b w:val="1"/>
                <w:bCs w:val="1"/>
                <w:color w:val="auto"/>
                <w:w w:val="85"/>
              </w:rPr>
              <w:t>Consolidated Statement of Changes in Net Assets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620" w:type="dxa"/>
            <w:vAlign w:val="bottom"/>
          </w:tcPr>
          <w:p>
            <w:pPr>
              <w:jc w:val="center"/>
              <w:ind w:left="1692"/>
              <w:spacing w:after="0"/>
              <w:rPr>
                <w:sz w:val="20"/>
                <w:szCs w:val="20"/>
                <w:color w:val="auto"/>
              </w:rPr>
            </w:pPr>
            <w:r>
              <w:rPr>
                <w:rFonts w:ascii="Arial" w:cs="Arial" w:eastAsia="Arial" w:hAnsi="Arial"/>
                <w:sz w:val="18"/>
                <w:szCs w:val="18"/>
                <w:b w:val="1"/>
                <w:bCs w:val="1"/>
                <w:color w:val="auto"/>
                <w:w w:val="89"/>
              </w:rPr>
              <w:t>Period from January 10, 2007 (Date of Incorporation) through February 6, 2007</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(154,884)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Initial contribution of capital</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Net asset, end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February 6,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PennantPark Investment Corporation (“PennantPark Investment” or the “Company”) was organized as a Maryland corporation on January 10, 2007. PennantPark Investment’s objective is to generate both current income and capital appreciation through debt and equity investments. The Company intends to invest primarily in middle-market companies in the form of mezzanine loans, senior secured loans and equity securities. PennantPark Investment has not had operations other than the sale and issuance of 80,000 shares of common stock at an aggregate purchase price of $1,000,000 to PennantPark Investment Advisers, LLC (the “Investment Adviser”). The consolidated financial statements include the accounts of PennantPark Investment and its wholly owned special purpose subsidiary, Pennant SPV Company,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PennantPark Investment has entered into an Investment Advisory and Management Agreement with the Investment Adviser under which the Investment Adviser, subject to the overall supervision of PennantPark Investment’s board of directors, will manage the day-to-day operations of and provide investment advisory services to, PennantPark Investment. For providing these services, the Investment Adviser will receive a fee from PennantPark Investment, consisting of two components—a base management fee and an incentive fee. The base management fee will be calculated at an annual rate of 2.00% on PennantPark Investment’s gross assets. For services rendered under the Investment Advisory and Management Agreement during the period commencing from the closing of PennantPark Investment’s offering through and including the first six months of operations, the base management fee will be payable monthly in arrears, and will be calculated based on the initial value of PennantPark Investment’s gross assets. For services rendered under the Investment Advisory and Management Agreement after that time, the base management fee will be payable quarterly in arrears, and will be calculated based on the average value of PennantPark Investment’s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The incentive fee will have two parts, as follows: One part will be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will be compared to the hurdle rate of 1.75% per quarter (7.00% annualized). PennantPark Investment will pay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98" w:lineRule="auto"/>
        <w:rPr>
          <w:sz w:val="20"/>
          <w:szCs w:val="20"/>
          <w:color w:val="auto"/>
        </w:rPr>
      </w:pPr>
      <w:r>
        <w:rPr>
          <w:rFonts w:ascii="Arial" w:cs="Arial" w:eastAsia="Arial" w:hAnsi="Arial"/>
          <w:sz w:val="16"/>
          <w:szCs w:val="16"/>
          <w:color w:val="auto"/>
        </w:rPr>
        <w:t>the hurdle rate; (2)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will be appropriately pro rated for any period of less than three months and adjusted for any share issuances or repurchases during the current quarter.</w:t>
      </w:r>
    </w:p>
    <w:p>
      <w:pPr>
        <w:spacing w:after="0" w:line="8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(“PennantPark Administration”) under which PennantPark Administration will provide administrative services for PennantPark Investment. For providing these services, facilities and personnel, PennantPark Investment will reimburse PennantPark Administration for PennantPark Investment’s allocable portion of overhead and other expenses incurred by PennantPark Administration in performing its obligations under the Administration Agreement, including rent and PennantPark Investment’s allocable portion of the costs of compensation and related expenses of its chief compliance officer, chief financial officer and their respective staffs. PennantPark Administration will also provide on PennantPark Investment’s behalf managerial assistance to these portfolio companies to which PennantPark Investment is required to provide such assistance.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portion of the net proceeds of this offering will be used for organizational, offering and other expenses. Organizational expenses will be treated as an expense as incurred. Offering costs will be charged to net assets upon the completion of the initial public offering. Offering costs of $208,572 have been incurred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a business development company, PennantPark Investment intends to elect to be treated as a RIC under Subchapter M of the Code. Initially, PennantPark Investment expects to comply with the requirements to be a RIC and to make a corresponding change in its tax year within one month of the completion of this offering. Until that time, PennantPark Investment will be taxed as a regular corporation under Subchapter C of the Code and will be subject to corporate level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CREDIT FACILITY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February 6, 2007, Pennant SPV Company, LLC, a limited liability company organized under the laws of Delaware (“Pennant SPV”) and a wholly owned special purpose subsidiary of PennantPark Investment, entered into a senior secured credit facility (the “Credit Agreement”), with Bear Stearns Investment Products Inc., as lender (the “Lender”). Under the terms of the Credit Agreement, the Lender has agreed to extend credit to Pennant SPV in an aggregate principal of up to $200 million at any one time outstanding. The Credit Agreement matures on the earliest to occur of (1) the closing date of an initial public offering or private placement of equity securities by PennantPark Investment, (2) June 30, 2007, (3) the termination date of the Credit Facility by its terms and (4) any other date mutually agreed by the parties. The Credit Facility is secured by liens on substantially all of the assets in Pennant SPV, including its interests in any investments and any cash or cash equivalents held by it from time to time. Pricing under the Credit Facility is set at 175 basis points over applicable LIBOR, as that term is defined in the Credit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Agreement contains affirmative and restrictive covenants, including: (a) periodic financial reporting and maintenance requirements,</w:t>
      </w:r>
    </w:p>
    <w:p>
      <w:pPr>
        <w:spacing w:after="0" w:line="38" w:lineRule="exact"/>
        <w:rPr>
          <w:sz w:val="20"/>
          <w:szCs w:val="20"/>
          <w:color w:val="auto"/>
        </w:rPr>
      </w:pPr>
    </w:p>
    <w:p>
      <w:pPr>
        <w:ind w:right="60" w:firstLine="8"/>
        <w:spacing w:after="0" w:line="290" w:lineRule="auto"/>
        <w:tabs>
          <w:tab w:leader="none" w:pos="2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 (j) limitations on indebtedness and guarantees, (k) limitation on issuance of additional interests and impairment of rights, (l) security interests and (m) limitation on subsidiaries. Borrowings under the Credit Agreement are subject at all times to compliance with certain eligibility criteria. As of February 6, 2007, Pennant SPV had not yet borrowed any amounts under the Credit Agreement.</w:t>
      </w:r>
    </w:p>
    <w:p>
      <w:pPr>
        <w:spacing w:after="0" w:line="91" w:lineRule="exact"/>
        <w:rPr>
          <w:sz w:val="20"/>
          <w:szCs w:val="20"/>
          <w:color w:val="auto"/>
        </w:rPr>
      </w:pPr>
    </w:p>
    <w:p>
      <w:pPr>
        <w:ind w:right="1040" w:firstLine="456"/>
        <w:spacing w:after="0" w:line="332" w:lineRule="auto"/>
        <w:rPr>
          <w:sz w:val="20"/>
          <w:szCs w:val="20"/>
          <w:color w:val="auto"/>
        </w:rPr>
      </w:pPr>
      <w:r>
        <w:rPr>
          <w:rFonts w:ascii="Arial" w:cs="Arial" w:eastAsia="Arial" w:hAnsi="Arial"/>
          <w:sz w:val="16"/>
          <w:szCs w:val="16"/>
          <w:color w:val="auto"/>
        </w:rPr>
        <w:t>The Credit Agreement will be used to finance investments made by PennantPark Investment prior to the closing of its proposed initial public offering. PennantPark Investment intends to cause Pennant SPV to repay the Credit Facility in full upon the completion of such offering.</w:t>
      </w:r>
    </w:p>
    <w:p>
      <w:pPr>
        <w:spacing w:after="0" w:line="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From time to time, the Lender may provide customary commercial and investment banking services to PennantPark Investment, Pennant SPV and their affiliates.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March 26, 2007, PennantPark Investment Advisers LLC contributed an additional $200,000 to PennantPark Investment. As a result of this contribution, PennantPark Investment Advisers LLC holds 80,000 shares of common stock of PennantPark Investment at a total cost of $1.2 million.</w:t>
      </w:r>
    </w:p>
    <w:p>
      <w:pPr>
        <w:spacing w:after="0" w:line="5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of March 26, 2007, PennantPark Investment, through Pennant SPV, entered into an Amendment to the Credit Agreement with the Lender pursuant to which the aggregate principal amount available for borrowing at any one time was increased from $200 million to $250 million.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You should rely only on the information contained in this prospectus. We have not, and the underwriters have not, authorized anyone to provide you with additional information, or information different from that contained in this prospectus. If anyone provides you with different or additional information, you should not rely on it.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shares of our common stock.</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40" w:type="dxa"/>
            <w:vAlign w:val="bottom"/>
            <w:gridSpan w:val="2"/>
          </w:tcPr>
          <w:p>
            <w:pPr>
              <w:ind w:left="1060"/>
              <w:spacing w:after="0"/>
              <w:rPr>
                <w:sz w:val="20"/>
                <w:szCs w:val="20"/>
                <w:color w:val="auto"/>
              </w:rPr>
            </w:pPr>
            <w:r>
              <w:rPr>
                <w:rFonts w:ascii="Arial" w:cs="Arial" w:eastAsia="Arial" w:hAnsi="Arial"/>
                <w:sz w:val="22"/>
                <w:szCs w:val="22"/>
                <w:b w:val="1"/>
                <w:bCs w:val="1"/>
                <w:color w:val="auto"/>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500" w:type="dxa"/>
            <w:vAlign w:val="bottom"/>
            <w:gridSpan w:val="13"/>
            <w:vMerge w:val="restart"/>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Prospectus Summary</w:t>
              </w:r>
            </w:hyperlink>
          </w:p>
        </w:tc>
        <w:tc>
          <w:tcPr>
            <w:tcW w:w="1480" w:type="dxa"/>
            <w:vAlign w:val="bottom"/>
            <w:gridSpan w:val="9"/>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3"/>
            <w:vMerge w:val="continue"/>
          </w:tcPr>
          <w:p>
            <w:pPr>
              <w:spacing w:after="0"/>
              <w:rPr>
                <w:sz w:val="14"/>
                <w:szCs w:val="14"/>
                <w:color w:val="auto"/>
              </w:rPr>
            </w:pPr>
          </w:p>
        </w:tc>
        <w:tc>
          <w:tcPr>
            <w:tcW w:w="1480" w:type="dxa"/>
            <w:vAlign w:val="bottom"/>
            <w:gridSpan w:val="9"/>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11"/>
          </w:tcPr>
          <w:p>
            <w:pPr>
              <w:spacing w:after="0" w:line="196" w:lineRule="exact"/>
              <w:rPr>
                <w:rFonts w:ascii="Arial" w:cs="Arial" w:eastAsia="Arial" w:hAnsi="Arial"/>
                <w:sz w:val="18"/>
                <w:szCs w:val="18"/>
                <w:color w:val="0000EE"/>
                <w:w w:val="82"/>
              </w:rPr>
            </w:pPr>
            <w:hyperlink w:anchor="page12">
              <w:r>
                <w:rPr>
                  <w:rFonts w:ascii="Arial" w:cs="Arial" w:eastAsia="Arial" w:hAnsi="Arial"/>
                  <w:sz w:val="18"/>
                  <w:szCs w:val="18"/>
                  <w:color w:val="0000EE"/>
                  <w:w w:val="82"/>
                </w:rPr>
                <w:t>Fees and Expenses</w:t>
              </w:r>
            </w:hyperlink>
          </w:p>
        </w:tc>
        <w:tc>
          <w:tcPr>
            <w:tcW w:w="164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208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Forward-looking Statements</w:t>
              </w:r>
            </w:hyperlink>
          </w:p>
        </w:tc>
        <w:tc>
          <w:tcPr>
            <w:tcW w:w="9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Discussion of Expected Operating Plans</w:t>
              </w:r>
            </w:hyperlink>
          </w:p>
        </w:tc>
        <w:tc>
          <w:tcPr>
            <w:tcW w:w="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98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Senior Securities</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00" w:type="dxa"/>
            <w:vAlign w:val="bottom"/>
            <w:tcBorders>
              <w:top w:val="single" w:sz="8" w:color="0000EE"/>
            </w:tcBorders>
            <w:gridSpan w:val="10"/>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Use of Proceeds</w:t>
              </w:r>
            </w:hyperlink>
          </w:p>
        </w:tc>
        <w:tc>
          <w:tcPr>
            <w:tcW w:w="1780" w:type="dxa"/>
            <w:vAlign w:val="bottom"/>
            <w:gridSpan w:val="12"/>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Distributions</w:t>
              </w:r>
            </w:hyperlink>
          </w:p>
        </w:tc>
        <w:tc>
          <w:tcPr>
            <w:tcW w:w="1840" w:type="dxa"/>
            <w:vAlign w:val="bottom"/>
            <w:gridSpan w:val="13"/>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Capitalization</w:t>
              </w:r>
            </w:hyperlink>
          </w:p>
        </w:tc>
        <w:tc>
          <w:tcPr>
            <w:tcW w:w="198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Dilution</w:t>
              </w:r>
            </w:hyperlink>
          </w:p>
        </w:tc>
        <w:tc>
          <w:tcPr>
            <w:tcW w:w="2380" w:type="dxa"/>
            <w:vAlign w:val="bottom"/>
            <w:gridSpan w:val="21"/>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Business</w:t>
              </w:r>
            </w:hyperlink>
          </w:p>
        </w:tc>
        <w:tc>
          <w:tcPr>
            <w:tcW w:w="234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980" w:type="dxa"/>
            <w:vAlign w:val="bottom"/>
            <w:gridSpan w:val="2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Portfolio Companies</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Management</w:t>
              </w:r>
            </w:hyperlink>
          </w:p>
        </w:tc>
        <w:tc>
          <w:tcPr>
            <w:tcW w:w="152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2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Control Persons and Principal Stockholders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Determination of Net Asset Value</w:t>
              </w:r>
            </w:hyperlink>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Reinvestment Plan</w:t>
              </w:r>
            </w:hyperlink>
          </w:p>
        </w:tc>
        <w:tc>
          <w:tcPr>
            <w:tcW w:w="60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Material U.S. Federal Income Tax Considerations</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Our Capital Stock</w:t>
              </w:r>
            </w:hyperlink>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Regulation</w:t>
              </w:r>
            </w:hyperlink>
          </w:p>
        </w:tc>
        <w:tc>
          <w:tcPr>
            <w:tcW w:w="1540" w:type="dxa"/>
            <w:vAlign w:val="bottom"/>
            <w:tcBorders>
              <w:top w:val="single" w:sz="8" w:color="0000EE"/>
            </w:tcBorders>
            <w:gridSpan w:val="15"/>
          </w:tcPr>
          <w:p>
            <w:pPr>
              <w:spacing w:after="0"/>
              <w:rPr>
                <w:sz w:val="17"/>
                <w:szCs w:val="17"/>
                <w:color w:val="auto"/>
              </w:rPr>
            </w:pPr>
          </w:p>
        </w:tc>
        <w:tc>
          <w:tcPr>
            <w:tcW w:w="66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Shares Eligible for Future Sale</w:t>
              </w:r>
            </w:hyperlink>
          </w:p>
        </w:tc>
        <w:tc>
          <w:tcPr>
            <w:tcW w:w="8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Custodian, Transfer and Distribution Paying Agent and Registrar</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22"/>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Brokerage Allocation and Other Practices</w:t>
              </w:r>
            </w:hyperlink>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Underwriting</w:t>
              </w:r>
            </w:hyperlink>
          </w:p>
        </w:tc>
        <w:tc>
          <w:tcPr>
            <w:tcW w:w="1980" w:type="dxa"/>
            <w:vAlign w:val="bottom"/>
            <w:tcBorders>
              <w:top w:val="single" w:sz="8" w:color="0000EE"/>
            </w:tcBorders>
            <w:gridSpan w:val="15"/>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2980" w:type="dxa"/>
            <w:vAlign w:val="bottom"/>
            <w:gridSpan w:val="2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Legal Matters</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980" w:type="dxa"/>
            <w:vAlign w:val="bottom"/>
            <w:gridSpan w:val="7"/>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40" w:type="dxa"/>
            <w:vAlign w:val="bottom"/>
            <w:gridSpan w:val="28"/>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Independent Registered Public Accounting Firm</w:t>
              </w:r>
            </w:hyperlink>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Available Information</w:t>
              </w:r>
            </w:hyperlink>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560" w:type="dxa"/>
            <w:vAlign w:val="bottom"/>
            <w:gridSpan w:val="15"/>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766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Index to Consolidated Financial Statements</w:t>
              </w:r>
            </w:hyperlink>
          </w:p>
        </w:tc>
        <w:tc>
          <w:tcPr>
            <w:tcW w:w="766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97"/>
        </w:trPr>
        <w:tc>
          <w:tcPr>
            <w:tcW w:w="2980" w:type="dxa"/>
            <w:vAlign w:val="bottom"/>
            <w:gridSpan w:val="22"/>
          </w:tcPr>
          <w:p>
            <w:pPr>
              <w:ind w:left="460"/>
              <w:spacing w:after="0"/>
              <w:rPr>
                <w:sz w:val="20"/>
                <w:szCs w:val="20"/>
                <w:color w:val="auto"/>
              </w:rPr>
            </w:pPr>
            <w:r>
              <w:rPr>
                <w:rFonts w:ascii="Arial" w:cs="Arial" w:eastAsia="Arial" w:hAnsi="Arial"/>
                <w:sz w:val="18"/>
                <w:szCs w:val="18"/>
                <w:i w:val="1"/>
                <w:iCs w:val="1"/>
                <w:color w:val="auto"/>
              </w:rPr>
              <w:t>Through and including</w:t>
            </w:r>
          </w:p>
        </w:tc>
        <w:tc>
          <w:tcPr>
            <w:tcW w:w="8460" w:type="dxa"/>
            <w:vAlign w:val="bottom"/>
            <w:gridSpan w:val="8"/>
          </w:tcPr>
          <w:p>
            <w:pPr>
              <w:jc w:val="right"/>
              <w:ind w:right="40"/>
              <w:spacing w:after="0"/>
              <w:rPr>
                <w:sz w:val="20"/>
                <w:szCs w:val="20"/>
                <w:color w:val="auto"/>
              </w:rPr>
            </w:pPr>
            <w:r>
              <w:rPr>
                <w:rFonts w:ascii="Arial" w:cs="Arial" w:eastAsia="Arial" w:hAnsi="Arial"/>
                <w:sz w:val="18"/>
                <w:szCs w:val="18"/>
                <w:i w:val="1"/>
                <w:iCs w:val="1"/>
                <w:color w:val="auto"/>
                <w:w w:val="88"/>
              </w:rPr>
              <w:t>, 2007 (25 days after the date of this prospectus), federal securities laws may require all dealers that effect transactions</w:t>
            </w:r>
          </w:p>
        </w:tc>
        <w:tc>
          <w:tcPr>
            <w:tcW w:w="0" w:type="dxa"/>
            <w:vAlign w:val="bottom"/>
          </w:tcPr>
          <w:p>
            <w:pPr>
              <w:spacing w:after="0"/>
              <w:rPr>
                <w:sz w:val="1"/>
                <w:szCs w:val="1"/>
                <w:color w:val="auto"/>
              </w:rPr>
            </w:pPr>
          </w:p>
        </w:tc>
      </w:tr>
    </w:tbl>
    <w:p>
      <w:pPr>
        <w:ind w:right="280"/>
        <w:spacing w:after="0" w:line="261" w:lineRule="auto"/>
        <w:rPr>
          <w:sz w:val="20"/>
          <w:szCs w:val="20"/>
          <w:color w:val="auto"/>
        </w:rPr>
      </w:pPr>
      <w:r>
        <w:rPr>
          <w:rFonts w:ascii="Arial" w:cs="Arial" w:eastAsia="Arial" w:hAnsi="Arial"/>
          <w:sz w:val="18"/>
          <w:szCs w:val="18"/>
          <w:i w:val="1"/>
          <w:iCs w:val="1"/>
          <w:color w:val="auto"/>
        </w:rPr>
        <w:t>in our common stock, whether or not participating in this offering,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330835</wp:posOffset>
            </wp:positionV>
            <wp:extent cx="72504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27,000,000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2133600</wp:posOffset>
            </wp:positionV>
            <wp:extent cx="5377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771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761365</wp:posOffset>
            </wp:positionV>
            <wp:extent cx="2058035" cy="43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0580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122555</wp:posOffset>
            </wp:positionV>
            <wp:extent cx="5377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77180" cy="8890"/>
                    </a:xfrm>
                    <a:prstGeom prst="rect">
                      <a:avLst/>
                    </a:prstGeom>
                    <a:noFill/>
                  </pic:spPr>
                </pic:pic>
              </a:graphicData>
            </a:graphic>
          </wp:anchor>
        </w:drawing>
      </w:r>
    </w:p>
    <w:p>
      <w:pPr>
        <w:sectPr>
          <w:pgSz w:w="11900" w:h="16838" w:orient="portrait"/>
          <w:cols w:equalWidth="0" w:num="1">
            <w:col w:w="11420"/>
          </w:cols>
          <w:pgMar w:left="240" w:top="459" w:right="239" w:bottom="1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980"/>
        <w:spacing w:after="0"/>
        <w:rPr>
          <w:sz w:val="20"/>
          <w:szCs w:val="20"/>
          <w:color w:val="auto"/>
        </w:rPr>
      </w:pPr>
      <w:r>
        <w:rPr>
          <w:rFonts w:ascii="Arial" w:cs="Arial" w:eastAsia="Arial" w:hAnsi="Arial"/>
          <w:sz w:val="19"/>
          <w:szCs w:val="19"/>
          <w:b w:val="1"/>
          <w:bCs w:val="1"/>
          <w:color w:val="auto"/>
        </w:rPr>
        <w:t>, 2007</w:t>
      </w:r>
    </w:p>
    <w:p>
      <w:pPr>
        <w:sectPr>
          <w:pgSz w:w="11900" w:h="16838" w:orient="portrait"/>
          <w:cols w:equalWidth="0" w:num="1">
            <w:col w:w="11420"/>
          </w:cols>
          <w:pgMar w:left="240" w:top="459" w:right="239" w:bottom="128"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4"/>
          <w:szCs w:val="24"/>
          <w:b w:val="1"/>
          <w:bCs w:val="1"/>
          <w:color w:val="auto"/>
        </w:rPr>
        <w:t>Bear, Stearns &amp; Co.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Banc of America Securities LLC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UBS Investment Bank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SunTrust Robinson Humphrey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Keefe, Bruyette &amp; Woods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Friedman Billings Ramsey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Jefferies &amp;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Robert W. Baird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6"/>
          <w:szCs w:val="16"/>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4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financial statements of PennantPark Investment Corporation (the “Company” or the “Registrant”) are included in Part A of this Registration Statement.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vMerge w:val="restart"/>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11060" w:type="dxa"/>
            <w:vAlign w:val="bottom"/>
            <w:vMerge w:val="continue"/>
          </w:tcPr>
          <w:p>
            <w:pPr>
              <w:spacing w:after="0"/>
              <w:rPr>
                <w:sz w:val="17"/>
                <w:szCs w:val="17"/>
                <w:color w:val="auto"/>
              </w:rPr>
            </w:pPr>
          </w:p>
        </w:tc>
        <w:tc>
          <w:tcPr>
            <w:tcW w:w="3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Consolidated Statement of Assets and Liabilities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Consolidated Statement of Operations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Consolidated Statement of Changes in Net Assets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Notes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Exhibits</w:t>
      </w:r>
    </w:p>
    <w:p>
      <w:pPr>
        <w:spacing w:after="0" w:line="135" w:lineRule="exact"/>
        <w:rPr>
          <w:sz w:val="20"/>
          <w:szCs w:val="20"/>
          <w:color w:val="auto"/>
        </w:rPr>
      </w:pPr>
    </w:p>
    <w:p>
      <w:pPr>
        <w:ind w:left="1040" w:hanging="1032"/>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Articles of Amendment and Restatement</w:t>
      </w:r>
      <w:r>
        <w:rPr>
          <w:rFonts w:ascii="Arial" w:cs="Arial" w:eastAsia="Arial" w:hAnsi="Arial"/>
          <w:sz w:val="22"/>
          <w:szCs w:val="22"/>
          <w:color w:val="auto"/>
          <w:vertAlign w:val="superscript"/>
        </w:rPr>
        <w:t>(1)</w:t>
      </w:r>
    </w:p>
    <w:p>
      <w:pPr>
        <w:ind w:left="1040" w:hanging="1032"/>
        <w:spacing w:after="0" w:line="205"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Amended and Restated Bylaws</w:t>
      </w:r>
      <w:r>
        <w:rPr>
          <w:rFonts w:ascii="Arial" w:cs="Arial" w:eastAsia="Arial" w:hAnsi="Arial"/>
          <w:sz w:val="22"/>
          <w:szCs w:val="22"/>
          <w:color w:val="auto"/>
          <w:vertAlign w:val="superscript"/>
        </w:rPr>
        <w:t>(1)</w:t>
      </w:r>
    </w:p>
    <w:p>
      <w:pPr>
        <w:ind w:left="1040" w:hanging="1032"/>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Form of Stock Certificate</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line="212"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Dividend Reinvestment Plan</w:t>
      </w:r>
      <w:r>
        <w:rPr>
          <w:rFonts w:ascii="Arial" w:cs="Arial" w:eastAsia="Arial" w:hAnsi="Arial"/>
          <w:sz w:val="22"/>
          <w:szCs w:val="22"/>
          <w:color w:val="auto"/>
          <w:vertAlign w:val="superscript"/>
        </w:rPr>
        <w:t>(1)</w:t>
      </w:r>
    </w:p>
    <w:p>
      <w:pPr>
        <w:ind w:left="1040" w:hanging="1032"/>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Applicable</w:t>
      </w:r>
    </w:p>
    <w:tbl>
      <w:tblPr>
        <w:tblLayout w:type="fixed"/>
        <w:tblInd w:w="0" w:type="dxa"/>
        <w:tblCellMar>
          <w:top w:w="0" w:type="dxa"/>
          <w:left w:w="0" w:type="dxa"/>
          <w:bottom w:w="0" w:type="dxa"/>
          <w:right w:w="0" w:type="dxa"/>
        </w:tblCellMar>
      </w:tblPr>
      <w:tr>
        <w:trPr>
          <w:trHeight w:val="211"/>
        </w:trPr>
        <w:tc>
          <w:tcPr>
            <w:tcW w:w="740" w:type="dxa"/>
            <w:vAlign w:val="bottom"/>
          </w:tcPr>
          <w:p>
            <w:pPr>
              <w:spacing w:after="0"/>
              <w:rPr>
                <w:sz w:val="20"/>
                <w:szCs w:val="20"/>
                <w:color w:val="auto"/>
              </w:rPr>
            </w:pPr>
            <w:r>
              <w:rPr>
                <w:rFonts w:ascii="Arial" w:cs="Arial" w:eastAsia="Arial" w:hAnsi="Arial"/>
                <w:sz w:val="18"/>
                <w:szCs w:val="18"/>
                <w:color w:val="auto"/>
              </w:rPr>
              <w:t>(g)(1)</w:t>
            </w:r>
          </w:p>
        </w:tc>
        <w:tc>
          <w:tcPr>
            <w:tcW w:w="8160" w:type="dxa"/>
            <w:vAlign w:val="bottom"/>
          </w:tcPr>
          <w:p>
            <w:pPr>
              <w:ind w:left="300"/>
              <w:spacing w:after="0" w:line="211" w:lineRule="exact"/>
              <w:rPr>
                <w:sz w:val="20"/>
                <w:szCs w:val="20"/>
                <w:color w:val="auto"/>
              </w:rPr>
            </w:pPr>
            <w:r>
              <w:rPr>
                <w:rFonts w:ascii="Arial" w:cs="Arial" w:eastAsia="Arial" w:hAnsi="Arial"/>
                <w:sz w:val="18"/>
                <w:szCs w:val="18"/>
                <w:color w:val="auto"/>
                <w:w w:val="88"/>
              </w:rPr>
              <w:t>Interim Investment Management Agreement between Registrant and PennantPark Investment Advisers, LLC</w:t>
            </w:r>
            <w:r>
              <w:rPr>
                <w:rFonts w:ascii="Arial" w:cs="Arial" w:eastAsia="Arial" w:hAnsi="Arial"/>
                <w:sz w:val="22"/>
                <w:szCs w:val="22"/>
                <w:color w:val="auto"/>
                <w:w w:val="88"/>
                <w:vertAlign w:val="superscript"/>
              </w:rPr>
              <w:t>(1)</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(g)(2)</w:t>
            </w:r>
          </w:p>
        </w:tc>
        <w:tc>
          <w:tcPr>
            <w:tcW w:w="8160" w:type="dxa"/>
            <w:vAlign w:val="bottom"/>
          </w:tcPr>
          <w:p>
            <w:pPr>
              <w:ind w:left="300"/>
              <w:spacing w:after="0" w:line="230" w:lineRule="exact"/>
              <w:rPr>
                <w:sz w:val="20"/>
                <w:szCs w:val="20"/>
                <w:color w:val="auto"/>
              </w:rPr>
            </w:pPr>
            <w:r>
              <w:rPr>
                <w:rFonts w:ascii="Arial" w:cs="Arial" w:eastAsia="Arial" w:hAnsi="Arial"/>
                <w:sz w:val="18"/>
                <w:szCs w:val="18"/>
                <w:color w:val="auto"/>
                <w:w w:val="88"/>
              </w:rPr>
              <w:t>Form of Investment Management Agreement between Registrant and PennantPark Investment Advisers, LLC</w:t>
            </w:r>
            <w:r>
              <w:rPr>
                <w:rFonts w:ascii="Arial" w:cs="Arial" w:eastAsia="Arial" w:hAnsi="Arial"/>
                <w:sz w:val="22"/>
                <w:szCs w:val="22"/>
                <w:color w:val="auto"/>
                <w:w w:val="88"/>
                <w:vertAlign w:val="superscript"/>
              </w:rPr>
              <w:t>(1)</w:t>
            </w:r>
          </w:p>
        </w:tc>
      </w:tr>
    </w:tbl>
    <w:p>
      <w:pPr>
        <w:ind w:left="1260" w:right="340" w:hanging="1252"/>
        <w:spacing w:after="0" w:line="225" w:lineRule="auto"/>
        <w:tabs>
          <w:tab w:leader="none" w:pos="10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 of Underwriting Agreement among the Registrant, PennantPark Investment Advisers, LLC, PennantPark Administration, LLC and Bear, Stearns &amp; Co. Inc. and the other underwriters named therein</w:t>
      </w:r>
      <w:r>
        <w:rPr>
          <w:rFonts w:ascii="Arial" w:cs="Arial" w:eastAsia="Arial" w:hAnsi="Arial"/>
          <w:sz w:val="22"/>
          <w:szCs w:val="22"/>
          <w:color w:val="auto"/>
          <w:vertAlign w:val="superscript"/>
        </w:rPr>
        <w:t>(2)</w:t>
      </w:r>
    </w:p>
    <w:p>
      <w:pPr>
        <w:ind w:left="1040" w:hanging="103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 w:lineRule="exact"/>
        <w:rPr>
          <w:rFonts w:ascii="Arial" w:cs="Arial" w:eastAsia="Arial" w:hAnsi="Arial"/>
          <w:sz w:val="18"/>
          <w:szCs w:val="18"/>
          <w:color w:val="auto"/>
        </w:rPr>
      </w:pPr>
    </w:p>
    <w:p>
      <w:pPr>
        <w:ind w:left="1040" w:hanging="1032"/>
        <w:spacing w:after="0" w:line="212"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Form of Custodian Agreement between Registrant and LaSalle Bank National Association</w:t>
      </w:r>
      <w:r>
        <w:rPr>
          <w:rFonts w:ascii="Arial" w:cs="Arial" w:eastAsia="Arial" w:hAnsi="Arial"/>
          <w:sz w:val="22"/>
          <w:szCs w:val="22"/>
          <w:color w:val="auto"/>
          <w:vertAlign w:val="superscript"/>
        </w:rPr>
        <w:t>(2)</w:t>
      </w:r>
    </w:p>
    <w:tbl>
      <w:tblPr>
        <w:tblLayout w:type="fixed"/>
        <w:tblInd w:w="0" w:type="dxa"/>
        <w:tblCellMar>
          <w:top w:w="0" w:type="dxa"/>
          <w:left w:w="0" w:type="dxa"/>
          <w:bottom w:w="0" w:type="dxa"/>
          <w:right w:w="0" w:type="dxa"/>
        </w:tblCellMar>
      </w:tblPr>
      <w:tr>
        <w:trPr>
          <w:trHeight w:val="202"/>
        </w:trPr>
        <w:tc>
          <w:tcPr>
            <w:tcW w:w="740" w:type="dxa"/>
            <w:vAlign w:val="bottom"/>
          </w:tcPr>
          <w:p>
            <w:pPr>
              <w:spacing w:after="0" w:line="202" w:lineRule="exact"/>
              <w:rPr>
                <w:sz w:val="20"/>
                <w:szCs w:val="20"/>
                <w:color w:val="auto"/>
              </w:rPr>
            </w:pPr>
            <w:r>
              <w:rPr>
                <w:rFonts w:ascii="Arial" w:cs="Arial" w:eastAsia="Arial" w:hAnsi="Arial"/>
                <w:sz w:val="18"/>
                <w:szCs w:val="18"/>
                <w:color w:val="auto"/>
              </w:rPr>
              <w:t>(k)(1)</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Form of Administration Agreement between Registrant and PennantPark Investment Administration, LLC</w:t>
            </w:r>
            <w:r>
              <w:rPr>
                <w:rFonts w:ascii="Arial" w:cs="Arial" w:eastAsia="Arial" w:hAnsi="Arial"/>
                <w:sz w:val="22"/>
                <w:szCs w:val="22"/>
                <w:color w:val="auto"/>
                <w:vertAlign w:val="superscript"/>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10600" w:type="dxa"/>
            <w:vAlign w:val="bottom"/>
          </w:tcPr>
          <w:p>
            <w:pPr>
              <w:ind w:left="300"/>
              <w:spacing w:after="0"/>
              <w:rPr>
                <w:sz w:val="20"/>
                <w:szCs w:val="20"/>
                <w:color w:val="auto"/>
              </w:rPr>
            </w:pPr>
            <w:r>
              <w:rPr>
                <w:rFonts w:ascii="Arial" w:cs="Arial" w:eastAsia="Arial" w:hAnsi="Arial"/>
                <w:sz w:val="18"/>
                <w:szCs w:val="18"/>
                <w:color w:val="auto"/>
              </w:rPr>
              <w:t>Form of Certificate of Appointment between Registrant and American Stock Transfer and Trust, as transfer agent</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10600" w:type="dxa"/>
            <w:vAlign w:val="bottom"/>
          </w:tcPr>
          <w:p>
            <w:pPr>
              <w:ind w:left="300"/>
              <w:spacing w:after="0" w:line="217" w:lineRule="exact"/>
              <w:rPr>
                <w:sz w:val="20"/>
                <w:szCs w:val="20"/>
                <w:color w:val="auto"/>
              </w:rPr>
            </w:pPr>
            <w:r>
              <w:rPr>
                <w:rFonts w:ascii="Arial" w:cs="Arial" w:eastAsia="Arial" w:hAnsi="Arial"/>
                <w:sz w:val="18"/>
                <w:szCs w:val="18"/>
                <w:color w:val="auto"/>
              </w:rPr>
              <w:t>Trademark License Agreement between the Registrant and PennantPark Investment Advisers, LLC</w:t>
            </w:r>
            <w:r>
              <w:rPr>
                <w:rFonts w:ascii="Arial" w:cs="Arial" w:eastAsia="Arial" w:hAnsi="Arial"/>
                <w:sz w:val="22"/>
                <w:szCs w:val="22"/>
                <w:color w:val="auto"/>
                <w:vertAlign w:val="superscript"/>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10600" w:type="dxa"/>
            <w:vAlign w:val="bottom"/>
          </w:tcPr>
          <w:p>
            <w:pPr>
              <w:ind w:left="300"/>
              <w:spacing w:after="0" w:line="217" w:lineRule="exact"/>
              <w:rPr>
                <w:sz w:val="20"/>
                <w:szCs w:val="20"/>
                <w:color w:val="auto"/>
              </w:rPr>
            </w:pPr>
            <w:r>
              <w:rPr>
                <w:rFonts w:ascii="Arial" w:cs="Arial" w:eastAsia="Arial" w:hAnsi="Arial"/>
                <w:sz w:val="18"/>
                <w:szCs w:val="18"/>
                <w:color w:val="auto"/>
              </w:rPr>
              <w:t>Credit Agreement between the Registrant and Bear Stearns Investment Products Inc.</w:t>
            </w:r>
            <w:r>
              <w:rPr>
                <w:rFonts w:ascii="Arial" w:cs="Arial" w:eastAsia="Arial" w:hAnsi="Arial"/>
                <w:sz w:val="22"/>
                <w:szCs w:val="22"/>
                <w:color w:val="auto"/>
                <w:vertAlign w:val="superscript"/>
              </w:rPr>
              <w:t>(1)</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(k)(5)</w:t>
            </w:r>
          </w:p>
        </w:tc>
        <w:tc>
          <w:tcPr>
            <w:tcW w:w="10600" w:type="dxa"/>
            <w:vAlign w:val="bottom"/>
          </w:tcPr>
          <w:p>
            <w:pPr>
              <w:ind w:left="300"/>
              <w:spacing w:after="0" w:line="217" w:lineRule="exact"/>
              <w:rPr>
                <w:sz w:val="20"/>
                <w:szCs w:val="20"/>
                <w:color w:val="auto"/>
              </w:rPr>
            </w:pPr>
            <w:r>
              <w:rPr>
                <w:rFonts w:ascii="Arial" w:cs="Arial" w:eastAsia="Arial" w:hAnsi="Arial"/>
                <w:sz w:val="18"/>
                <w:szCs w:val="18"/>
                <w:color w:val="auto"/>
              </w:rPr>
              <w:t>Amendment to Credit Agreement between Registrant and Bear Stearns Investment Products Inc.</w:t>
            </w:r>
            <w:r>
              <w:rPr>
                <w:rFonts w:ascii="Arial" w:cs="Arial" w:eastAsia="Arial" w:hAnsi="Arial"/>
                <w:sz w:val="22"/>
                <w:szCs w:val="22"/>
                <w:color w:val="auto"/>
                <w:vertAlign w:val="superscript"/>
              </w:rPr>
              <w:t>(2)</w:t>
            </w:r>
          </w:p>
        </w:tc>
      </w:tr>
      <w:tr>
        <w:trPr>
          <w:trHeight w:val="216"/>
        </w:trPr>
        <w:tc>
          <w:tcPr>
            <w:tcW w:w="74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w w:val="87"/>
              </w:rPr>
              <w:t>Form of Registration Rights Agreement among the Registrant and the purchasers in a private placement of 320,000 shares of common stock of the</w:t>
            </w:r>
          </w:p>
        </w:tc>
      </w:tr>
      <w:tr>
        <w:trPr>
          <w:trHeight w:val="230"/>
        </w:trPr>
        <w:tc>
          <w:tcPr>
            <w:tcW w:w="740" w:type="dxa"/>
            <w:vAlign w:val="bottom"/>
          </w:tcPr>
          <w:p>
            <w:pPr>
              <w:spacing w:after="0"/>
              <w:rPr>
                <w:sz w:val="20"/>
                <w:szCs w:val="20"/>
                <w:color w:val="auto"/>
              </w:rPr>
            </w:pPr>
          </w:p>
        </w:tc>
        <w:tc>
          <w:tcPr>
            <w:tcW w:w="10600" w:type="dxa"/>
            <w:vAlign w:val="bottom"/>
          </w:tcPr>
          <w:p>
            <w:pPr>
              <w:ind w:left="520"/>
              <w:spacing w:after="0" w:line="230" w:lineRule="exact"/>
              <w:rPr>
                <w:sz w:val="20"/>
                <w:szCs w:val="20"/>
                <w:color w:val="auto"/>
              </w:rPr>
            </w:pPr>
            <w:r>
              <w:rPr>
                <w:rFonts w:ascii="Arial" w:cs="Arial" w:eastAsia="Arial" w:hAnsi="Arial"/>
                <w:sz w:val="18"/>
                <w:szCs w:val="18"/>
                <w:color w:val="auto"/>
              </w:rPr>
              <w:t>Registrant</w:t>
            </w:r>
            <w:r>
              <w:rPr>
                <w:rFonts w:ascii="Arial" w:cs="Arial" w:eastAsia="Arial" w:hAnsi="Arial"/>
                <w:sz w:val="22"/>
                <w:szCs w:val="22"/>
                <w:color w:val="auto"/>
                <w:vertAlign w:val="superscript"/>
              </w:rPr>
              <w:t>(2)</w:t>
            </w:r>
          </w:p>
        </w:tc>
      </w:tr>
    </w:tbl>
    <w:p>
      <w:pPr>
        <w:ind w:left="1040" w:hanging="1032"/>
        <w:spacing w:after="0" w:line="205"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Opinion and consent of Venable LLP, special Maryland counsel for Registrant</w:t>
      </w:r>
      <w:r>
        <w:rPr>
          <w:rFonts w:ascii="Arial" w:cs="Arial" w:eastAsia="Arial" w:hAnsi="Arial"/>
          <w:sz w:val="22"/>
          <w:szCs w:val="22"/>
          <w:color w:val="auto"/>
          <w:vertAlign w:val="superscript"/>
        </w:rPr>
        <w:t>(2)</w:t>
      </w: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Consent of KPMG LLP</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Code of Ethics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461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Previously filed.</w:t>
      </w:r>
    </w:p>
    <w:p>
      <w:pPr>
        <w:ind w:left="340" w:hanging="332"/>
        <w:spacing w:after="0"/>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To be filed by amendment.</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26.</w:t>
            </w:r>
          </w:p>
        </w:tc>
        <w:tc>
          <w:tcPr>
            <w:tcW w:w="9160" w:type="dxa"/>
            <w:vAlign w:val="bottom"/>
          </w:tcPr>
          <w:p>
            <w:pPr>
              <w:ind w:left="160"/>
              <w:spacing w:after="0"/>
              <w:rPr>
                <w:sz w:val="20"/>
                <w:szCs w:val="20"/>
                <w:color w:val="auto"/>
              </w:rPr>
            </w:pPr>
            <w:r>
              <w:rPr>
                <w:rFonts w:ascii="Arial" w:cs="Arial" w:eastAsia="Arial" w:hAnsi="Arial"/>
                <w:sz w:val="18"/>
                <w:szCs w:val="18"/>
                <w:b w:val="1"/>
                <w:bCs w:val="1"/>
                <w:color w:val="auto"/>
              </w:rPr>
              <w:t>MARKETING ARRANGEMENTS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020" w:type="dxa"/>
            <w:vAlign w:val="bottom"/>
            <w:gridSpan w:val="2"/>
          </w:tcPr>
          <w:p>
            <w:pPr>
              <w:ind w:left="440"/>
              <w:spacing w:after="0"/>
              <w:rPr>
                <w:sz w:val="20"/>
                <w:szCs w:val="20"/>
                <w:color w:val="auto"/>
              </w:rPr>
            </w:pPr>
            <w:r>
              <w:rPr>
                <w:rFonts w:ascii="Arial" w:cs="Arial" w:eastAsia="Arial" w:hAnsi="Arial"/>
                <w:sz w:val="18"/>
                <w:szCs w:val="18"/>
                <w:color w:val="auto"/>
                <w:w w:val="94"/>
              </w:rPr>
              <w:t>The information contained under the heading “Underwriting” on this Registration Statement is incorporated herein by reference.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27.</w:t>
            </w:r>
          </w:p>
        </w:tc>
        <w:tc>
          <w:tcPr>
            <w:tcW w:w="9160" w:type="dxa"/>
            <w:vAlign w:val="bottom"/>
          </w:tcPr>
          <w:p>
            <w:pPr>
              <w:ind w:left="160"/>
              <w:spacing w:after="0"/>
              <w:rPr>
                <w:sz w:val="20"/>
                <w:szCs w:val="20"/>
                <w:color w:val="auto"/>
              </w:rPr>
            </w:pPr>
            <w:r>
              <w:rPr>
                <w:rFonts w:ascii="Arial" w:cs="Arial" w:eastAsia="Arial" w:hAnsi="Arial"/>
                <w:sz w:val="18"/>
                <w:szCs w:val="18"/>
                <w:b w:val="1"/>
                <w:bCs w:val="1"/>
                <w:color w:val="auto"/>
              </w:rPr>
              <w:t>OTHER EXPENSES OF ISSUANCE AND DISTRIBUTION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Nasdaq Global Market Listing Fee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 filing fee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470,000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9"/>
              </w:rPr>
              <w:t>160,000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144,103</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gridSpan w:val="2"/>
            <w:vMerge w:val="continue"/>
          </w:tcPr>
          <w:p>
            <w:pPr>
              <w:spacing w:after="0"/>
              <w:rPr>
                <w:sz w:val="19"/>
                <w:szCs w:val="19"/>
                <w:color w:val="auto"/>
              </w:rPr>
            </w:pPr>
          </w:p>
        </w:tc>
        <w:tc>
          <w:tcPr>
            <w:tcW w:w="9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9"/>
              </w:rPr>
              <w:t>900,000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These amounts are estimates.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of the expenses set forth above shall be borne by the Company.</w:t>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Immediately prior to this offering, PennantPark Investment Advisers, LLC, a Delaware limited liability company, will own shares of the Registrant, representing 100% of the common stock outstanding. Following the completion of this offering, PennantPark Investment Advisers, LLC’s share ownership is expected to represent less than 1% of the common stock outstanding.</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Company’s common stock as of March 21,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3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5"/>
        </w:trPr>
        <w:tc>
          <w:tcPr>
            <w:tcW w:w="912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6"/>
              </w:rPr>
              <w:t>Record 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3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8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a director or officer and at our request, serves or has served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another corporation, real estate investment trust, partnership, joint venture, trust, employee benefit plan or other enterprise as a director, officer, partner or trustee and who is made, or threatened to be made, a party to the proceeding by reason of his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office.</w:t>
      </w:r>
    </w:p>
    <w:p>
      <w:pPr>
        <w:spacing w:after="0" w:line="9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The Investment Management Agreements provide that, absent willful misfeasance, bad faith or gross negligence in the performance of its duties or by reason of the reckless disregard of its duties and obligations, PennantPark Investment Advisers, LLC (the “Adviser”) and its officers, managers,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the Adviser’s services under the Investment Management Agreements or otherwise as an investment adviser of the Company.</w:t>
      </w:r>
    </w:p>
    <w:p>
      <w:pPr>
        <w:spacing w:after="0" w:line="8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LLC and its officers, manager,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PennantPark Investment Administration, LLC’s services under the Administration Agreement or otherwise as administrator for the Company.</w:t>
      </w:r>
    </w:p>
    <w:p>
      <w:pPr>
        <w:spacing w:after="0" w:line="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Underwriters’ Agreement provides that each Underwriter severally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1940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managing Underwriter to the Company expressly for use in this Registration Statement (or in the Registration Statement as amended by any post-effective amendment hereof by the Company) or in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Prospectus contained in this Registration Statement, or arises out of or is based upon any omission or alleged omission to state a material fact in connection with such information required to be stated in this Registration Statement or such Prospectus or necessary to make such information not misleading.</w:t>
      </w:r>
    </w:p>
    <w:p>
      <w:pPr>
        <w:spacing w:after="0" w:line="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6"/>
          <w:szCs w:val="16"/>
          <w:b w:val="1"/>
          <w:bCs w:val="1"/>
          <w:color w:val="auto"/>
        </w:rPr>
        <w:t>BUSINESS AND OTHER CONNECTIONS OF INVESTMENT ADVISER</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Part A of this Registration Statement in the sections entitled “Management.” Additional information regarding the Adviser and its officers and directors is set forth in its Form ADV, as filed with the Securities and Exchange Commission (SEC File No. 801-62840), and is incorporated herein by reference.</w:t>
      </w:r>
    </w:p>
    <w:p>
      <w:pPr>
        <w:spacing w:after="0" w:line="21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6"/>
          <w:szCs w:val="16"/>
          <w:b w:val="1"/>
          <w:bCs w:val="1"/>
          <w:color w:val="auto"/>
        </w:rPr>
        <w:t>LOCATION OF ACCOUNTS AND RECORDS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P.O. Box 922, Wall Street Station, New York, NY 10269;</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Custodian, LaSalle Bank National Association, 135 S. LaSalle Street, Suite 1625, Chicago, IL 60603;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Adviser, PennantPark Investment Advisers, LLC, 445 Park Avenue,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6"/>
          <w:szCs w:val="16"/>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113"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144" w:lineRule="exact"/>
        <w:rPr>
          <w:rFonts w:ascii="Arial" w:cs="Arial" w:eastAsia="Arial" w:hAnsi="Arial"/>
          <w:sz w:val="18"/>
          <w:szCs w:val="18"/>
          <w:color w:val="auto"/>
        </w:rPr>
      </w:pPr>
    </w:p>
    <w:p>
      <w:pPr>
        <w:ind w:left="460" w:firstLine="443"/>
        <w:spacing w:after="0" w:line="306" w:lineRule="auto"/>
        <w:tabs>
          <w:tab w:leader="none" w:pos="1137" w:val="left"/>
        </w:tabs>
        <w:numPr>
          <w:ilvl w:val="1"/>
          <w:numId w:val="70"/>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79" w:lineRule="exact"/>
        <w:rPr>
          <w:rFonts w:ascii="Arial" w:cs="Arial" w:eastAsia="Arial" w:hAnsi="Arial"/>
          <w:sz w:val="16"/>
          <w:szCs w:val="16"/>
          <w:color w:val="auto"/>
        </w:rPr>
      </w:pPr>
    </w:p>
    <w:p>
      <w:pPr>
        <w:jc w:val="both"/>
        <w:ind w:left="460" w:right="80" w:firstLine="443"/>
        <w:spacing w:after="0" w:line="259" w:lineRule="auto"/>
        <w:tabs>
          <w:tab w:leader="none" w:pos="1147"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0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Pursuant to the requirements of the Securities Act of 1933 and the Registrant has duly caused this Amendment No. 2 to the Registration Statement on Form</w:t>
      </w:r>
    </w:p>
    <w:p>
      <w:pPr>
        <w:spacing w:after="0" w:line="57"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N-2 to be signed to be signed on its behalf by the undersigned, thereunto duly authorized, in the City of New York and in the State of New York, on the 29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P</w:t>
      </w:r>
      <w:r>
        <w:rPr>
          <w:rFonts w:ascii="Arial" w:cs="Arial" w:eastAsia="Arial" w:hAnsi="Arial"/>
          <w:sz w:val="14"/>
          <w:szCs w:val="14"/>
          <w:color w:val="auto"/>
        </w:rPr>
        <w:t>ARK</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Arthur H. Penn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Chairman of</w:t>
      </w:r>
    </w:p>
    <w:p>
      <w:pPr>
        <w:jc w:val="center"/>
        <w:ind w:left="6860"/>
        <w:spacing w:after="0"/>
        <w:rPr>
          <w:sz w:val="20"/>
          <w:szCs w:val="20"/>
          <w:color w:val="auto"/>
        </w:rPr>
      </w:pPr>
      <w:r>
        <w:rPr>
          <w:rFonts w:ascii="Arial" w:cs="Arial" w:eastAsia="Arial" w:hAnsi="Arial"/>
          <w:sz w:val="14"/>
          <w:szCs w:val="14"/>
          <w:b w:val="1"/>
          <w:bCs w:val="1"/>
          <w:color w:val="auto"/>
        </w:rPr>
        <w:t>the Board and Director (Principal Executive Officer)</w:t>
      </w:r>
    </w:p>
    <w:p>
      <w:pPr>
        <w:spacing w:after="0" w:line="127" w:lineRule="exact"/>
        <w:rPr>
          <w:sz w:val="20"/>
          <w:szCs w:val="20"/>
          <w:color w:val="auto"/>
        </w:rPr>
      </w:pPr>
    </w:p>
    <w:p>
      <w:pPr>
        <w:ind w:firstLine="456"/>
        <w:spacing w:after="0" w:line="304" w:lineRule="auto"/>
        <w:rPr>
          <w:sz w:val="20"/>
          <w:szCs w:val="20"/>
          <w:color w:val="auto"/>
        </w:rPr>
      </w:pPr>
      <w:r>
        <w:rPr>
          <w:rFonts w:ascii="Arial" w:cs="Arial" w:eastAsia="Arial" w:hAnsi="Arial"/>
          <w:sz w:val="18"/>
          <w:szCs w:val="18"/>
          <w:color w:val="auto"/>
        </w:rPr>
        <w:t>Pursuant to the requirements of the Securities Exchange Act of 1933, this Amendment No. 2 to the Registration Statement has been signed by the following persons on behalf of the Registrant and in the capacities and on the dates indicated on the 29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w:t>
      </w:r>
    </w:p>
    <w:p>
      <w:pPr>
        <w:spacing w:after="0" w:line="34" w:lineRule="exact"/>
        <w:rPr>
          <w:sz w:val="20"/>
          <w:szCs w:val="20"/>
          <w:color w:val="auto"/>
        </w:rPr>
      </w:pPr>
    </w:p>
    <w:p>
      <w:pPr>
        <w:ind w:left="246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Borders>
              <w:bottom w:val="single" w:sz="8" w:color="auto"/>
            </w:tcBorders>
          </w:tcPr>
          <w:p>
            <w:pPr>
              <w:jc w:val="center"/>
              <w:ind w:right="2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5600" w:type="dxa"/>
            <w:vAlign w:val="bottom"/>
          </w:tcPr>
          <w:p>
            <w:pPr>
              <w:ind w:left="900"/>
              <w:spacing w:after="0"/>
              <w:rPr>
                <w:sz w:val="20"/>
                <w:szCs w:val="20"/>
                <w:color w:val="auto"/>
              </w:rPr>
            </w:pPr>
            <w:r>
              <w:rPr>
                <w:rFonts w:ascii="Arial" w:cs="Arial" w:eastAsia="Arial" w:hAnsi="Arial"/>
                <w:sz w:val="18"/>
                <w:szCs w:val="18"/>
                <w:color w:val="auto"/>
              </w:rPr>
              <w:t>Chief Executive Officer and Chairman of the Board</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ind w:right="22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5600" w:type="dxa"/>
            <w:vAlign w:val="bottom"/>
          </w:tcPr>
          <w:p>
            <w:pPr>
              <w:ind w:left="900"/>
              <w:spacing w:after="0"/>
              <w:rPr>
                <w:sz w:val="20"/>
                <w:szCs w:val="20"/>
                <w:color w:val="auto"/>
              </w:rPr>
            </w:pPr>
            <w:r>
              <w:rPr>
                <w:rFonts w:ascii="Arial" w:cs="Arial" w:eastAsia="Arial" w:hAnsi="Arial"/>
                <w:sz w:val="18"/>
                <w:szCs w:val="18"/>
                <w:color w:val="auto"/>
                <w:w w:val="90"/>
              </w:rPr>
              <w:t>Chief Financial Officer and Treasurer (Principal Financial Officer)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4"/>
              </w:rPr>
              <w:t>Aviv Efrat</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7"/>
              </w:rPr>
              <w:t>Adam K. Bernstein</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6"/>
              </w:rPr>
              <w:t>Marshall Brozost</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8"/>
              </w:rPr>
              <w:t>Jeffrey Flug</w:t>
            </w:r>
          </w:p>
        </w:tc>
        <w:tc>
          <w:tcPr>
            <w:tcW w:w="5600" w:type="dxa"/>
            <w:vAlign w:val="bottom"/>
          </w:tcPr>
          <w:p>
            <w:pPr>
              <w:spacing w:after="0"/>
              <w:rPr>
                <w:sz w:val="14"/>
                <w:szCs w:val="14"/>
                <w:color w:val="auto"/>
              </w:rPr>
            </w:pPr>
          </w:p>
        </w:tc>
      </w:tr>
      <w:tr>
        <w:trPr>
          <w:trHeight w:val="419"/>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600" w:type="dxa"/>
            <w:vAlign w:val="bottom"/>
          </w:tcPr>
          <w:p>
            <w:pPr>
              <w:ind w:left="900"/>
              <w:spacing w:after="0"/>
              <w:rPr>
                <w:sz w:val="20"/>
                <w:szCs w:val="20"/>
                <w:color w:val="auto"/>
              </w:rPr>
            </w:pPr>
            <w:r>
              <w:rPr>
                <w:rFonts w:ascii="Arial" w:cs="Arial" w:eastAsia="Arial" w:hAnsi="Arial"/>
                <w:sz w:val="18"/>
                <w:szCs w:val="18"/>
                <w:color w:val="auto"/>
              </w:rPr>
              <w:t>Director</w:t>
            </w:r>
          </w:p>
        </w:tc>
      </w:tr>
      <w:tr>
        <w:trPr>
          <w:trHeight w:val="169"/>
        </w:trPr>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0"/>
              </w:rPr>
              <w:t>Samuel L. Katz</w:t>
            </w:r>
          </w:p>
        </w:tc>
        <w:tc>
          <w:tcPr>
            <w:tcW w:w="56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461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580" w:right="960" w:hanging="5572"/>
        <w:spacing w:after="0" w:line="440" w:lineRule="auto"/>
        <w:tabs>
          <w:tab w:leader="none" w:pos="222"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Signed by Arthur H. Penn pursuant to a power of attorney signed by each individual and filed with this Registration Statement on March 5, 2007. </w:t>
      </w:r>
      <w:r>
        <w:rPr>
          <w:rFonts w:ascii="Arial" w:cs="Arial" w:eastAsia="Arial" w:hAnsi="Arial"/>
          <w:sz w:val="18"/>
          <w:szCs w:val="18"/>
          <w:color w:val="auto"/>
        </w:rPr>
        <w:t>C-6</w:t>
      </w:r>
    </w:p>
    <w:p>
      <w:pPr>
        <w:sectPr>
          <w:pgSz w:w="11900" w:h="16838" w:orient="portrait"/>
          <w:cols w:equalWidth="0" w:num="1">
            <w:col w:w="11420"/>
          </w:cols>
          <w:pgMar w:left="240" w:top="459" w:right="2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color w:val="FFFFFF"/>
          <w:vertAlign w:val="superscript"/>
        </w:rPr>
        <w:t>TEN</w:t>
      </w:r>
      <w:r>
        <w:rPr>
          <w:rFonts w:ascii="Arial" w:cs="Arial" w:eastAsia="Arial" w:hAnsi="Arial"/>
          <w:sz w:val="11"/>
          <w:szCs w:val="11"/>
          <w:color w:val="FFFFFF"/>
        </w:rPr>
        <w:t>hefollowingCOM-asabbreviations,tenantsin</w:t>
      </w:r>
      <w:r>
        <w:rPr>
          <w:rFonts w:ascii="Arial" w:cs="Arial" w:eastAsia="Arial" w:hAnsi="Arial"/>
          <w:sz w:val="21"/>
          <w:szCs w:val="21"/>
          <w:color w:val="FFFFFF"/>
          <w:vertAlign w:val="subscript"/>
        </w:rPr>
        <w:t>common</w:t>
      </w:r>
      <w:r>
        <w:rPr>
          <w:rFonts w:ascii="Arial" w:cs="Arial" w:eastAsia="Arial" w:hAnsi="Arial"/>
          <w:sz w:val="11"/>
          <w:szCs w:val="11"/>
          <w:color w:val="FFFFFF"/>
        </w:rPr>
        <w:t>when used in the inscription on the face of this certificate, shall be construed as though they were written out in full according to applicable laws or regulations:</w:t>
      </w:r>
    </w:p>
    <w:p>
      <w:pPr>
        <w:ind w:left="300"/>
        <w:spacing w:after="0" w:line="187" w:lineRule="auto"/>
        <w:rPr>
          <w:sz w:val="20"/>
          <w:szCs w:val="20"/>
          <w:color w:val="auto"/>
        </w:rPr>
      </w:pPr>
      <w:r>
        <w:rPr>
          <w:rFonts w:ascii="Arial" w:cs="Arial" w:eastAsia="Arial" w:hAnsi="Arial"/>
          <w:sz w:val="9"/>
          <w:szCs w:val="9"/>
          <w:color w:val="FFFFFF"/>
        </w:rPr>
        <w:t>ENT - as tenants by the entireties</w:t>
      </w:r>
    </w:p>
    <w:p>
      <w:pPr>
        <w:spacing w:after="0"/>
        <w:rPr>
          <w:sz w:val="20"/>
          <w:szCs w:val="20"/>
          <w:color w:val="auto"/>
        </w:rPr>
      </w:pPr>
      <w:r>
        <w:rPr>
          <w:rFonts w:ascii="Arial" w:cs="Arial" w:eastAsia="Arial" w:hAnsi="Arial"/>
          <w:sz w:val="3"/>
          <w:szCs w:val="3"/>
          <w:color w:val="FFFFFF"/>
        </w:rPr>
        <w:t>UNIFJTTENTRANSFERS-asjointtenantsMINwithACTright-Custodianofsurvivorship and not as tenants in common</w:t>
      </w:r>
    </w:p>
    <w:p>
      <w:pPr>
        <w:spacing w:after="0" w:line="194" w:lineRule="auto"/>
        <w:rPr>
          <w:sz w:val="20"/>
          <w:szCs w:val="20"/>
          <w:color w:val="auto"/>
        </w:rPr>
      </w:pPr>
      <w:r>
        <w:rPr>
          <w:rFonts w:ascii="Arial" w:cs="Arial" w:eastAsia="Arial" w:hAnsi="Arial"/>
          <w:sz w:val="5"/>
          <w:szCs w:val="5"/>
          <w:color w:val="FFFFFF"/>
        </w:rPr>
        <w:t>(Cust) (Minor)</w:t>
      </w:r>
    </w:p>
    <w:p>
      <w:pPr>
        <w:spacing w:after="0" w:line="188" w:lineRule="auto"/>
        <w:rPr>
          <w:sz w:val="20"/>
          <w:szCs w:val="20"/>
          <w:color w:val="auto"/>
        </w:rPr>
      </w:pPr>
      <w:r>
        <w:rPr>
          <w:rFonts w:ascii="Arial" w:cs="Arial" w:eastAsia="Arial" w:hAnsi="Arial"/>
          <w:sz w:val="9"/>
          <w:szCs w:val="9"/>
          <w:color w:val="FFFFFF"/>
        </w:rPr>
        <w:t>under Uniform Transfers to Minors Act (State)</w:t>
      </w:r>
    </w:p>
    <w:p>
      <w:pPr>
        <w:spacing w:after="0"/>
        <w:rPr>
          <w:sz w:val="20"/>
          <w:szCs w:val="20"/>
          <w:color w:val="auto"/>
        </w:rPr>
      </w:pPr>
      <w:r>
        <w:rPr>
          <w:rFonts w:ascii="Arial" w:cs="Arial" w:eastAsia="Arial" w:hAnsi="Arial"/>
          <w:sz w:val="3"/>
          <w:szCs w:val="3"/>
          <w:color w:val="FFFFFF"/>
        </w:rPr>
        <w:t>ForAdditionalvaluereceivedabbreviationsherebymaysell,alsoassignbe usedandtransferthough untonotin the above list</w:t>
      </w:r>
    </w:p>
    <w:p>
      <w:pPr>
        <w:spacing w:after="0" w:line="194" w:lineRule="auto"/>
        <w:rPr>
          <w:sz w:val="20"/>
          <w:szCs w:val="20"/>
          <w:color w:val="auto"/>
        </w:rPr>
      </w:pPr>
      <w:r>
        <w:rPr>
          <w:rFonts w:ascii="Arial" w:cs="Arial" w:eastAsia="Arial" w:hAnsi="Arial"/>
          <w:sz w:val="5"/>
          <w:szCs w:val="5"/>
          <w:color w:val="FFFFFF"/>
          <w:vertAlign w:val="subscript"/>
        </w:rPr>
        <w:t>(PLEASE</w:t>
      </w:r>
      <w:r>
        <w:rPr>
          <w:rFonts w:ascii="Arial" w:cs="Arial" w:eastAsia="Arial" w:hAnsi="Arial"/>
          <w:sz w:val="3"/>
          <w:szCs w:val="3"/>
          <w:color w:val="FFFFFF"/>
        </w:rPr>
        <w:t>INSERT SOCIAL SECURITY OR OTHER IDENTIFYING NUMBER OF ASSIGNEE</w:t>
      </w:r>
    </w:p>
    <w:p>
      <w:pPr>
        <w:ind w:left="580"/>
        <w:spacing w:after="0"/>
        <w:rPr>
          <w:sz w:val="20"/>
          <w:szCs w:val="20"/>
          <w:color w:val="auto"/>
        </w:rPr>
      </w:pPr>
      <w:r>
        <w:rPr>
          <w:rFonts w:ascii="Arial" w:cs="Arial" w:eastAsia="Arial" w:hAnsi="Arial"/>
          <w:sz w:val="3"/>
          <w:szCs w:val="3"/>
          <w:color w:val="FFFFFF"/>
        </w:rPr>
        <w:t>PRINT OR TYPEWRITE NAME AND ADDRESS INCLUDING POSTAL ZIP CODE OF ASSIGNEE)</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Shares represented by the within Certificate, and do hereby irrevocably constitute and appoint Attorney to transfer the said Shares on the books of the within named Corporation with full power of substitution in the premises.</w:t>
      </w:r>
    </w:p>
    <w:p>
      <w:pPr>
        <w:spacing w:after="0"/>
        <w:rPr>
          <w:sz w:val="20"/>
          <w:szCs w:val="20"/>
          <w:color w:val="auto"/>
        </w:rPr>
      </w:pPr>
      <w:r>
        <w:rPr>
          <w:rFonts w:ascii="Arial" w:cs="Arial" w:eastAsia="Arial" w:hAnsi="Arial"/>
          <w:sz w:val="3"/>
          <w:szCs w:val="3"/>
          <w:color w:val="FFFFFF"/>
        </w:rPr>
        <w:t>Dated</w:t>
      </w:r>
    </w:p>
    <w:p>
      <w:pPr>
        <w:spacing w:after="0" w:line="194" w:lineRule="auto"/>
        <w:rPr>
          <w:sz w:val="20"/>
          <w:szCs w:val="20"/>
          <w:color w:val="auto"/>
        </w:rPr>
      </w:pPr>
      <w:r>
        <w:rPr>
          <w:rFonts w:ascii="Arial" w:cs="Arial" w:eastAsia="Arial" w:hAnsi="Arial"/>
          <w:sz w:val="5"/>
          <w:szCs w:val="5"/>
          <w:color w:val="FFFFFF"/>
        </w:rPr>
        <w:t>In presence of</w:t>
      </w:r>
    </w:p>
    <w:p>
      <w:pPr>
        <w:spacing w:after="0" w:line="211" w:lineRule="auto"/>
        <w:rPr>
          <w:sz w:val="20"/>
          <w:szCs w:val="20"/>
          <w:color w:val="auto"/>
        </w:rPr>
      </w:pPr>
      <w:r>
        <w:rPr>
          <w:rFonts w:ascii="Arial" w:cs="Arial" w:eastAsia="Arial" w:hAnsi="Arial"/>
          <w:sz w:val="2"/>
          <w:szCs w:val="2"/>
          <w:color w:val="FFFFFF"/>
        </w:rPr>
        <w:t>NOTICE: THE SIGNATURE</w:t>
      </w:r>
      <w:r>
        <w:rPr>
          <w:rFonts w:ascii="Arial" w:cs="Arial" w:eastAsia="Arial" w:hAnsi="Arial"/>
          <w:sz w:val="4"/>
          <w:szCs w:val="4"/>
          <w:color w:val="FFFFFF"/>
          <w:vertAlign w:val="subscript"/>
        </w:rPr>
        <w:t>ENLARGEMENT</w:t>
      </w:r>
      <w:r>
        <w:rPr>
          <w:rFonts w:ascii="Arial" w:cs="Arial" w:eastAsia="Arial" w:hAnsi="Arial"/>
          <w:sz w:val="2"/>
          <w:szCs w:val="2"/>
          <w:color w:val="FFFFFF"/>
        </w:rPr>
        <w:t>OTHIS ASSIGNMENT MUST CORRESPOND WITH THE NAME AS WRITTEN UPON THE FACE OF THE CERTIFICATE IN EVERY PARTICULAR WITHOUT</w:t>
      </w:r>
    </w:p>
    <w:p>
      <w:pPr>
        <w:spacing w:after="0"/>
        <w:tabs>
          <w:tab w:leader="none" w:pos="2120" w:val="left"/>
        </w:tabs>
        <w:rPr>
          <w:sz w:val="20"/>
          <w:szCs w:val="20"/>
          <w:color w:val="auto"/>
        </w:rPr>
      </w:pPr>
      <w:r>
        <w:rPr>
          <w:rFonts w:ascii="Arial" w:cs="Arial" w:eastAsia="Arial" w:hAnsi="Arial"/>
          <w:sz w:val="14"/>
          <w:szCs w:val="14"/>
          <w:color w:val="FFFFFF"/>
        </w:rPr>
        <w:t>ALTERATION OR</w:t>
      </w:r>
      <w:r>
        <w:rPr>
          <w:sz w:val="20"/>
          <w:szCs w:val="20"/>
          <w:color w:val="auto"/>
        </w:rPr>
        <w:tab/>
      </w:r>
      <w:r>
        <w:rPr>
          <w:rFonts w:ascii="Arial" w:cs="Arial" w:eastAsia="Arial" w:hAnsi="Arial"/>
          <w:sz w:val="12"/>
          <w:szCs w:val="12"/>
          <w:color w:val="FFFFFF"/>
        </w:rPr>
        <w:t>OR ANY CHANGE WHATEVER.</w:t>
      </w:r>
    </w:p>
    <w:p>
      <w:pPr>
        <w:sectPr>
          <w:pgSz w:w="11900" w:h="16838" w:orient="portrait"/>
          <w:cols w:equalWidth="0" w:num="1">
            <w:col w:w="11360"/>
          </w:cols>
          <w:pgMar w:left="240" w:top="1440" w:right="2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2241550</wp:posOffset>
            </wp:positionH>
            <wp:positionV relativeFrom="page">
              <wp:posOffset>88900</wp:posOffset>
            </wp:positionV>
            <wp:extent cx="3087370" cy="4718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3087370" cy="471805"/>
                    </a:xfrm>
                    <a:prstGeom prst="rect">
                      <a:avLst/>
                    </a:prstGeom>
                    <a:noFill/>
                  </pic:spPr>
                </pic:pic>
              </a:graphicData>
            </a:graphic>
          </wp:anchor>
        </w:drawing>
        <w:t>CERTIFICATE OF APPOINTMENT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w:t>
      </w:r>
    </w:p>
    <w:p>
      <w:pPr>
        <w:spacing w:after="0" w:line="9" w:lineRule="exact"/>
        <w:rPr>
          <w:sz w:val="20"/>
          <w:szCs w:val="20"/>
          <w:color w:val="auto"/>
        </w:rPr>
      </w:pPr>
    </w:p>
    <w:p>
      <w:pPr>
        <w:ind w:left="3740" w:hanging="188"/>
        <w:spacing w:after="0"/>
        <w:tabs>
          <w:tab w:leader="none" w:pos="374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TRUST COMPANY as</w:t>
      </w:r>
    </w:p>
    <w:p>
      <w:pPr>
        <w:spacing w:after="0" w:line="172" w:lineRule="exact"/>
        <w:rPr>
          <w:rFonts w:ascii="Arial" w:cs="Arial" w:eastAsia="Arial" w:hAnsi="Arial"/>
          <w:sz w:val="18"/>
          <w:szCs w:val="18"/>
          <w:b w:val="1"/>
          <w:bCs w:val="1"/>
          <w:color w:val="auto"/>
        </w:rPr>
      </w:pPr>
    </w:p>
    <w:p>
      <w:pPr>
        <w:ind w:left="2900" w:hanging="287"/>
        <w:spacing w:after="0" w:line="207" w:lineRule="exact"/>
        <w:tabs>
          <w:tab w:leader="none" w:pos="2900" w:val="left"/>
        </w:tabs>
        <w:numPr>
          <w:ilvl w:val="0"/>
          <w:numId w:val="7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TRANSFER AGENT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REGISTRAR</w:t>
      </w:r>
    </w:p>
    <w:p>
      <w:pPr>
        <w:sectPr>
          <w:pgSz w:w="11900" w:h="16838" w:orient="portrait"/>
          <w:cols w:equalWidth="0" w:num="1">
            <w:col w:w="9019"/>
          </w:cols>
          <w:pgMar w:left="1440" w:top="1030" w:right="1440" w:bottom="1440" w:gutter="0" w:footer="0" w:header="0"/>
        </w:sectPr>
      </w:pPr>
    </w:p>
    <w:bookmarkStart w:id="110" w:name="page111"/>
    <w:bookmarkEnd w:id="110"/>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Attached are true copies of the certificate of incorporation and bylaws (or such other comparable documents for non-corporate entities), as amended, of the Company.</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any provision of the certificate of incorporation or by-laws of the Corporation, any court or administrative order, or any other document, affects any transfer agency or registrar function or responsibility relating to the shares, attached is a statement of each such provision.</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shares issued and outstanding as of the date hereof, or to be issued during the term of this appointment, are/shall be duly authorized, validly issued, fully paid and non-assessable. All such shares are (or, in the case of shares that have not yet been issued, will be) duly registered under the Securities Act of 1933 and the Securities Act of 1934. Any shares not so registered were or shall be issued or transferred in a transaction or series of transactions exempt from the registration provisions of the relevant Act, and in each such issuance or transfer, the Corporation was or shall be so advised by its legal counsel and all shares issued or to be issued bear or shall bear all appropriate legends.</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American Stock Transfer &amp; Trust Company (“AST”) is hereby appointed as transfer agent and registrar for the shares/units of the Company set forth above, in accordance with the general practices of AST and its regulations set forth in the pamphlet entitled Regulations of American Stock Transfer &amp; Trust Company, a copy of which we have received and reviewed.</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initial term of this Certificate of Appointment shall be three (3) years from the date of this Certificate of Appointment and the appointment shall automatically be renewed for further three years successive terms without further action of the parties, unless written notice is provided by either party at least 90 days prior to the end of the initial or any subsequent three year period. The term of this appointment shall be governed in accordance with this paragraph, notwithstanding the cessation of active trading in the capital stock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will advise AST promptly of any change in any information contained in this Certificate by a supplemental Certificate or otherwise in writing.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spacing w:after="0"/>
              <w:rPr>
                <w:sz w:val="20"/>
                <w:szCs w:val="20"/>
                <w:color w:val="auto"/>
              </w:rPr>
            </w:pPr>
            <w:r>
              <w:rPr>
                <w:rFonts w:ascii="Arial" w:cs="Arial" w:eastAsia="Arial" w:hAnsi="Arial"/>
                <w:sz w:val="18"/>
                <w:szCs w:val="18"/>
                <w:color w:val="auto"/>
                <w:w w:val="97"/>
              </w:rPr>
              <w:t>WITNESS my hand this   day of</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2540</wp:posOffset>
            </wp:positionV>
            <wp:extent cx="26327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2540</wp:posOffset>
            </wp:positionV>
            <wp:extent cx="26327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bookmarkStart w:id="111" w:name="page112"/>
    <w:bookmarkEnd w:id="11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_________________________________________________________________________________________(the “Company”)</w:t>
      </w:r>
    </w:p>
    <w:p>
      <w:pPr>
        <w:spacing w:after="0" w:line="3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of corporation)</w:t>
      </w:r>
    </w:p>
    <w:p>
      <w:pPr>
        <w:spacing w:after="0" w:line="219"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___________________________________________________________________________________________________</w:t>
      </w:r>
    </w:p>
    <w:p>
      <w:pPr>
        <w:spacing w:after="0" w:line="38" w:lineRule="exact"/>
        <w:rPr>
          <w:rFonts w:ascii="Arial" w:cs="Arial" w:eastAsia="Arial" w:hAnsi="Arial"/>
          <w:sz w:val="16"/>
          <w:szCs w:val="16"/>
          <w:color w:val="auto"/>
        </w:rPr>
      </w:pPr>
    </w:p>
    <w:p>
      <w:pPr>
        <w:ind w:left="4980"/>
        <w:spacing w:after="0"/>
        <w:rPr>
          <w:rFonts w:ascii="Arial" w:cs="Arial" w:eastAsia="Arial" w:hAnsi="Arial"/>
          <w:sz w:val="16"/>
          <w:szCs w:val="16"/>
          <w:color w:val="auto"/>
        </w:rPr>
      </w:pPr>
      <w:r>
        <w:rPr>
          <w:rFonts w:ascii="Arial" w:cs="Arial" w:eastAsia="Arial" w:hAnsi="Arial"/>
          <w:sz w:val="18"/>
          <w:szCs w:val="18"/>
          <w:color w:val="auto"/>
        </w:rPr>
        <w:t>(state of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w:t>
      </w:r>
    </w:p>
    <w:p>
      <w:pPr>
        <w:spacing w:after="0" w:line="3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(description of entity – e.g., corporation, partnership)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the following shares/units: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140" w:type="dxa"/>
            <w:vAlign w:val="bottom"/>
            <w:tcBorders>
              <w:top w:val="single" w:sz="8" w:color="auto"/>
              <w:left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Class of Stock</w:t>
            </w:r>
          </w:p>
        </w:tc>
        <w:tc>
          <w:tcPr>
            <w:tcW w:w="300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Par Value</w:t>
            </w:r>
          </w:p>
        </w:tc>
        <w:tc>
          <w:tcPr>
            <w:tcW w:w="300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Number of Shares/Units Authorized</w:t>
            </w:r>
          </w:p>
        </w:tc>
      </w:tr>
      <w:tr>
        <w:trPr>
          <w:trHeight w:val="42"/>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r>
      <w:tr>
        <w:trPr>
          <w:trHeight w:val="385"/>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85"/>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85"/>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85"/>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85"/>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r>
        <w:trPr>
          <w:trHeight w:val="385"/>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Company to which Notices may be sent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4347845" cy="677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4784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legal counsel for the Company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4347845" cy="677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47845" cy="677545"/>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(n)</w:t>
      </w:r>
    </w:p>
    <w:p>
      <w:pPr>
        <w:spacing w:after="0" w:line="14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The Audit Committee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 Investment Corporation:</w:t>
      </w:r>
    </w:p>
    <w:p>
      <w:pPr>
        <w:spacing w:after="0" w:line="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consent to the reference to our firm under the heading "</w:t>
      </w: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in the prospectus and to the use of our report dated March 27, 2007 included herein.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LLP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Ÿ"/>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4"/>
    </w:lvl>
    <w:lvl w:ilvl="1">
      <w:lvlJc w:val="left"/>
      <w:lvlText w:val="Ÿ"/>
      <w:numFmt w:val="bullet"/>
      <w:start w:val="1"/>
    </w:lvl>
  </w:abstractNum>
  <w:abstractNum w:abstractNumId="6">
    <w:nsid w:val="2D517796"/>
    <w:multiLevelType w:val="hybridMultilevel"/>
    <w:lvl w:ilvl="0">
      <w:lvlJc w:val="left"/>
      <w:lvlText w:val="(%1)"/>
      <w:numFmt w:val="decimal"/>
      <w:start w:val="6"/>
    </w:lvl>
  </w:abstractNum>
  <w:abstractNum w:abstractNumId="7">
    <w:nsid w:val="580BD78F"/>
    <w:multiLevelType w:val="hybridMultilevel"/>
    <w:lvl w:ilvl="0">
      <w:lvlJc w:val="left"/>
      <w:lvlText w:val="(%1)"/>
      <w:numFmt w:val="decimal"/>
      <w:start w:val="7"/>
    </w:lvl>
  </w:abstractNum>
  <w:abstractNum w:abstractNumId="8">
    <w:nsid w:val="153EA438"/>
    <w:multiLevelType w:val="hybridMultilevel"/>
    <w:lvl w:ilvl="0">
      <w:lvlJc w:val="left"/>
      <w:lvlText w:val="Ÿ"/>
      <w:numFmt w:val="bullet"/>
      <w:start w:val="1"/>
    </w:lvl>
  </w:abstractNum>
  <w:abstractNum w:abstractNumId="9">
    <w:nsid w:val="3855585C"/>
    <w:multiLevelType w:val="hybridMultilevel"/>
    <w:lvl w:ilvl="0">
      <w:lvlJc w:val="left"/>
      <w:lvlText w:val="Ÿ"/>
      <w:numFmt w:val="bullet"/>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Ÿ"/>
      <w:numFmt w:val="bullet"/>
      <w:start w:val="1"/>
    </w:lvl>
  </w:abstractNum>
  <w:abstractNum w:abstractNumId="12">
    <w:nsid w:val="2A487CB0"/>
    <w:multiLevelType w:val="hybridMultilevel"/>
    <w:lvl w:ilvl="0">
      <w:lvlJc w:val="left"/>
      <w:lvlText w:val="Ÿ"/>
      <w:numFmt w:val="bullet"/>
      <w:start w:val="1"/>
    </w:lvl>
  </w:abstractNum>
  <w:abstractNum w:abstractNumId="13">
    <w:nsid w:val="1D4ED43B"/>
    <w:multiLevelType w:val="hybridMultilevel"/>
    <w:lvl w:ilvl="0">
      <w:lvlJc w:val="left"/>
      <w:lvlText w:val="Ÿ"/>
      <w:numFmt w:val="bullet"/>
      <w:start w:val="1"/>
    </w:lvl>
  </w:abstractNum>
  <w:abstractNum w:abstractNumId="14">
    <w:nsid w:val="725A06FB"/>
    <w:multiLevelType w:val="hybridMultilevel"/>
    <w:lvl w:ilvl="0">
      <w:lvlJc w:val="left"/>
      <w:lvlText w:val="Ÿ"/>
      <w:numFmt w:val="bullet"/>
      <w:start w:val="1"/>
    </w:lvl>
  </w:abstractNum>
  <w:abstractNum w:abstractNumId="15">
    <w:nsid w:val="2CD89A32"/>
    <w:multiLevelType w:val="hybridMultilevel"/>
    <w:lvl w:ilvl="0">
      <w:lvlJc w:val="left"/>
      <w:lvlText w:val="Ÿ"/>
      <w:numFmt w:val="bullet"/>
      <w:start w:val="1"/>
    </w:lvl>
  </w:abstractNum>
  <w:abstractNum w:abstractNumId="16">
    <w:nsid w:val="57E4CCAF"/>
    <w:multiLevelType w:val="hybridMultilevel"/>
    <w:lvl w:ilvl="0">
      <w:lvlJc w:val="left"/>
      <w:lvlText w:val="(%1)"/>
      <w:numFmt w:val="decimal"/>
      <w:start w:val="4"/>
    </w:lvl>
    <w:lvl w:ilvl="1">
      <w:lvlJc w:val="left"/>
      <w:lvlText w:val="Ÿ"/>
      <w:numFmt w:val="bullet"/>
      <w:start w:val="1"/>
    </w:lvl>
  </w:abstractNum>
  <w:abstractNum w:abstractNumId="17">
    <w:nsid w:val="7A6D8D3C"/>
    <w:multiLevelType w:val="hybridMultilevel"/>
    <w:lvl w:ilvl="0">
      <w:lvlJc w:val="left"/>
      <w:lvlText w:val="Ÿ"/>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Ÿ"/>
      <w:numFmt w:val="bullet"/>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Ÿ"/>
      <w:numFmt w:val="bullet"/>
      <w:start w:val="1"/>
    </w:lvl>
  </w:abstractNum>
  <w:abstractNum w:abstractNumId="23">
    <w:nsid w:val="32FFF902"/>
    <w:multiLevelType w:val="hybridMultilevel"/>
    <w:lvl w:ilvl="0">
      <w:lvlJc w:val="left"/>
      <w:lvlText w:val="Ÿ"/>
      <w:numFmt w:val="bullet"/>
      <w:start w:val="1"/>
    </w:lvl>
  </w:abstractNum>
  <w:abstractNum w:abstractNumId="24">
    <w:nsid w:val="684A481A"/>
    <w:multiLevelType w:val="hybridMultilevel"/>
    <w:lvl w:ilvl="0">
      <w:lvlJc w:val="left"/>
      <w:lvlText w:val="Ÿ"/>
      <w:numFmt w:val="bullet"/>
      <w:start w:val="1"/>
    </w:lvl>
  </w:abstractNum>
  <w:abstractNum w:abstractNumId="25">
    <w:nsid w:val="579478FE"/>
    <w:multiLevelType w:val="hybridMultilevel"/>
    <w:lvl w:ilvl="0">
      <w:lvlJc w:val="left"/>
      <w:lvlText w:val="Ÿ"/>
      <w:numFmt w:val="bullet"/>
      <w:start w:val="1"/>
    </w:lvl>
  </w:abstractNum>
  <w:abstractNum w:abstractNumId="26">
    <w:nsid w:val="749ABB43"/>
    <w:multiLevelType w:val="hybridMultilevel"/>
    <w:lvl w:ilvl="0">
      <w:lvlJc w:val="left"/>
      <w:lvlText w:val="Ÿ"/>
      <w:numFmt w:val="bullet"/>
      <w:start w:val="1"/>
    </w:lvl>
  </w:abstractNum>
  <w:abstractNum w:abstractNumId="27">
    <w:nsid w:val="3DC240FB"/>
    <w:multiLevelType w:val="hybridMultilevel"/>
    <w:lvl w:ilvl="0">
      <w:lvlJc w:val="left"/>
      <w:lvlText w:val="Ÿ"/>
      <w:numFmt w:val="bullet"/>
      <w:start w:val="1"/>
    </w:lvl>
  </w:abstractNum>
  <w:abstractNum w:abstractNumId="28">
    <w:nsid w:val="1BA026FA"/>
    <w:multiLevelType w:val="hybridMultilevel"/>
    <w:lvl w:ilvl="0">
      <w:lvlJc w:val="left"/>
      <w:lvlText w:val="Ÿ"/>
      <w:numFmt w:val="bullet"/>
      <w:start w:val="1"/>
    </w:lvl>
  </w:abstractNum>
  <w:abstractNum w:abstractNumId="29">
    <w:nsid w:val="79A1DEAA"/>
    <w:multiLevelType w:val="hybridMultilevel"/>
    <w:lvl w:ilvl="0">
      <w:lvlJc w:val="left"/>
      <w:lvlText w:val="Ÿ"/>
      <w:numFmt w:val="bullet"/>
      <w:start w:val="1"/>
    </w:lvl>
  </w:abstractNum>
  <w:abstractNum w:abstractNumId="30">
    <w:nsid w:val="75C6C33A"/>
    <w:multiLevelType w:val="hybridMultilevel"/>
    <w:lvl w:ilvl="0">
      <w:lvlJc w:val="left"/>
      <w:lvlText w:val="Ÿ"/>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Ÿ"/>
      <w:numFmt w:val="bullet"/>
      <w:start w:val="1"/>
    </w:lvl>
  </w:abstractNum>
  <w:abstractNum w:abstractNumId="37">
    <w:nsid w:val="649BB77C"/>
    <w:multiLevelType w:val="hybridMultilevel"/>
    <w:lvl w:ilvl="0">
      <w:lvlJc w:val="left"/>
      <w:lvlText w:val="Ÿ"/>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1)"/>
      <w:numFmt w:val="decimal"/>
    </w:lvl>
    <w:lvl w:ilvl="1">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Ÿ"/>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Ÿ"/>
      <w:numFmt w:val="bullet"/>
      <w:start w:val="1"/>
    </w:lvl>
  </w:abstractNum>
  <w:abstractNum w:abstractNumId="46">
    <w:nsid w:val="741226BB"/>
    <w:multiLevelType w:val="hybridMultilevel"/>
    <w:lvl w:ilvl="0">
      <w:lvlJc w:val="left"/>
      <w:lvlText w:val="Ÿ"/>
      <w:numFmt w:val="bullet"/>
      <w:start w:val="1"/>
    </w:lvl>
  </w:abstractNum>
  <w:abstractNum w:abstractNumId="47">
    <w:nsid w:val="D34B6A8"/>
    <w:multiLevelType w:val="hybridMultilevel"/>
    <w:lvl w:ilvl="0">
      <w:lvlJc w:val="left"/>
      <w:lvlText w:val="Ÿ"/>
      <w:numFmt w:val="bullet"/>
      <w:start w:val="1"/>
    </w:lvl>
  </w:abstractNum>
  <w:abstractNum w:abstractNumId="48">
    <w:nsid w:val="10233C99"/>
    <w:multiLevelType w:val="hybridMultilevel"/>
    <w:lvl w:ilvl="0">
      <w:lvlJc w:val="left"/>
      <w:lvlText w:val="Ÿ"/>
      <w:numFmt w:val="bullet"/>
      <w:start w:val="1"/>
    </w:lvl>
  </w:abstractNum>
  <w:abstractNum w:abstractNumId="49">
    <w:nsid w:val="3F6AB60F"/>
    <w:multiLevelType w:val="hybridMultilevel"/>
    <w:lvl w:ilvl="0">
      <w:lvlJc w:val="left"/>
      <w:lvlText w:val="Ÿ"/>
      <w:numFmt w:val="bullet"/>
      <w:start w:val="1"/>
    </w:lvl>
    <w:lvl w:ilvl="1">
      <w:lvlJc w:val="left"/>
      <w:lvlText w:val="Ÿ"/>
      <w:numFmt w:val="bullet"/>
      <w:start w:val="1"/>
    </w:lvl>
  </w:abstractNum>
  <w:abstractNum w:abstractNumId="50">
    <w:nsid w:val="61574095"/>
    <w:multiLevelType w:val="hybridMultilevel"/>
    <w:lvl w:ilvl="0">
      <w:lvlJc w:val="left"/>
      <w:lvlText w:val="(%1)"/>
      <w:numFmt w:val="decimal"/>
      <w:start w:val="2"/>
    </w:lvl>
  </w:abstractNum>
  <w:abstractNum w:abstractNumId="51">
    <w:nsid w:val="7E0C57B1"/>
    <w:multiLevelType w:val="hybridMultilevel"/>
    <w:lvl w:ilvl="0">
      <w:lvlJc w:val="left"/>
      <w:lvlText w:val="Ÿ"/>
      <w:numFmt w:val="bullet"/>
      <w:start w:val="1"/>
    </w:lvl>
  </w:abstractNum>
  <w:abstractNum w:abstractNumId="52">
    <w:nsid w:val="77AE35EB"/>
    <w:multiLevelType w:val="hybridMultilevel"/>
    <w:lvl w:ilvl="0">
      <w:lvlJc w:val="left"/>
      <w:lvlText w:val="Ÿ"/>
      <w:numFmt w:val="bullet"/>
      <w:start w:val="1"/>
    </w:lvl>
  </w:abstractNum>
  <w:abstractNum w:abstractNumId="53">
    <w:nsid w:val="579BE4F1"/>
    <w:multiLevelType w:val="hybridMultilevel"/>
    <w:lvl w:ilvl="0">
      <w:lvlJc w:val="left"/>
      <w:lvlText w:val="Ÿ"/>
      <w:numFmt w:val="bullet"/>
      <w:start w:val="1"/>
    </w:lvl>
  </w:abstractNum>
  <w:abstractNum w:abstractNumId="54">
    <w:nsid w:val="310C50B3"/>
    <w:multiLevelType w:val="hybridMultilevel"/>
    <w:lvl w:ilvl="0">
      <w:lvlJc w:val="left"/>
      <w:lvlText w:val="(%1)"/>
      <w:numFmt w:val="decimal"/>
      <w:start w:val="1"/>
    </w:lvl>
    <w:lvl w:ilvl="1">
      <w:lvlJc w:val="left"/>
      <w:lvlText w:val="(%2)"/>
      <w:numFmt w:val="lowerLetter"/>
      <w:start w:val="1"/>
    </w:lvl>
  </w:abstractNum>
  <w:abstractNum w:abstractNumId="55">
    <w:nsid w:val="5FF87E05"/>
    <w:multiLevelType w:val="hybridMultilevel"/>
    <w:lvl w:ilvl="0">
      <w:lvlJc w:val="left"/>
      <w:lvlText w:val="(%1)"/>
      <w:numFmt w:val="decimal"/>
      <w:start w:val="5"/>
    </w:lvl>
  </w:abstractNum>
  <w:abstractNum w:abstractNumId="56">
    <w:nsid w:val="2F305DEF"/>
    <w:multiLevelType w:val="hybridMultilevel"/>
    <w:lvl w:ilvl="0">
      <w:lvlJc w:val="left"/>
      <w:lvlText w:val="Ÿ"/>
      <w:numFmt w:val="bullet"/>
      <w:start w:val="1"/>
    </w:lvl>
  </w:abstractNum>
  <w:abstractNum w:abstractNumId="57">
    <w:nsid w:val="25A70BF7"/>
    <w:multiLevelType w:val="hybridMultilevel"/>
    <w:lvl w:ilvl="0">
      <w:lvlJc w:val="left"/>
      <w:lvlText w:val="Ÿ"/>
      <w:numFmt w:val="bullet"/>
      <w:start w:val="1"/>
    </w:lvl>
  </w:abstractNum>
  <w:abstractNum w:abstractNumId="58">
    <w:nsid w:val="1DBABF00"/>
    <w:multiLevelType w:val="hybridMultilevel"/>
    <w:lvl w:ilvl="0">
      <w:lvlJc w:val="left"/>
      <w:lvlText w:val="Ÿ"/>
      <w:numFmt w:val="bullet"/>
      <w:start w:val="1"/>
    </w:lvl>
  </w:abstractNum>
  <w:abstractNum w:abstractNumId="59">
    <w:nsid w:val="4AD084E9"/>
    <w:multiLevelType w:val="hybridMultilevel"/>
    <w:lvl w:ilvl="0">
      <w:lvlJc w:val="left"/>
      <w:lvlText w:val="Ÿ"/>
      <w:numFmt w:val="bullet"/>
      <w:start w:val="1"/>
    </w:lvl>
  </w:abstractNum>
  <w:abstractNum w:abstractNumId="60">
    <w:nsid w:val="1F48EAA1"/>
    <w:multiLevelType w:val="hybridMultilevel"/>
    <w:lvl w:ilvl="0">
      <w:lvlJc w:val="left"/>
      <w:lvlText w:val="Ÿ"/>
      <w:numFmt w:val="bullet"/>
      <w:start w:val="1"/>
    </w:lvl>
  </w:abstractNum>
  <w:abstractNum w:abstractNumId="61">
    <w:nsid w:val="1381823A"/>
    <w:multiLevelType w:val="hybridMultilevel"/>
    <w:lvl w:ilvl="0">
      <w:lvlJc w:val="left"/>
      <w:lvlText w:val="(%1)"/>
      <w:numFmt w:val="lowerLetter"/>
      <w:start w:val="2"/>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lowerLetter"/>
      <w:start w:val="8"/>
    </w:lvl>
  </w:abstractNum>
  <w:abstractNum w:abstractNumId="65">
    <w:nsid w:val="15014ACB"/>
    <w:multiLevelType w:val="hybridMultilevel"/>
    <w:lvl w:ilvl="0">
      <w:lvlJc w:val="left"/>
      <w:lvlText w:val="(%1)"/>
      <w:numFmt w:val="lowerLetter"/>
      <w:start w:val="12"/>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5"/>
    </w:lvl>
    <w:lvl w:ilvl="1">
      <w:lvlJc w:val="left"/>
      <w:lvlText w:val="(%2)"/>
      <w:numFmt w:val="lowerLetter"/>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lvl w:ilvl="1">
      <w:lvlJc w:val="left"/>
      <w:lvlText w:val="&amp;"/>
      <w:numFmt w:val="bullet"/>
      <w:start w:val="1"/>
    </w:lvl>
  </w:abstractNum>
  <w:abstractNum w:abstractNumId="72">
    <w:nsid w:val="1EBA5D23"/>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2019-12-12T04:35:10Z</dcterms:created>
  <dcterms:modified xsi:type="dcterms:W3CDTF">2019-12-12T04:35:10Z</dcterms:modified>
</cp:coreProperties>
</file>