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15,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On November 15, 2018, PennantPark Investment Corporation issued a press release announcing its financial results for the fourth quarter and fiscal year ended September 30, 2018. A copy of the press release is furnished as Exhibit 99.1 to this report pursuant to Item 2.02 on Form 8-K and Regulation FD.</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Investment Corporation dated November 15,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740" w:type="dxa"/>
            <w:vAlign w:val="bottom"/>
            <w:gridSpan w:val="3"/>
          </w:tcPr>
          <w:p>
            <w:pPr>
              <w:ind w:left="180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660" w:type="dxa"/>
            <w:vAlign w:val="bottom"/>
          </w:tcPr>
          <w:p>
            <w:pPr>
              <w:spacing w:after="0"/>
              <w:rPr>
                <w:sz w:val="20"/>
                <w:szCs w:val="20"/>
                <w:color w:val="auto"/>
              </w:rPr>
            </w:pPr>
            <w:r>
              <w:rPr>
                <w:rFonts w:ascii="Arial" w:cs="Arial" w:eastAsia="Arial" w:hAnsi="Arial"/>
                <w:sz w:val="18"/>
                <w:szCs w:val="18"/>
                <w:color w:val="auto"/>
              </w:rPr>
              <w:t>Date: November 15, 2018</w:t>
            </w:r>
          </w:p>
        </w:tc>
        <w:tc>
          <w:tcPr>
            <w:tcW w:w="4740" w:type="dxa"/>
            <w:vAlign w:val="bottom"/>
            <w:gridSpan w:val="3"/>
          </w:tcPr>
          <w:p>
            <w:pPr>
              <w:ind w:left="1800"/>
              <w:spacing w:after="0"/>
              <w:rPr>
                <w:sz w:val="20"/>
                <w:szCs w:val="20"/>
                <w:color w:val="auto"/>
              </w:rPr>
            </w:pPr>
            <w:r>
              <w:rPr>
                <w:rFonts w:ascii="Arial" w:cs="Arial" w:eastAsia="Arial" w:hAnsi="Arial"/>
                <w:sz w:val="18"/>
                <w:szCs w:val="18"/>
                <w:color w:val="auto"/>
              </w:rPr>
              <w:t>By: /s/ Aviv Efrat</w:t>
            </w:r>
          </w:p>
        </w:tc>
      </w:tr>
      <w:tr>
        <w:trPr>
          <w:trHeight w:val="222"/>
        </w:trPr>
        <w:tc>
          <w:tcPr>
            <w:tcW w:w="3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PennantPark Investment Corporation Announces Financial Results for the Fourth Quarter and Fiscal Year Ended September 30, 2018</w:t>
      </w:r>
    </w:p>
    <w:p>
      <w:pPr>
        <w:spacing w:after="0" w:line="168"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NEW YORK, Nov. 15, 2018 (GLOBE NEWSWIRE) -- PennantPark Investment Corporation (NASDAQ: PNNT) announced today financial results for the fourth quarter and fiscal year ended September 30,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280" w:type="dxa"/>
            <w:vAlign w:val="bottom"/>
          </w:tcPr>
          <w:p>
            <w:pPr>
              <w:spacing w:after="0"/>
              <w:rPr>
                <w:sz w:val="20"/>
                <w:szCs w:val="20"/>
                <w:color w:val="auto"/>
              </w:rPr>
            </w:pPr>
            <w:r>
              <w:rPr>
                <w:rFonts w:ascii="Arial" w:cs="Arial" w:eastAsia="Arial" w:hAnsi="Arial"/>
                <w:sz w:val="22"/>
                <w:szCs w:val="22"/>
                <w:b w:val="1"/>
                <w:bCs w:val="1"/>
                <w:color w:val="auto"/>
              </w:rPr>
              <w:t>HIGHLIGHTS</w:t>
            </w: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41"/>
        </w:trPr>
        <w:tc>
          <w:tcPr>
            <w:tcW w:w="5280" w:type="dxa"/>
            <w:vAlign w:val="bottom"/>
          </w:tcPr>
          <w:p>
            <w:pPr>
              <w:ind w:left="20"/>
              <w:spacing w:after="0"/>
              <w:rPr>
                <w:sz w:val="20"/>
                <w:szCs w:val="20"/>
                <w:color w:val="auto"/>
              </w:rPr>
            </w:pPr>
            <w:r>
              <w:rPr>
                <w:rFonts w:ascii="Arial" w:cs="Arial" w:eastAsia="Arial" w:hAnsi="Arial"/>
                <w:sz w:val="22"/>
                <w:szCs w:val="22"/>
                <w:color w:val="auto"/>
              </w:rPr>
              <w:t>Quarter ended September 30, 2018</w:t>
            </w: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74"/>
        </w:trPr>
        <w:tc>
          <w:tcPr>
            <w:tcW w:w="5280" w:type="dxa"/>
            <w:vAlign w:val="bottom"/>
          </w:tcPr>
          <w:p>
            <w:pPr>
              <w:ind w:left="20"/>
              <w:spacing w:after="0"/>
              <w:rPr>
                <w:sz w:val="20"/>
                <w:szCs w:val="20"/>
                <w:color w:val="auto"/>
              </w:rPr>
            </w:pPr>
            <w:r>
              <w:rPr>
                <w:rFonts w:ascii="Arial" w:cs="Arial" w:eastAsia="Arial" w:hAnsi="Arial"/>
                <w:sz w:val="22"/>
                <w:szCs w:val="22"/>
                <w:color w:val="auto"/>
              </w:rPr>
              <w:t>($ in millions, except per share amounts)</w:t>
            </w:r>
          </w:p>
        </w:tc>
        <w:tc>
          <w:tcPr>
            <w:tcW w:w="1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536"/>
        </w:trPr>
        <w:tc>
          <w:tcPr>
            <w:tcW w:w="5280" w:type="dxa"/>
            <w:vAlign w:val="bottom"/>
          </w:tcPr>
          <w:p>
            <w:pPr>
              <w:ind w:left="20"/>
              <w:spacing w:after="0"/>
              <w:rPr>
                <w:sz w:val="20"/>
                <w:szCs w:val="20"/>
                <w:color w:val="auto"/>
              </w:rPr>
            </w:pPr>
            <w:r>
              <w:rPr>
                <w:rFonts w:ascii="Arial" w:cs="Arial" w:eastAsia="Arial" w:hAnsi="Arial"/>
                <w:sz w:val="22"/>
                <w:szCs w:val="22"/>
                <w:color w:val="auto"/>
              </w:rPr>
              <w:t>Assets and Liabilities:</w:t>
            </w: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70"/>
        </w:trPr>
        <w:tc>
          <w:tcPr>
            <w:tcW w:w="5280" w:type="dxa"/>
            <w:vAlign w:val="bottom"/>
          </w:tcPr>
          <w:p>
            <w:pPr>
              <w:ind w:left="140"/>
              <w:spacing w:after="0"/>
              <w:rPr>
                <w:sz w:val="20"/>
                <w:szCs w:val="20"/>
                <w:color w:val="auto"/>
              </w:rPr>
            </w:pPr>
            <w:r>
              <w:rPr>
                <w:rFonts w:ascii="Arial" w:cs="Arial" w:eastAsia="Arial" w:hAnsi="Arial"/>
                <w:sz w:val="22"/>
                <w:szCs w:val="22"/>
                <w:color w:val="auto"/>
              </w:rPr>
              <w:t>Investment portfolio</w:t>
            </w:r>
          </w:p>
        </w:tc>
        <w:tc>
          <w:tcPr>
            <w:tcW w:w="1900" w:type="dxa"/>
            <w:vAlign w:val="bottom"/>
          </w:tcPr>
          <w:p>
            <w:pPr>
              <w:jc w:val="center"/>
              <w:ind w:right="1612"/>
              <w:spacing w:after="0"/>
              <w:rPr>
                <w:sz w:val="20"/>
                <w:szCs w:val="20"/>
                <w:color w:val="auto"/>
              </w:rPr>
            </w:pPr>
            <w:r>
              <w:rPr>
                <w:rFonts w:ascii="Arial" w:cs="Arial" w:eastAsia="Arial" w:hAnsi="Arial"/>
                <w:sz w:val="22"/>
                <w:szCs w:val="22"/>
                <w:color w:val="auto"/>
                <w:w w:val="81"/>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1,132.1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270"/>
        </w:trPr>
        <w:tc>
          <w:tcPr>
            <w:tcW w:w="5280" w:type="dxa"/>
            <w:vAlign w:val="bottom"/>
          </w:tcPr>
          <w:p>
            <w:pPr>
              <w:ind w:left="140"/>
              <w:spacing w:after="0"/>
              <w:rPr>
                <w:sz w:val="20"/>
                <w:szCs w:val="20"/>
                <w:color w:val="auto"/>
              </w:rPr>
            </w:pPr>
            <w:r>
              <w:rPr>
                <w:rFonts w:ascii="Arial" w:cs="Arial" w:eastAsia="Arial" w:hAnsi="Arial"/>
                <w:sz w:val="22"/>
                <w:szCs w:val="22"/>
                <w:color w:val="auto"/>
              </w:rPr>
              <w:t>Net assets</w:t>
            </w:r>
          </w:p>
        </w:tc>
        <w:tc>
          <w:tcPr>
            <w:tcW w:w="1900" w:type="dxa"/>
            <w:vAlign w:val="bottom"/>
          </w:tcPr>
          <w:p>
            <w:pPr>
              <w:jc w:val="center"/>
              <w:ind w:right="1612"/>
              <w:spacing w:after="0"/>
              <w:rPr>
                <w:sz w:val="20"/>
                <w:szCs w:val="20"/>
                <w:color w:val="auto"/>
              </w:rPr>
            </w:pPr>
            <w:r>
              <w:rPr>
                <w:rFonts w:ascii="Arial" w:cs="Arial" w:eastAsia="Arial" w:hAnsi="Arial"/>
                <w:sz w:val="22"/>
                <w:szCs w:val="22"/>
                <w:color w:val="auto"/>
                <w:w w:val="81"/>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628.9</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274"/>
        </w:trPr>
        <w:tc>
          <w:tcPr>
            <w:tcW w:w="5280" w:type="dxa"/>
            <w:vAlign w:val="bottom"/>
          </w:tcPr>
          <w:p>
            <w:pPr>
              <w:ind w:left="140"/>
              <w:spacing w:after="0"/>
              <w:rPr>
                <w:sz w:val="20"/>
                <w:szCs w:val="20"/>
                <w:color w:val="auto"/>
              </w:rPr>
            </w:pPr>
            <w:r>
              <w:rPr>
                <w:rFonts w:ascii="Arial" w:cs="Arial" w:eastAsia="Arial" w:hAnsi="Arial"/>
                <w:sz w:val="22"/>
                <w:szCs w:val="22"/>
                <w:color w:val="auto"/>
              </w:rPr>
              <w:t>Net asset value per share</w:t>
            </w:r>
          </w:p>
        </w:tc>
        <w:tc>
          <w:tcPr>
            <w:tcW w:w="1900" w:type="dxa"/>
            <w:vAlign w:val="bottom"/>
          </w:tcPr>
          <w:p>
            <w:pPr>
              <w:jc w:val="center"/>
              <w:ind w:right="1612"/>
              <w:spacing w:after="0"/>
              <w:rPr>
                <w:sz w:val="20"/>
                <w:szCs w:val="20"/>
                <w:color w:val="auto"/>
              </w:rPr>
            </w:pPr>
            <w:r>
              <w:rPr>
                <w:rFonts w:ascii="Arial" w:cs="Arial" w:eastAsia="Arial" w:hAnsi="Arial"/>
                <w:sz w:val="22"/>
                <w:szCs w:val="22"/>
                <w:color w:val="auto"/>
                <w:w w:val="81"/>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9.11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536"/>
        </w:trPr>
        <w:tc>
          <w:tcPr>
            <w:tcW w:w="5280" w:type="dxa"/>
            <w:vAlign w:val="bottom"/>
          </w:tcPr>
          <w:p>
            <w:pPr>
              <w:ind w:left="140"/>
              <w:spacing w:after="0"/>
              <w:rPr>
                <w:sz w:val="20"/>
                <w:szCs w:val="20"/>
                <w:color w:val="auto"/>
              </w:rPr>
            </w:pPr>
            <w:r>
              <w:rPr>
                <w:rFonts w:ascii="Arial" w:cs="Arial" w:eastAsia="Arial" w:hAnsi="Arial"/>
                <w:sz w:val="22"/>
                <w:szCs w:val="22"/>
                <w:color w:val="auto"/>
              </w:rPr>
              <w:t>Credit Facility</w:t>
            </w:r>
          </w:p>
        </w:tc>
        <w:tc>
          <w:tcPr>
            <w:tcW w:w="1900" w:type="dxa"/>
            <w:vAlign w:val="bottom"/>
          </w:tcPr>
          <w:p>
            <w:pPr>
              <w:jc w:val="center"/>
              <w:ind w:right="1612"/>
              <w:spacing w:after="0"/>
              <w:rPr>
                <w:sz w:val="20"/>
                <w:szCs w:val="20"/>
                <w:color w:val="auto"/>
              </w:rPr>
            </w:pPr>
            <w:r>
              <w:rPr>
                <w:rFonts w:ascii="Arial" w:cs="Arial" w:eastAsia="Arial" w:hAnsi="Arial"/>
                <w:sz w:val="22"/>
                <w:szCs w:val="22"/>
                <w:color w:val="auto"/>
                <w:w w:val="81"/>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77.6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70"/>
        </w:trPr>
        <w:tc>
          <w:tcPr>
            <w:tcW w:w="5280" w:type="dxa"/>
            <w:vAlign w:val="bottom"/>
          </w:tcPr>
          <w:p>
            <w:pPr>
              <w:ind w:left="140"/>
              <w:spacing w:after="0"/>
              <w:rPr>
                <w:sz w:val="20"/>
                <w:szCs w:val="20"/>
                <w:color w:val="auto"/>
              </w:rPr>
            </w:pPr>
            <w:r>
              <w:rPr>
                <w:rFonts w:ascii="Arial" w:cs="Arial" w:eastAsia="Arial" w:hAnsi="Arial"/>
                <w:sz w:val="22"/>
                <w:szCs w:val="22"/>
                <w:color w:val="auto"/>
              </w:rPr>
              <w:t>2019 Notes</w:t>
            </w:r>
          </w:p>
        </w:tc>
        <w:tc>
          <w:tcPr>
            <w:tcW w:w="1900" w:type="dxa"/>
            <w:vAlign w:val="bottom"/>
          </w:tcPr>
          <w:p>
            <w:pPr>
              <w:jc w:val="center"/>
              <w:ind w:right="1612"/>
              <w:spacing w:after="0"/>
              <w:rPr>
                <w:sz w:val="20"/>
                <w:szCs w:val="20"/>
                <w:color w:val="auto"/>
              </w:rPr>
            </w:pPr>
            <w:r>
              <w:rPr>
                <w:rFonts w:ascii="Arial" w:cs="Arial" w:eastAsia="Arial" w:hAnsi="Arial"/>
                <w:sz w:val="22"/>
                <w:szCs w:val="22"/>
                <w:color w:val="auto"/>
                <w:w w:val="81"/>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251.3</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274"/>
        </w:trPr>
        <w:tc>
          <w:tcPr>
            <w:tcW w:w="5280" w:type="dxa"/>
            <w:vAlign w:val="bottom"/>
          </w:tcPr>
          <w:p>
            <w:pPr>
              <w:ind w:left="140"/>
              <w:spacing w:after="0"/>
              <w:rPr>
                <w:sz w:val="20"/>
                <w:szCs w:val="20"/>
                <w:color w:val="auto"/>
              </w:rPr>
            </w:pPr>
            <w:r>
              <w:rPr>
                <w:rFonts w:ascii="Arial" w:cs="Arial" w:eastAsia="Arial" w:hAnsi="Arial"/>
                <w:sz w:val="22"/>
                <w:szCs w:val="22"/>
                <w:color w:val="auto"/>
              </w:rPr>
              <w:t>SBA Debentures</w:t>
            </w:r>
          </w:p>
        </w:tc>
        <w:tc>
          <w:tcPr>
            <w:tcW w:w="1900" w:type="dxa"/>
            <w:vAlign w:val="bottom"/>
          </w:tcPr>
          <w:p>
            <w:pPr>
              <w:jc w:val="center"/>
              <w:ind w:right="1612"/>
              <w:spacing w:after="0"/>
              <w:rPr>
                <w:sz w:val="20"/>
                <w:szCs w:val="20"/>
                <w:color w:val="auto"/>
              </w:rPr>
            </w:pPr>
            <w:r>
              <w:rPr>
                <w:rFonts w:ascii="Arial" w:cs="Arial" w:eastAsia="Arial" w:hAnsi="Arial"/>
                <w:sz w:val="22"/>
                <w:szCs w:val="22"/>
                <w:color w:val="auto"/>
                <w:w w:val="81"/>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175.4</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540"/>
        </w:trPr>
        <w:tc>
          <w:tcPr>
            <w:tcW w:w="5280" w:type="dxa"/>
            <w:vAlign w:val="bottom"/>
          </w:tcPr>
          <w:p>
            <w:pPr>
              <w:ind w:left="140"/>
              <w:spacing w:after="0"/>
              <w:rPr>
                <w:sz w:val="20"/>
                <w:szCs w:val="20"/>
                <w:color w:val="auto"/>
              </w:rPr>
            </w:pPr>
            <w:r>
              <w:rPr>
                <w:rFonts w:ascii="Arial" w:cs="Arial" w:eastAsia="Arial" w:hAnsi="Arial"/>
                <w:sz w:val="22"/>
                <w:szCs w:val="22"/>
                <w:color w:val="auto"/>
              </w:rPr>
              <w:t>Yield on debt investments at quarter-end</w:t>
            </w:r>
          </w:p>
        </w:tc>
        <w:tc>
          <w:tcPr>
            <w:tcW w:w="190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22"/>
                <w:szCs w:val="22"/>
                <w:color w:val="auto"/>
              </w:rPr>
              <w:t>11.2%</w:t>
            </w: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914"/>
        </w:trPr>
        <w:tc>
          <w:tcPr>
            <w:tcW w:w="5280" w:type="dxa"/>
            <w:vAlign w:val="bottom"/>
          </w:tcPr>
          <w:p>
            <w:pPr>
              <w:spacing w:after="0"/>
              <w:rPr>
                <w:sz w:val="24"/>
                <w:szCs w:val="24"/>
                <w:color w:val="auto"/>
              </w:rPr>
            </w:pPr>
          </w:p>
        </w:tc>
        <w:tc>
          <w:tcPr>
            <w:tcW w:w="3040" w:type="dxa"/>
            <w:vAlign w:val="bottom"/>
            <w:gridSpan w:val="3"/>
          </w:tcPr>
          <w:p>
            <w:pPr>
              <w:jc w:val="center"/>
              <w:ind w:right="240"/>
              <w:spacing w:after="0"/>
              <w:rPr>
                <w:sz w:val="20"/>
                <w:szCs w:val="20"/>
                <w:color w:val="auto"/>
              </w:rPr>
            </w:pPr>
            <w:r>
              <w:rPr>
                <w:rFonts w:ascii="Arial" w:cs="Arial" w:eastAsia="Arial" w:hAnsi="Arial"/>
                <w:sz w:val="22"/>
                <w:szCs w:val="22"/>
                <w:color w:val="auto"/>
                <w:w w:val="86"/>
              </w:rPr>
              <w:t>Quarter Ended September 30,</w:t>
            </w:r>
          </w:p>
        </w:tc>
        <w:tc>
          <w:tcPr>
            <w:tcW w:w="120" w:type="dxa"/>
            <w:vAlign w:val="bottom"/>
          </w:tcPr>
          <w:p>
            <w:pPr>
              <w:spacing w:after="0"/>
              <w:rPr>
                <w:sz w:val="24"/>
                <w:szCs w:val="24"/>
                <w:color w:val="auto"/>
              </w:rPr>
            </w:pPr>
          </w:p>
        </w:tc>
        <w:tc>
          <w:tcPr>
            <w:tcW w:w="2480" w:type="dxa"/>
            <w:vAlign w:val="bottom"/>
          </w:tcPr>
          <w:p>
            <w:pPr>
              <w:jc w:val="right"/>
              <w:ind w:right="52"/>
              <w:spacing w:after="0"/>
              <w:rPr>
                <w:sz w:val="20"/>
                <w:szCs w:val="20"/>
                <w:color w:val="auto"/>
              </w:rPr>
            </w:pPr>
            <w:r>
              <w:rPr>
                <w:rFonts w:ascii="Arial" w:cs="Arial" w:eastAsia="Arial" w:hAnsi="Arial"/>
                <w:sz w:val="22"/>
                <w:szCs w:val="22"/>
                <w:color w:val="auto"/>
                <w:w w:val="86"/>
              </w:rPr>
              <w:t>Year Ended September 30,</w:t>
            </w:r>
          </w:p>
        </w:tc>
      </w:tr>
      <w:tr>
        <w:trPr>
          <w:trHeight w:val="274"/>
        </w:trPr>
        <w:tc>
          <w:tcPr>
            <w:tcW w:w="5280" w:type="dxa"/>
            <w:vAlign w:val="bottom"/>
          </w:tcPr>
          <w:p>
            <w:pPr>
              <w:ind w:left="20"/>
              <w:spacing w:after="0"/>
              <w:rPr>
                <w:sz w:val="20"/>
                <w:szCs w:val="20"/>
                <w:color w:val="auto"/>
              </w:rPr>
            </w:pPr>
            <w:r>
              <w:rPr>
                <w:rFonts w:ascii="Arial" w:cs="Arial" w:eastAsia="Arial" w:hAnsi="Arial"/>
                <w:sz w:val="22"/>
                <w:szCs w:val="22"/>
                <w:color w:val="auto"/>
              </w:rPr>
              <w:t>Operating Results:</w:t>
            </w:r>
          </w:p>
        </w:tc>
        <w:tc>
          <w:tcPr>
            <w:tcW w:w="19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2018</w:t>
            </w:r>
          </w:p>
        </w:tc>
        <w:tc>
          <w:tcPr>
            <w:tcW w:w="92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tcPr>
          <w:p>
            <w:pPr>
              <w:jc w:val="right"/>
              <w:ind w:right="992"/>
              <w:spacing w:after="0"/>
              <w:rPr>
                <w:sz w:val="20"/>
                <w:szCs w:val="20"/>
                <w:color w:val="auto"/>
              </w:rPr>
            </w:pPr>
            <w:r>
              <w:rPr>
                <w:rFonts w:ascii="Arial" w:cs="Arial" w:eastAsia="Arial" w:hAnsi="Arial"/>
                <w:sz w:val="22"/>
                <w:szCs w:val="22"/>
                <w:color w:val="auto"/>
              </w:rPr>
              <w:t>2018</w:t>
            </w:r>
          </w:p>
        </w:tc>
      </w:tr>
      <w:tr>
        <w:trPr>
          <w:trHeight w:val="259"/>
        </w:trPr>
        <w:tc>
          <w:tcPr>
            <w:tcW w:w="5280" w:type="dxa"/>
            <w:vAlign w:val="bottom"/>
          </w:tcPr>
          <w:p>
            <w:pPr>
              <w:ind w:left="140"/>
              <w:spacing w:after="0"/>
              <w:rPr>
                <w:sz w:val="20"/>
                <w:szCs w:val="20"/>
                <w:color w:val="auto"/>
              </w:rPr>
            </w:pPr>
            <w:r>
              <w:rPr>
                <w:rFonts w:ascii="Arial" w:cs="Arial" w:eastAsia="Arial" w:hAnsi="Arial"/>
                <w:sz w:val="22"/>
                <w:szCs w:val="22"/>
                <w:color w:val="auto"/>
              </w:rPr>
              <w:t>Net investment income</w:t>
            </w:r>
          </w:p>
        </w:tc>
        <w:tc>
          <w:tcPr>
            <w:tcW w:w="1900" w:type="dxa"/>
            <w:vAlign w:val="bottom"/>
          </w:tcPr>
          <w:p>
            <w:pPr>
              <w:jc w:val="center"/>
              <w:ind w:right="167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14.0</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2480" w:type="dxa"/>
            <w:vAlign w:val="bottom"/>
          </w:tcPr>
          <w:p>
            <w:pPr>
              <w:jc w:val="right"/>
              <w:spacing w:after="0"/>
              <w:rPr>
                <w:sz w:val="20"/>
                <w:szCs w:val="20"/>
                <w:color w:val="auto"/>
              </w:rPr>
            </w:pPr>
            <w:r>
              <w:rPr>
                <w:rFonts w:ascii="Arial" w:cs="Arial" w:eastAsia="Arial" w:hAnsi="Arial"/>
                <w:sz w:val="22"/>
                <w:szCs w:val="22"/>
                <w:color w:val="auto"/>
              </w:rPr>
              <w:t>53.3</w:t>
            </w:r>
          </w:p>
        </w:tc>
      </w:tr>
      <w:tr>
        <w:trPr>
          <w:trHeight w:val="270"/>
        </w:trPr>
        <w:tc>
          <w:tcPr>
            <w:tcW w:w="5280" w:type="dxa"/>
            <w:vAlign w:val="bottom"/>
          </w:tcPr>
          <w:p>
            <w:pPr>
              <w:ind w:left="140"/>
              <w:spacing w:after="0"/>
              <w:rPr>
                <w:sz w:val="20"/>
                <w:szCs w:val="20"/>
                <w:color w:val="auto"/>
              </w:rPr>
            </w:pPr>
            <w:r>
              <w:rPr>
                <w:rFonts w:ascii="Arial" w:cs="Arial" w:eastAsia="Arial" w:hAnsi="Arial"/>
                <w:sz w:val="22"/>
                <w:szCs w:val="22"/>
                <w:color w:val="auto"/>
              </w:rPr>
              <w:t>Net investment income per share</w:t>
            </w:r>
          </w:p>
        </w:tc>
        <w:tc>
          <w:tcPr>
            <w:tcW w:w="1900" w:type="dxa"/>
            <w:vAlign w:val="bottom"/>
          </w:tcPr>
          <w:p>
            <w:pPr>
              <w:jc w:val="center"/>
              <w:ind w:right="167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0.20</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2480" w:type="dxa"/>
            <w:vAlign w:val="bottom"/>
          </w:tcPr>
          <w:p>
            <w:pPr>
              <w:jc w:val="right"/>
              <w:spacing w:after="0"/>
              <w:rPr>
                <w:sz w:val="20"/>
                <w:szCs w:val="20"/>
                <w:color w:val="auto"/>
              </w:rPr>
            </w:pPr>
            <w:r>
              <w:rPr>
                <w:rFonts w:ascii="Arial" w:cs="Arial" w:eastAsia="Arial" w:hAnsi="Arial"/>
                <w:sz w:val="22"/>
                <w:szCs w:val="22"/>
                <w:color w:val="auto"/>
              </w:rPr>
              <w:t>0.75</w:t>
            </w:r>
          </w:p>
        </w:tc>
      </w:tr>
      <w:tr>
        <w:trPr>
          <w:trHeight w:val="274"/>
        </w:trPr>
        <w:tc>
          <w:tcPr>
            <w:tcW w:w="5280" w:type="dxa"/>
            <w:vAlign w:val="bottom"/>
          </w:tcPr>
          <w:p>
            <w:pPr>
              <w:ind w:left="140"/>
              <w:spacing w:after="0"/>
              <w:rPr>
                <w:sz w:val="20"/>
                <w:szCs w:val="20"/>
                <w:color w:val="auto"/>
              </w:rPr>
            </w:pPr>
            <w:r>
              <w:rPr>
                <w:rFonts w:ascii="Arial" w:cs="Arial" w:eastAsia="Arial" w:hAnsi="Arial"/>
                <w:sz w:val="22"/>
                <w:szCs w:val="22"/>
                <w:color w:val="auto"/>
              </w:rPr>
              <w:t>Distributions declared per share</w:t>
            </w:r>
          </w:p>
        </w:tc>
        <w:tc>
          <w:tcPr>
            <w:tcW w:w="1900" w:type="dxa"/>
            <w:vAlign w:val="bottom"/>
          </w:tcPr>
          <w:p>
            <w:pPr>
              <w:jc w:val="center"/>
              <w:ind w:right="167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0.18</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2480" w:type="dxa"/>
            <w:vAlign w:val="bottom"/>
          </w:tcPr>
          <w:p>
            <w:pPr>
              <w:jc w:val="right"/>
              <w:spacing w:after="0"/>
              <w:rPr>
                <w:sz w:val="20"/>
                <w:szCs w:val="20"/>
                <w:color w:val="auto"/>
              </w:rPr>
            </w:pPr>
            <w:r>
              <w:rPr>
                <w:rFonts w:ascii="Arial" w:cs="Arial" w:eastAsia="Arial" w:hAnsi="Arial"/>
                <w:sz w:val="22"/>
                <w:szCs w:val="22"/>
                <w:color w:val="auto"/>
              </w:rPr>
              <w:t>0.72</w:t>
            </w:r>
          </w:p>
        </w:tc>
      </w:tr>
      <w:tr>
        <w:trPr>
          <w:trHeight w:val="536"/>
        </w:trPr>
        <w:tc>
          <w:tcPr>
            <w:tcW w:w="5280" w:type="dxa"/>
            <w:vAlign w:val="bottom"/>
          </w:tcPr>
          <w:p>
            <w:pPr>
              <w:ind w:left="20"/>
              <w:spacing w:after="0"/>
              <w:rPr>
                <w:sz w:val="20"/>
                <w:szCs w:val="20"/>
                <w:color w:val="auto"/>
              </w:rPr>
            </w:pPr>
            <w:r>
              <w:rPr>
                <w:rFonts w:ascii="Arial" w:cs="Arial" w:eastAsia="Arial" w:hAnsi="Arial"/>
                <w:sz w:val="22"/>
                <w:szCs w:val="22"/>
                <w:color w:val="auto"/>
              </w:rPr>
              <w:t>Portfolio Activity:</w:t>
            </w: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70"/>
        </w:trPr>
        <w:tc>
          <w:tcPr>
            <w:tcW w:w="5280" w:type="dxa"/>
            <w:vAlign w:val="bottom"/>
          </w:tcPr>
          <w:p>
            <w:pPr>
              <w:ind w:left="140"/>
              <w:spacing w:after="0"/>
              <w:rPr>
                <w:sz w:val="20"/>
                <w:szCs w:val="20"/>
                <w:color w:val="auto"/>
              </w:rPr>
            </w:pPr>
            <w:r>
              <w:rPr>
                <w:rFonts w:ascii="Arial" w:cs="Arial" w:eastAsia="Arial" w:hAnsi="Arial"/>
                <w:sz w:val="22"/>
                <w:szCs w:val="22"/>
                <w:color w:val="auto"/>
              </w:rPr>
              <w:t>Purchases of investments</w:t>
            </w:r>
          </w:p>
        </w:tc>
        <w:tc>
          <w:tcPr>
            <w:tcW w:w="1900" w:type="dxa"/>
            <w:vAlign w:val="bottom"/>
          </w:tcPr>
          <w:p>
            <w:pPr>
              <w:jc w:val="center"/>
              <w:ind w:right="167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181.4</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2480" w:type="dxa"/>
            <w:vAlign w:val="bottom"/>
          </w:tcPr>
          <w:p>
            <w:pPr>
              <w:jc w:val="right"/>
              <w:spacing w:after="0"/>
              <w:rPr>
                <w:sz w:val="20"/>
                <w:szCs w:val="20"/>
                <w:color w:val="auto"/>
              </w:rPr>
            </w:pPr>
            <w:r>
              <w:rPr>
                <w:rFonts w:ascii="Arial" w:cs="Arial" w:eastAsia="Arial" w:hAnsi="Arial"/>
                <w:sz w:val="22"/>
                <w:szCs w:val="22"/>
                <w:color w:val="auto"/>
              </w:rPr>
              <w:t>604.7</w:t>
            </w:r>
          </w:p>
        </w:tc>
      </w:tr>
      <w:tr>
        <w:trPr>
          <w:trHeight w:val="274"/>
        </w:trPr>
        <w:tc>
          <w:tcPr>
            <w:tcW w:w="5280" w:type="dxa"/>
            <w:vAlign w:val="bottom"/>
          </w:tcPr>
          <w:p>
            <w:pPr>
              <w:ind w:left="140"/>
              <w:spacing w:after="0"/>
              <w:rPr>
                <w:sz w:val="20"/>
                <w:szCs w:val="20"/>
                <w:color w:val="auto"/>
              </w:rPr>
            </w:pPr>
            <w:r>
              <w:rPr>
                <w:rFonts w:ascii="Arial" w:cs="Arial" w:eastAsia="Arial" w:hAnsi="Arial"/>
                <w:sz w:val="22"/>
                <w:szCs w:val="22"/>
                <w:color w:val="auto"/>
              </w:rPr>
              <w:t>Sales and repayments of investments</w:t>
            </w:r>
          </w:p>
        </w:tc>
        <w:tc>
          <w:tcPr>
            <w:tcW w:w="1900" w:type="dxa"/>
            <w:vAlign w:val="bottom"/>
          </w:tcPr>
          <w:p>
            <w:pPr>
              <w:jc w:val="center"/>
              <w:ind w:right="167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74.1</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2480" w:type="dxa"/>
            <w:vAlign w:val="bottom"/>
          </w:tcPr>
          <w:p>
            <w:pPr>
              <w:jc w:val="right"/>
              <w:spacing w:after="0"/>
              <w:rPr>
                <w:sz w:val="20"/>
                <w:szCs w:val="20"/>
                <w:color w:val="auto"/>
              </w:rPr>
            </w:pPr>
            <w:r>
              <w:rPr>
                <w:rFonts w:ascii="Arial" w:cs="Arial" w:eastAsia="Arial" w:hAnsi="Arial"/>
                <w:sz w:val="22"/>
                <w:szCs w:val="22"/>
                <w:color w:val="auto"/>
              </w:rPr>
              <w:t>630.5</w:t>
            </w:r>
          </w:p>
        </w:tc>
      </w:tr>
      <w:tr>
        <w:trPr>
          <w:trHeight w:val="536"/>
        </w:trPr>
        <w:tc>
          <w:tcPr>
            <w:tcW w:w="5280" w:type="dxa"/>
            <w:vAlign w:val="bottom"/>
          </w:tcPr>
          <w:p>
            <w:pPr>
              <w:ind w:left="140"/>
              <w:spacing w:after="0"/>
              <w:rPr>
                <w:sz w:val="20"/>
                <w:szCs w:val="20"/>
                <w:color w:val="auto"/>
              </w:rPr>
            </w:pPr>
            <w:r>
              <w:rPr>
                <w:rFonts w:ascii="Arial" w:cs="Arial" w:eastAsia="Arial" w:hAnsi="Arial"/>
                <w:sz w:val="22"/>
                <w:szCs w:val="22"/>
                <w:color w:val="auto"/>
              </w:rPr>
              <w:t>Number of new portfolio companies invested</w:t>
            </w:r>
          </w:p>
        </w:tc>
        <w:tc>
          <w:tcPr>
            <w:tcW w:w="19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70"/>
        </w:trPr>
        <w:tc>
          <w:tcPr>
            <w:tcW w:w="5280" w:type="dxa"/>
            <w:vAlign w:val="bottom"/>
          </w:tcPr>
          <w:p>
            <w:pPr>
              <w:ind w:left="140"/>
              <w:spacing w:after="0"/>
              <w:rPr>
                <w:sz w:val="20"/>
                <w:szCs w:val="20"/>
                <w:color w:val="auto"/>
              </w:rPr>
            </w:pPr>
            <w:r>
              <w:rPr>
                <w:rFonts w:ascii="Arial" w:cs="Arial" w:eastAsia="Arial" w:hAnsi="Arial"/>
                <w:sz w:val="22"/>
                <w:szCs w:val="22"/>
                <w:color w:val="auto"/>
              </w:rPr>
              <w:t>Number of existing portfolio companies invested</w:t>
            </w:r>
          </w:p>
        </w:tc>
        <w:tc>
          <w:tcPr>
            <w:tcW w:w="19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8</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74"/>
        </w:trPr>
        <w:tc>
          <w:tcPr>
            <w:tcW w:w="5280" w:type="dxa"/>
            <w:vAlign w:val="bottom"/>
          </w:tcPr>
          <w:p>
            <w:pPr>
              <w:ind w:left="140"/>
              <w:spacing w:after="0"/>
              <w:rPr>
                <w:sz w:val="20"/>
                <w:szCs w:val="20"/>
                <w:color w:val="auto"/>
              </w:rPr>
            </w:pPr>
            <w:r>
              <w:rPr>
                <w:rFonts w:ascii="Arial" w:cs="Arial" w:eastAsia="Arial" w:hAnsi="Arial"/>
                <w:sz w:val="22"/>
                <w:szCs w:val="22"/>
                <w:color w:val="auto"/>
              </w:rPr>
              <w:t>Number of ending portfolio companies</w:t>
            </w:r>
          </w:p>
        </w:tc>
        <w:tc>
          <w:tcPr>
            <w:tcW w:w="19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53</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jc w:val="right"/>
              <w:spacing w:after="0"/>
              <w:rPr>
                <w:sz w:val="20"/>
                <w:szCs w:val="20"/>
                <w:color w:val="auto"/>
              </w:rPr>
            </w:pPr>
            <w:r>
              <w:rPr>
                <w:rFonts w:ascii="Arial" w:cs="Arial" w:eastAsia="Arial" w:hAnsi="Arial"/>
                <w:sz w:val="22"/>
                <w:szCs w:val="22"/>
                <w:color w:val="auto"/>
              </w:rPr>
              <w:t>53</w:t>
            </w: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NOVEMBER 16, 2018</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PennantPark Investment Corporation (“we,” “our,” “us” or the “Company”) will host a conference call at 10:00 a.m. (Eastern Time) on Friday, November 16, 2018 to discuss its financial results. All interested parties are welcome to participate. You can access the conference call by dialing toll-free (888) 204-4368 approximately 5-10 minutes prior to the call. International callers should dial (929) 477-0402. All callers should reference PennantPark Investment Corporation. An archived replay of the call will be available through November 30, 2018 by calling toll-free (888) 203-1112. International callers please dial (719) 457-0820. For all phone replays, please reference conference ID #4229439.</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are pleased with the progress we are making in several areas. Our activity and selectivity have resulted in a more senior secured portfolio that is benefitting from increased LIBOR. As a result, our run rate net investment income is covering our dividend,” said Arthur H. Penn, Chairman and CEO.</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As of September 30, 2018, our portfolio totaled $1,132.1 million and consisted of $531.4 million of first lien secured debt, $391.1 million of second lien secured debt, $48.1 million of subordinated debt and $161.5 million of preferred and common equity. Our debt portfolio consisted of 90% variable-rate investments and 10% fixed-rate investments. As of September 30, 2018, we had no portfolio companies on non-accrual. Overall, the portfolio had net unrealized depreciation of $111.8 million as of September 30, 2018. Our overall portfolio consisted of 53 companies with an average investment size of $21.4 million, had a weighted average yield on interest bearing debt investments of 11.2% and was invested 47% in first lien secured debt, 35% in second lien secured debt, 4% in subordinated debt and 14% in preferred and common equity.</w:t>
      </w:r>
    </w:p>
    <w:p>
      <w:pPr>
        <w:sectPr>
          <w:pgSz w:w="11900" w:h="16838" w:orient="portrait"/>
          <w:cols w:equalWidth="0" w:num="1">
            <w:col w:w="11240"/>
          </w:cols>
          <w:pgMar w:left="320" w:top="112" w:right="339" w:bottom="0" w:gutter="0" w:footer="0" w:header="0"/>
        </w:sectPr>
      </w:pPr>
    </w:p>
    <w:bookmarkStart w:id="4" w:name="page5"/>
    <w:bookmarkEnd w:id="4"/>
    <w:p>
      <w:pPr>
        <w:spacing w:after="0" w:line="3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As of September 30, 2017, our portfolio totaled $1,153.6 million and consisted of $466.1 million of first lien secured debt, $399.5 million of second lien secured debt, $120.7 million of subordinated debt and $167.3 million of preferred and common equity. Our debt portfolio consisted of 82% variable-rate investments (including 13% where London Interbank Offered Rate, or LIBOR was below the floor) and 18% fixed-rate investments. As of September 30, 2017, we had no portfolio companies on non-accrual. Overall, the portfolio had net unrealized depreciation of $56.4 million as of September 30, 2017. Our overall portfolio consisted of 55 companies with an average investment size of $21.0 million, had a weighted average yield on interest bearing debt investments of 11.5% and was invested 40% in first lien secured debt, 35% in second lien secured debt, 10% in subordinated debt and 15% in preferred and common equity.</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September 30, 2018, we invested $181.4 million of investments in four new and eight existing portfolio companies with a weighted average yield on debt investments of 10.1%. Sales and repayments of investments for the three months ended September 30, 2018 totaled $74.1 million.</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year ended September 30, 2018, we invested $604.7 million of investments in 17 new and 33 existing portfolio companies with a weighted average yield on debt investments of 10.2%. Sales and repayments of investments for the year ended September 30, 2018 totaled $630.5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Set forth below are the results of operations for the three month periods and fiscal years ended September 30, 2018 and 2017.</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Investment income for the three months ended September 30, 2018 and 2017 was $27.6 million and $27.9 million, respectively, and was primarily attributable to $12.9 million and $12.1 million from first lien secured debt, $13.3 million and $12.7 million from second lien secured debt and $1.4 million and $3.1 million from subordinated debt and preferred and common equity, respectively.</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Investment income for the years ended September 30, 2018 and 2017 was $108.3 million and $124.5 million, respectively, and was attributable to $49.5 million and $54.4 million from first lien secured debt, $49.8 million and $50.4 million from second lien secured debt and $9.0 million and $19.7 million from subordinated debt and preferred and common equity, respectively. The decrease in investment income over the prior year was primarily due to a reduction of our portfolio at cost.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Net expenses for the three months ended September 30, 2018 and 2017 totaled $13.6 million and $15.1 million, respectively. Base management fee totaled $4.1 million and $4.8 million (after a base management fee waiver of $0.9 million), incentive fee totaled $3.0 million and $2.3 million (after an incentive fee waiver of $0.4 million), debt related interest and expenses totaled $5.5 million and $6.0 million, general and administrative expenses totaled $1.0 million and $1.6 million and provision for taxes totaled zero and $0.4 million, respectively, for the same periods.</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Net expenses for the years ended September 30, 2018 and 2017 totaled $54.9 million and $68.1 million, respectively. Base management fee totaled $16.5 million (after a base management fee waiver of $0.9 million) and $20.3 million (after a base management fee waiver of $3.9 million), incentive fee totaled $11.0 million (after an incentive fee waiver of $0.5 million) and $9.3 million (after an incentive fee waiver of $1.8 million), debt related interest and expenses totaled $22.8 million and $30.5 million (including $3.9 million in amendment costs on our multi-currency, senior secured revolving credit facility, or the Credit Facility), general and administrative expenses totaled $4.6 million and $6.3 million and provision for taxes totaled zero and $1.7 million, respectively, for the same periods. The decrease in expenses over the prior year was primarily due to a decrease in debt related expenses and base management fees.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Net investment income totaled $14.0 million or $0.20 per share and $12.8 million or $0.18 per share, for the three months ended September 30, 2018 and 2017, respectively.</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Net investment income totaled $53.3 million or $0.75 per share and $56.4 million and $0.79 per share, for the years ended September 30, 2018 and 2017, respectively. The decrease in net investment income per share compared to the prior year was primarily due to a lower yielding portfolio partially offset by a decrease in debt related expenses and base management fees.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Sales and repayments of investments for the three months ended September 30, 2018 and 2017 totaled $74.1 million and $78.6 million, respectively, and net realized gains (losses) totaled $2.9 million and $(0.2) million, respectively, for the same periods.</w:t>
      </w:r>
    </w:p>
    <w:p>
      <w:pPr>
        <w:spacing w:after="0" w:line="1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Sales and repayments of investments for the years ended September 30, 2018 and 2017 totaled $630.5 million and $544.0 million, respectively, and net realized gains (losses) totaled $45.9 million and $(31.0) million, respectively, for the same periods. The change in realized gains/losses compared to the prior year was primarily due to changes in the market conditions of our investments and the values at which they were realized.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Facility and Notes</w:t>
      </w:r>
    </w:p>
    <w:p>
      <w:pPr>
        <w:sectPr>
          <w:pgSz w:w="11900" w:h="16874" w:orient="portrait"/>
          <w:cols w:equalWidth="0" w:num="1">
            <w:col w:w="11240"/>
          </w:cols>
          <w:pgMar w:left="320" w:top="118" w:right="339" w:bottom="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9"/>
          <w:szCs w:val="19"/>
          <w:color w:val="auto"/>
        </w:rPr>
        <w:t>For the three months ended September 30, 2018 and 2017, we reported a net change in unrealized (depreciation) appreciation on investments totaled $(5.2) million and less than $0.1 million, respectively. For the years ended September 30, 2018 and 2017, we reported a net change in unrealized (depreciation) appreciation on investments of $(55.3) million and $43.9 million, respectively. As of September 30, 2018 and 2017, our net unrealized depreciation on investments totaled $111.8 million and $56.4 million, respectively. The net change in unrealized appreciation/depreciation on our investments for the year ended September 30, 2018 compared to the prior year was primarily due to changes in capital markets conditions, the financial performance of certain portfolio companies and the reversal of appreciation/depreciation on investments that were realized.</w:t>
      </w:r>
    </w:p>
    <w:p>
      <w:pPr>
        <w:spacing w:after="0" w:line="15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For the three months ended September 30, 2018 and 2017, our Credit Facility and our 4.50% notes due 2019, or the 2019 Notes, had a net change in unrealized depreciation (appreciation) of $0.8 million and $(5.1) million, respectively. For the year ended September 30, 2018 our Credit Facility and 2019 Notes had a net change in unrealized depreciation of $3.9 million. For the year ended September 30, 2017 our Credit Facility, 2019 Notes and our 6.25% senior notes due 2025, or the 2025 Notes, had a net change in unrealized appreciation of $7.6 million. As of September 30, 2018 and 2017, our net unrealized depreciation (appreciation) on our Credit Facility and the 2019 Notes totaled $1.6 million and ($2.3) million, respectively. The net change in unrealized depreciation for the year ended September 30, 2018 compared to the prior year was primarily due to changes in the capital markets.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Net change in net assets resulting from operations totaled $12.5 million or $0.18 per share and $7.4 million or $0.10 per share, for the three months ended September 30, 2018 and 2017, respectively.</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change in net assets resulting from operations totaled $47.7 million or $0.68 per share and $61.7 million, and $0.87 per share, for the years ended September 30, 2018 and 2017, respectively. The decrease in the net change in net assets from operations for the year ended September 30, 2018 compared to the prior year was primarily due to a lower yielding portfolio and depreciation of our investments.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annualized weighted average cost of debt for years ended September 30, 2018 and 2017, inclusive of the fee on the undrawn commitment and amendment costs on the Credit Facility, amortized upfront fees on Small Business Administration, or SBA, debentures and debt issuance costs, was 4.52% and 5.04%, respectively.</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As of September 30, 2018 and September 30, 2017, we had $80.5 million (including a $2.0 million temporary draw) and $79.4 million, respectively, in outstanding borrowings under the Credit Facility. The Credit Facility had a weighted average interest rate of 3.79% and 2.42%, respectively, exclusive of the fee on undrawn commitments of 0.375%, as of September 30, 2018 and September 30, 2017. As of September 30, 2018 and September 30, 2017, we had $364.5 million and $365.6 million of unused borrowing capacity under our Credit Facility, respectively, subject to the regulatory restrictions.</w:t>
      </w:r>
    </w:p>
    <w:p>
      <w:pPr>
        <w:spacing w:after="0" w:line="147"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September 30, 2018 and September 30, 2017, we had $250.0 million in aggregate principal amount of 2019 Notes outstanding with a fixed interest rate of 4.50% per year. As of September 30, 2018 and September 30, 2017, we had $180.0 million and $199.0 million in SBA debentures outstanding, respectively.</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September 30, 2018 and September 30, 2017, we had cash and cash equivalents of $19.5 million and $38.2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Our operating activities provided cash of $66.9 million for the year ended September 30, 2018, and our financing activities used cash of $85.6 million for the same period. Our operating activities provided cash from sales and repayments on our investments and our financing activities used cash primarily for net repayments of the SBA debentures and our stock repurchase program.</w:t>
      </w:r>
    </w:p>
    <w:p>
      <w:pPr>
        <w:spacing w:after="0" w:line="134"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Our operating activities provided cash of $69.2 million for the year ended September 30, 2017, and our financing activities used cash of $107.6 million for the same period. Our operating activities provided cash from sales and repayments on our investments and our financing activities used cash primarily to redeem our 2025 Notes.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REPURCHASE PROGRAM</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On May 9, 2018, we announced a share repurchase program which allows us to repurchase up to $30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For</w:t>
      </w:r>
    </w:p>
    <w:p>
      <w:pPr>
        <w:sectPr>
          <w:pgSz w:w="11900" w:h="16838" w:orient="portrait"/>
          <w:cols w:equalWidth="0" w:num="1">
            <w:col w:w="11240"/>
          </w:cols>
          <w:pgMar w:left="320" w:top="118" w:right="339" w:bottom="0" w:gutter="0" w:footer="0" w:header="0"/>
        </w:sectPr>
      </w:pPr>
    </w:p>
    <w:bookmarkStart w:id="6" w:name="page7"/>
    <w:bookmarkEnd w:id="6"/>
    <w:p>
      <w:pPr>
        <w:jc w:val="both"/>
        <w:spacing w:after="0" w:line="251" w:lineRule="auto"/>
        <w:rPr>
          <w:sz w:val="20"/>
          <w:szCs w:val="20"/>
          <w:color w:val="auto"/>
        </w:rPr>
      </w:pPr>
      <w:r>
        <w:rPr>
          <w:rFonts w:ascii="Arial" w:cs="Arial" w:eastAsia="Arial" w:hAnsi="Arial"/>
          <w:sz w:val="22"/>
          <w:szCs w:val="22"/>
          <w:color w:val="auto"/>
        </w:rPr>
        <w:t>the years ended September 30, 2018 and 2017, we repurchased 2.0 million and zero shares of common stock in open market transactions for an aggregate cost (including transaction costs) of $15.0 million and zero,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During the years ended September 30, 2018 and 2017, we declared distributions of $0.72 per share and $0.82 per share, respectively, for total distributions of $50.6 million and $58.3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November 13, 2018, our board of directors authorized the Company to redeem $250.0 million outstanding aggregate principal amount of its 2019 Notes with a rate of 4.50% per year due October 1, 2019. The 2019 Notes will be prepaid at 100% of the principal amount, plus accrued and unpaid interest through the prepayment date, as well as a make-whole premium. We currently expect the redemption to occur in early 2019.</w:t>
      </w:r>
    </w:p>
    <w:p>
      <w:pPr>
        <w:spacing w:after="0" w:line="18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On November 13, 2018, our board of directors approved the application of the modified asset coverage requirements set forth in Section 61(a)(2) of the Investment Company Act of 1940, or the 1940 Act, as amended by the Consolidated Appropriations Act of 2018 (which includes the Small Business Credit Availability Act). Our board of directors also authorized the submission of a proposal for stockholders to accelerate the application of the 150% minimum asset coverage ratio to us at the 2019 annual meeting of stockholders. As a result, the asset coverage requirements applicable to us for senior securities will be reduced from 200% to 150%, effective as of November 13, 2019 (or earlier if our stockholders approve the proposal to accelerate the application of the reduced asset coverage requirements to us), subject to compliance with certain disclosure requirements. As of September 30, 2018 and 2017, our asset coverage ratio, as computed in accordance with the 1940 Act, was 291% and 295%, respectively.</w:t>
      </w:r>
    </w:p>
    <w:p>
      <w:pPr>
        <w:spacing w:after="0" w:line="18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On November 13, 2018, our board of directors approved the reduction of the asset coverage requirement following the Company’s analysis of how the increased leverage flexibility could affect the Company’s strategic priorities and positive long-term value creation for shareholders, as well as an assessment of the associated risks and how they can be managed or mitigated. Our board of directors also approved an amendment to the Investment Advisory Agreement reducing the Investment Advisor’s annual base management fee from 1.50% to 1.00% on gross assets that exceed 200% of the Company’s total net assets as of the immediately preceding quarter-end.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makes available on its website its report on Form 10-K filed with the SEC and stockholders may find the report on our website at www.pennantpark.com.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ind w:left="20"/>
              <w:spacing w:after="0"/>
              <w:rPr>
                <w:sz w:val="20"/>
                <w:szCs w:val="20"/>
                <w:color w:val="auto"/>
              </w:rPr>
            </w:pPr>
            <w:r>
              <w:rPr>
                <w:rFonts w:ascii="Arial" w:cs="Arial" w:eastAsia="Arial" w:hAnsi="Arial"/>
                <w:sz w:val="22"/>
                <w:szCs w:val="22"/>
                <w:b w:val="1"/>
                <w:bCs w:val="1"/>
                <w:color w:val="auto"/>
              </w:rPr>
              <w:t>September 30,</w:t>
            </w:r>
          </w:p>
        </w:tc>
        <w:tc>
          <w:tcPr>
            <w:tcW w:w="14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Arial" w:cs="Arial" w:eastAsia="Arial" w:hAnsi="Arial"/>
                <w:sz w:val="22"/>
                <w:szCs w:val="22"/>
                <w:b w:val="1"/>
                <w:bCs w:val="1"/>
                <w:color w:val="auto"/>
                <w:w w:val="89"/>
              </w:rPr>
              <w:t>September 30,</w:t>
            </w:r>
          </w:p>
        </w:tc>
      </w:tr>
      <w:tr>
        <w:trPr>
          <w:trHeight w:val="280"/>
        </w:trPr>
        <w:tc>
          <w:tcPr>
            <w:tcW w:w="7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2018</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2017</w:t>
            </w:r>
          </w:p>
        </w:tc>
      </w:tr>
      <w:tr>
        <w:trPr>
          <w:trHeight w:val="259"/>
        </w:trPr>
        <w:tc>
          <w:tcPr>
            <w:tcW w:w="750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0"/>
        </w:trPr>
        <w:tc>
          <w:tcPr>
            <w:tcW w:w="750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43"/>
        </w:trPr>
        <w:tc>
          <w:tcPr>
            <w:tcW w:w="7500" w:type="dxa"/>
            <w:vAlign w:val="bottom"/>
          </w:tcPr>
          <w:p>
            <w:pPr>
              <w:ind w:left="260"/>
              <w:spacing w:after="0" w:line="243" w:lineRule="exact"/>
              <w:rPr>
                <w:sz w:val="20"/>
                <w:szCs w:val="20"/>
                <w:color w:val="auto"/>
              </w:rPr>
            </w:pPr>
            <w:r>
              <w:rPr>
                <w:rFonts w:ascii="Arial" w:cs="Arial" w:eastAsia="Arial" w:hAnsi="Arial"/>
                <w:sz w:val="22"/>
                <w:szCs w:val="22"/>
                <w:color w:val="auto"/>
              </w:rPr>
              <w:t>Non-controlled, non-affiliated investments (cost—$896,720,950 and</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0"/>
        </w:trPr>
        <w:tc>
          <w:tcPr>
            <w:tcW w:w="7500" w:type="dxa"/>
            <w:vAlign w:val="bottom"/>
          </w:tcPr>
          <w:p>
            <w:pPr>
              <w:ind w:left="260"/>
              <w:spacing w:after="0"/>
              <w:rPr>
                <w:sz w:val="20"/>
                <w:szCs w:val="20"/>
                <w:color w:val="auto"/>
              </w:rPr>
            </w:pPr>
            <w:r>
              <w:rPr>
                <w:rFonts w:ascii="Arial" w:cs="Arial" w:eastAsia="Arial" w:hAnsi="Arial"/>
                <w:sz w:val="22"/>
                <w:szCs w:val="22"/>
                <w:color w:val="auto"/>
              </w:rPr>
              <w:t>$824,106,322, respectively)</w:t>
            </w: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40" w:type="dxa"/>
            <w:vAlign w:val="bottom"/>
          </w:tcPr>
          <w:p>
            <w:pPr>
              <w:jc w:val="right"/>
              <w:spacing w:after="0"/>
              <w:rPr>
                <w:sz w:val="20"/>
                <w:szCs w:val="20"/>
                <w:color w:val="auto"/>
              </w:rPr>
            </w:pPr>
            <w:r>
              <w:rPr>
                <w:rFonts w:ascii="Arial" w:cs="Arial" w:eastAsia="Arial" w:hAnsi="Arial"/>
                <w:sz w:val="22"/>
                <w:szCs w:val="22"/>
                <w:color w:val="auto"/>
              </w:rPr>
              <w:t>905,271,258</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60" w:type="dxa"/>
            <w:vAlign w:val="bottom"/>
          </w:tcPr>
          <w:p>
            <w:pPr>
              <w:jc w:val="right"/>
              <w:spacing w:after="0"/>
              <w:rPr>
                <w:sz w:val="20"/>
                <w:szCs w:val="20"/>
                <w:color w:val="auto"/>
              </w:rPr>
            </w:pPr>
            <w:r>
              <w:rPr>
                <w:rFonts w:ascii="Arial" w:cs="Arial" w:eastAsia="Arial" w:hAnsi="Arial"/>
                <w:sz w:val="22"/>
                <w:szCs w:val="22"/>
                <w:color w:val="auto"/>
              </w:rPr>
              <w:t>849,351,548</w:t>
            </w:r>
          </w:p>
        </w:tc>
      </w:tr>
      <w:tr>
        <w:trPr>
          <w:trHeight w:val="243"/>
        </w:trPr>
        <w:tc>
          <w:tcPr>
            <w:tcW w:w="7500" w:type="dxa"/>
            <w:vAlign w:val="bottom"/>
          </w:tcPr>
          <w:p>
            <w:pPr>
              <w:ind w:left="260"/>
              <w:spacing w:after="0" w:line="243" w:lineRule="exact"/>
              <w:rPr>
                <w:sz w:val="20"/>
                <w:szCs w:val="20"/>
                <w:color w:val="auto"/>
              </w:rPr>
            </w:pPr>
            <w:r>
              <w:rPr>
                <w:rFonts w:ascii="Arial" w:cs="Arial" w:eastAsia="Arial" w:hAnsi="Arial"/>
                <w:sz w:val="22"/>
                <w:szCs w:val="22"/>
                <w:color w:val="auto"/>
                <w:w w:val="96"/>
              </w:rPr>
              <w:t>Non-controlled, affiliated investments (cost—$91,520,908 and $185,799,943,</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0"/>
        </w:trPr>
        <w:tc>
          <w:tcPr>
            <w:tcW w:w="750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78,078,331</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189,674,977</w:t>
            </w:r>
          </w:p>
        </w:tc>
      </w:tr>
      <w:tr>
        <w:trPr>
          <w:trHeight w:val="243"/>
        </w:trPr>
        <w:tc>
          <w:tcPr>
            <w:tcW w:w="7500" w:type="dxa"/>
            <w:vAlign w:val="bottom"/>
          </w:tcPr>
          <w:p>
            <w:pPr>
              <w:ind w:left="260"/>
              <w:spacing w:after="0" w:line="243" w:lineRule="exact"/>
              <w:rPr>
                <w:sz w:val="20"/>
                <w:szCs w:val="20"/>
                <w:color w:val="auto"/>
              </w:rPr>
            </w:pPr>
            <w:r>
              <w:rPr>
                <w:rFonts w:ascii="Arial" w:cs="Arial" w:eastAsia="Arial" w:hAnsi="Arial"/>
                <w:sz w:val="22"/>
                <w:szCs w:val="22"/>
                <w:color w:val="auto"/>
              </w:rPr>
              <w:t>Controlled, affiliated investments (cost—$255,574,317 and $200,120,407,</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4"/>
        </w:trPr>
        <w:tc>
          <w:tcPr>
            <w:tcW w:w="750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148,735,885</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114,550,983</w:t>
            </w:r>
          </w:p>
        </w:tc>
      </w:tr>
      <w:tr>
        <w:trPr>
          <w:trHeight w:val="259"/>
        </w:trPr>
        <w:tc>
          <w:tcPr>
            <w:tcW w:w="7500" w:type="dxa"/>
            <w:vAlign w:val="bottom"/>
          </w:tcPr>
          <w:p>
            <w:pPr>
              <w:ind w:left="260"/>
              <w:spacing w:after="0"/>
              <w:rPr>
                <w:sz w:val="20"/>
                <w:szCs w:val="20"/>
                <w:color w:val="auto"/>
              </w:rPr>
            </w:pPr>
            <w:r>
              <w:rPr>
                <w:rFonts w:ascii="Arial" w:cs="Arial" w:eastAsia="Arial" w:hAnsi="Arial"/>
                <w:sz w:val="22"/>
                <w:szCs w:val="22"/>
                <w:color w:val="auto"/>
                <w:w w:val="94"/>
              </w:rPr>
              <w:t>Total of investments (cost—$1,243,816,175 and $1,210,026,672, respectively)</w:t>
            </w:r>
          </w:p>
        </w:tc>
        <w:tc>
          <w:tcPr>
            <w:tcW w:w="1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1,132,085,474</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1,153,577,508</w:t>
            </w:r>
          </w:p>
        </w:tc>
      </w:tr>
      <w:tr>
        <w:trPr>
          <w:trHeight w:val="270"/>
        </w:trPr>
        <w:tc>
          <w:tcPr>
            <w:tcW w:w="7500" w:type="dxa"/>
            <w:vAlign w:val="bottom"/>
          </w:tcPr>
          <w:p>
            <w:pPr>
              <w:spacing w:after="0"/>
              <w:rPr>
                <w:sz w:val="20"/>
                <w:szCs w:val="20"/>
                <w:color w:val="auto"/>
              </w:rPr>
            </w:pPr>
            <w:r>
              <w:rPr>
                <w:rFonts w:ascii="Arial" w:cs="Arial" w:eastAsia="Arial" w:hAnsi="Arial"/>
                <w:sz w:val="22"/>
                <w:szCs w:val="22"/>
                <w:color w:val="auto"/>
                <w:w w:val="97"/>
              </w:rPr>
              <w:t>Cash and cash equivalents (cost—$19,543,625 and $38,182,373, respectively)</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19,506,154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38,202,068</w:t>
            </w:r>
          </w:p>
        </w:tc>
      </w:tr>
      <w:tr>
        <w:trPr>
          <w:trHeight w:val="270"/>
        </w:trPr>
        <w:tc>
          <w:tcPr>
            <w:tcW w:w="7500" w:type="dxa"/>
            <w:vAlign w:val="bottom"/>
          </w:tcPr>
          <w:p>
            <w:pPr>
              <w:spacing w:after="0"/>
              <w:rPr>
                <w:sz w:val="20"/>
                <w:szCs w:val="20"/>
                <w:color w:val="auto"/>
              </w:rPr>
            </w:pPr>
            <w:r>
              <w:rPr>
                <w:rFonts w:ascii="Arial" w:cs="Arial" w:eastAsia="Arial" w:hAnsi="Arial"/>
                <w:sz w:val="22"/>
                <w:szCs w:val="22"/>
                <w:color w:val="auto"/>
              </w:rPr>
              <w:t>Interest receivable</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7,606,964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5,906,976</w:t>
            </w:r>
          </w:p>
        </w:tc>
      </w:tr>
      <w:tr>
        <w:trPr>
          <w:trHeight w:val="274"/>
        </w:trPr>
        <w:tc>
          <w:tcPr>
            <w:tcW w:w="750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920,235</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4,509,289</w:t>
            </w:r>
          </w:p>
        </w:tc>
      </w:tr>
      <w:tr>
        <w:trPr>
          <w:trHeight w:val="267"/>
        </w:trPr>
        <w:tc>
          <w:tcPr>
            <w:tcW w:w="750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1,160,118,827</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1,202,195,841</w:t>
            </w:r>
          </w:p>
        </w:tc>
      </w:tr>
      <w:tr>
        <w:trPr>
          <w:trHeight w:val="256"/>
        </w:trPr>
        <w:tc>
          <w:tcPr>
            <w:tcW w:w="750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0"/>
        </w:trPr>
        <w:tc>
          <w:tcPr>
            <w:tcW w:w="7500" w:type="dxa"/>
            <w:vAlign w:val="bottom"/>
          </w:tcPr>
          <w:p>
            <w:pPr>
              <w:spacing w:after="0"/>
              <w:rPr>
                <w:sz w:val="20"/>
                <w:szCs w:val="20"/>
                <w:color w:val="auto"/>
              </w:rPr>
            </w:pPr>
            <w:r>
              <w:rPr>
                <w:rFonts w:ascii="Arial" w:cs="Arial" w:eastAsia="Arial" w:hAnsi="Arial"/>
                <w:sz w:val="22"/>
                <w:szCs w:val="22"/>
                <w:color w:val="auto"/>
              </w:rPr>
              <w:t>Distributions payable</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12,429,712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12,790,950</w:t>
            </w:r>
          </w:p>
        </w:tc>
      </w:tr>
      <w:tr>
        <w:trPr>
          <w:trHeight w:val="270"/>
        </w:trPr>
        <w:tc>
          <w:tcPr>
            <w:tcW w:w="750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60" w:type="dxa"/>
            <w:vAlign w:val="bottom"/>
          </w:tcPr>
          <w:p>
            <w:pPr>
              <w:spacing w:after="0"/>
              <w:rPr>
                <w:sz w:val="23"/>
                <w:szCs w:val="23"/>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1,014,000</w:t>
            </w:r>
          </w:p>
        </w:tc>
      </w:tr>
      <w:tr>
        <w:trPr>
          <w:trHeight w:val="270"/>
        </w:trPr>
        <w:tc>
          <w:tcPr>
            <w:tcW w:w="7500" w:type="dxa"/>
            <w:vAlign w:val="bottom"/>
          </w:tcPr>
          <w:p>
            <w:pPr>
              <w:spacing w:after="0"/>
              <w:rPr>
                <w:sz w:val="20"/>
                <w:szCs w:val="20"/>
                <w:color w:val="auto"/>
              </w:rPr>
            </w:pPr>
            <w:r>
              <w:rPr>
                <w:rFonts w:ascii="Arial" w:cs="Arial" w:eastAsia="Arial" w:hAnsi="Arial"/>
                <w:sz w:val="22"/>
                <w:szCs w:val="22"/>
                <w:color w:val="auto"/>
              </w:rPr>
              <w:t>Credit Facility payable (cost—$80,520,000 and $79,392,900, respectively)</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77,645,830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76,037,341</w:t>
            </w:r>
          </w:p>
        </w:tc>
      </w:tr>
      <w:tr>
        <w:trPr>
          <w:trHeight w:val="274"/>
        </w:trPr>
        <w:tc>
          <w:tcPr>
            <w:tcW w:w="7500" w:type="dxa"/>
            <w:vAlign w:val="bottom"/>
          </w:tcPr>
          <w:p>
            <w:pPr>
              <w:spacing w:after="0"/>
              <w:rPr>
                <w:sz w:val="20"/>
                <w:szCs w:val="20"/>
                <w:color w:val="auto"/>
              </w:rPr>
            </w:pPr>
            <w:r>
              <w:rPr>
                <w:rFonts w:ascii="Arial" w:cs="Arial" w:eastAsia="Arial" w:hAnsi="Arial"/>
                <w:sz w:val="22"/>
                <w:szCs w:val="22"/>
                <w:color w:val="auto"/>
              </w:rPr>
              <w:t>2019 Notes payable (par—$250,000,000)</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251,322,500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255,665,000</w:t>
            </w:r>
          </w:p>
        </w:tc>
      </w:tr>
    </w:tbl>
    <w:p>
      <w:pPr>
        <w:sectPr>
          <w:pgSz w:w="11900" w:h="16838" w:orient="portrait"/>
          <w:cols w:equalWidth="0" w:num="1">
            <w:col w:w="11240"/>
          </w:cols>
          <w:pgMar w:left="320" w:top="118"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500" w:type="dxa"/>
            <w:vAlign w:val="bottom"/>
          </w:tcPr>
          <w:p>
            <w:pPr>
              <w:spacing w:after="0"/>
              <w:rPr>
                <w:sz w:val="20"/>
                <w:szCs w:val="20"/>
                <w:color w:val="auto"/>
              </w:rPr>
            </w:pPr>
            <w:r>
              <w:rPr>
                <w:rFonts w:ascii="Arial" w:cs="Arial" w:eastAsia="Arial" w:hAnsi="Arial"/>
                <w:sz w:val="22"/>
                <w:szCs w:val="22"/>
                <w:color w:val="auto"/>
                <w:w w:val="92"/>
              </w:rPr>
              <w:t>SBA debentures payable, net (par—$180,000,000 and $199,000,000, respectively)</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175,373,229</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194,364,653</w:t>
            </w:r>
          </w:p>
        </w:tc>
        <w:tc>
          <w:tcPr>
            <w:tcW w:w="80" w:type="dxa"/>
            <w:vAlign w:val="bottom"/>
          </w:tcPr>
          <w:p>
            <w:pPr>
              <w:spacing w:after="0"/>
              <w:rPr>
                <w:sz w:val="23"/>
                <w:szCs w:val="23"/>
                <w:color w:val="auto"/>
              </w:rPr>
            </w:pPr>
          </w:p>
        </w:tc>
      </w:tr>
      <w:tr>
        <w:trPr>
          <w:trHeight w:val="270"/>
        </w:trPr>
        <w:tc>
          <w:tcPr>
            <w:tcW w:w="7500" w:type="dxa"/>
            <w:vAlign w:val="bottom"/>
          </w:tcPr>
          <w:p>
            <w:pPr>
              <w:spacing w:after="0"/>
              <w:rPr>
                <w:sz w:val="20"/>
                <w:szCs w:val="20"/>
                <w:color w:val="auto"/>
              </w:rPr>
            </w:pPr>
            <w:r>
              <w:rPr>
                <w:rFonts w:ascii="Arial" w:cs="Arial" w:eastAsia="Arial" w:hAnsi="Arial"/>
                <w:sz w:val="22"/>
                <w:szCs w:val="22"/>
                <w:color w:val="auto"/>
              </w:rPr>
              <w:t>Base management fee payable, net</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4,086,831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4,845,237</w:t>
            </w:r>
          </w:p>
        </w:tc>
        <w:tc>
          <w:tcPr>
            <w:tcW w:w="80" w:type="dxa"/>
            <w:vAlign w:val="bottom"/>
          </w:tcPr>
          <w:p>
            <w:pPr>
              <w:spacing w:after="0"/>
              <w:rPr>
                <w:sz w:val="23"/>
                <w:szCs w:val="23"/>
                <w:color w:val="auto"/>
              </w:rPr>
            </w:pPr>
          </w:p>
        </w:tc>
      </w:tr>
      <w:tr>
        <w:trPr>
          <w:trHeight w:val="270"/>
        </w:trPr>
        <w:tc>
          <w:tcPr>
            <w:tcW w:w="7500" w:type="dxa"/>
            <w:vAlign w:val="bottom"/>
          </w:tcPr>
          <w:p>
            <w:pPr>
              <w:spacing w:after="0"/>
              <w:rPr>
                <w:sz w:val="20"/>
                <w:szCs w:val="20"/>
                <w:color w:val="auto"/>
              </w:rPr>
            </w:pPr>
            <w:r>
              <w:rPr>
                <w:rFonts w:ascii="Arial" w:cs="Arial" w:eastAsia="Arial" w:hAnsi="Arial"/>
                <w:sz w:val="22"/>
                <w:szCs w:val="22"/>
                <w:color w:val="auto"/>
              </w:rPr>
              <w:t>Performance-based incentive fee payable, net</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2,964,265</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2,270,008</w:t>
            </w:r>
          </w:p>
        </w:tc>
        <w:tc>
          <w:tcPr>
            <w:tcW w:w="80" w:type="dxa"/>
            <w:vAlign w:val="bottom"/>
          </w:tcPr>
          <w:p>
            <w:pPr>
              <w:spacing w:after="0"/>
              <w:rPr>
                <w:sz w:val="23"/>
                <w:szCs w:val="23"/>
                <w:color w:val="auto"/>
              </w:rPr>
            </w:pPr>
          </w:p>
        </w:tc>
      </w:tr>
      <w:tr>
        <w:trPr>
          <w:trHeight w:val="270"/>
        </w:trPr>
        <w:tc>
          <w:tcPr>
            <w:tcW w:w="750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6,576,393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6,876,756</w:t>
            </w:r>
          </w:p>
        </w:tc>
        <w:tc>
          <w:tcPr>
            <w:tcW w:w="80" w:type="dxa"/>
            <w:vAlign w:val="bottom"/>
          </w:tcPr>
          <w:p>
            <w:pPr>
              <w:spacing w:after="0"/>
              <w:rPr>
                <w:sz w:val="23"/>
                <w:szCs w:val="23"/>
                <w:color w:val="auto"/>
              </w:rPr>
            </w:pPr>
          </w:p>
        </w:tc>
      </w:tr>
      <w:tr>
        <w:trPr>
          <w:trHeight w:val="274"/>
        </w:trPr>
        <w:tc>
          <w:tcPr>
            <w:tcW w:w="7500" w:type="dxa"/>
            <w:vAlign w:val="bottom"/>
          </w:tcPr>
          <w:p>
            <w:pPr>
              <w:spacing w:after="0"/>
              <w:rPr>
                <w:sz w:val="20"/>
                <w:szCs w:val="20"/>
                <w:color w:val="auto"/>
              </w:rPr>
            </w:pPr>
            <w:r>
              <w:rPr>
                <w:rFonts w:ascii="Arial" w:cs="Arial" w:eastAsia="Arial" w:hAnsi="Arial"/>
                <w:sz w:val="22"/>
                <w:szCs w:val="22"/>
                <w:color w:val="auto"/>
              </w:rPr>
              <w:t>Accrued other expenses</w:t>
            </w: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818,172</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1,523,425</w:t>
            </w:r>
          </w:p>
        </w:tc>
        <w:tc>
          <w:tcPr>
            <w:tcW w:w="80" w:type="dxa"/>
            <w:vAlign w:val="bottom"/>
          </w:tcPr>
          <w:p>
            <w:pPr>
              <w:spacing w:after="0"/>
              <w:rPr>
                <w:sz w:val="23"/>
                <w:szCs w:val="23"/>
                <w:color w:val="auto"/>
              </w:rPr>
            </w:pPr>
          </w:p>
        </w:tc>
      </w:tr>
      <w:tr>
        <w:trPr>
          <w:trHeight w:val="267"/>
        </w:trPr>
        <w:tc>
          <w:tcPr>
            <w:tcW w:w="750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531,216,932</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555,387,370</w:t>
            </w:r>
          </w:p>
        </w:tc>
        <w:tc>
          <w:tcPr>
            <w:tcW w:w="80" w:type="dxa"/>
            <w:vAlign w:val="bottom"/>
          </w:tcPr>
          <w:p>
            <w:pPr>
              <w:spacing w:after="0"/>
              <w:rPr>
                <w:sz w:val="23"/>
                <w:szCs w:val="23"/>
                <w:color w:val="auto"/>
              </w:rPr>
            </w:pPr>
          </w:p>
        </w:tc>
      </w:tr>
      <w:tr>
        <w:trPr>
          <w:trHeight w:val="250"/>
        </w:trPr>
        <w:tc>
          <w:tcPr>
            <w:tcW w:w="750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280" w:type="dxa"/>
            <w:vAlign w:val="bottom"/>
          </w:tcPr>
          <w:p>
            <w:pPr>
              <w:spacing w:after="0"/>
              <w:rPr>
                <w:sz w:val="21"/>
                <w:szCs w:val="21"/>
                <w:color w:val="auto"/>
              </w:rPr>
            </w:pPr>
          </w:p>
        </w:tc>
        <w:tc>
          <w:tcPr>
            <w:tcW w:w="142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r>
      <w:tr>
        <w:trPr>
          <w:trHeight w:val="276"/>
        </w:trPr>
        <w:tc>
          <w:tcPr>
            <w:tcW w:w="750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7500" w:type="dxa"/>
            <w:vAlign w:val="bottom"/>
          </w:tcPr>
          <w:p>
            <w:pPr>
              <w:spacing w:after="0" w:line="243" w:lineRule="exact"/>
              <w:rPr>
                <w:sz w:val="20"/>
                <w:szCs w:val="20"/>
                <w:color w:val="auto"/>
              </w:rPr>
            </w:pPr>
            <w:r>
              <w:rPr>
                <w:rFonts w:ascii="Arial" w:cs="Arial" w:eastAsia="Arial" w:hAnsi="Arial"/>
                <w:sz w:val="22"/>
                <w:szCs w:val="22"/>
                <w:color w:val="auto"/>
              </w:rPr>
              <w:t>Common stock, 69,053,958 and 71,060,836 shares issued and outstanding,</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7500" w:type="dxa"/>
            <w:vAlign w:val="bottom"/>
          </w:tcPr>
          <w:p>
            <w:pPr>
              <w:spacing w:after="0" w:line="243" w:lineRule="exact"/>
              <w:rPr>
                <w:sz w:val="20"/>
                <w:szCs w:val="20"/>
                <w:color w:val="auto"/>
              </w:rPr>
            </w:pPr>
            <w:r>
              <w:rPr>
                <w:rFonts w:ascii="Arial" w:cs="Arial" w:eastAsia="Arial" w:hAnsi="Arial"/>
                <w:sz w:val="22"/>
                <w:szCs w:val="22"/>
                <w:color w:val="auto"/>
              </w:rPr>
              <w:t>respectively.</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500" w:type="dxa"/>
            <w:vAlign w:val="bottom"/>
          </w:tcPr>
          <w:p>
            <w:pPr>
              <w:ind w:left="100"/>
              <w:spacing w:after="0"/>
              <w:rPr>
                <w:sz w:val="20"/>
                <w:szCs w:val="20"/>
                <w:color w:val="auto"/>
              </w:rPr>
            </w:pPr>
            <w:r>
              <w:rPr>
                <w:rFonts w:ascii="Arial" w:cs="Arial" w:eastAsia="Arial" w:hAnsi="Arial"/>
                <w:sz w:val="22"/>
                <w:szCs w:val="22"/>
                <w:color w:val="auto"/>
              </w:rPr>
              <w:t>Par value $0.001 per share and 100,000,000 shares authorized</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69,054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71,061</w:t>
            </w:r>
          </w:p>
        </w:tc>
        <w:tc>
          <w:tcPr>
            <w:tcW w:w="80" w:type="dxa"/>
            <w:vAlign w:val="bottom"/>
          </w:tcPr>
          <w:p>
            <w:pPr>
              <w:spacing w:after="0"/>
              <w:rPr>
                <w:sz w:val="23"/>
                <w:szCs w:val="23"/>
                <w:color w:val="auto"/>
              </w:rPr>
            </w:pPr>
          </w:p>
        </w:tc>
      </w:tr>
      <w:tr>
        <w:trPr>
          <w:trHeight w:val="270"/>
        </w:trPr>
        <w:tc>
          <w:tcPr>
            <w:tcW w:w="750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803,729,220</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818,737,784</w:t>
            </w:r>
          </w:p>
        </w:tc>
        <w:tc>
          <w:tcPr>
            <w:tcW w:w="80" w:type="dxa"/>
            <w:vAlign w:val="bottom"/>
          </w:tcPr>
          <w:p>
            <w:pPr>
              <w:spacing w:after="0"/>
              <w:rPr>
                <w:sz w:val="23"/>
                <w:szCs w:val="23"/>
                <w:color w:val="auto"/>
              </w:rPr>
            </w:pPr>
          </w:p>
        </w:tc>
      </w:tr>
      <w:tr>
        <w:trPr>
          <w:trHeight w:val="270"/>
        </w:trPr>
        <w:tc>
          <w:tcPr>
            <w:tcW w:w="7500" w:type="dxa"/>
            <w:vAlign w:val="bottom"/>
          </w:tcPr>
          <w:p>
            <w:pPr>
              <w:spacing w:after="0"/>
              <w:rPr>
                <w:sz w:val="20"/>
                <w:szCs w:val="20"/>
                <w:color w:val="auto"/>
              </w:rPr>
            </w:pPr>
            <w:r>
              <w:rPr>
                <w:rFonts w:ascii="Arial" w:cs="Arial" w:eastAsia="Arial" w:hAnsi="Arial"/>
                <w:sz w:val="22"/>
                <w:szCs w:val="22"/>
                <w:color w:val="auto"/>
              </w:rPr>
              <w:t>Undistributed net investment income</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6,003,360</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3,333,195</w:t>
            </w:r>
          </w:p>
        </w:tc>
        <w:tc>
          <w:tcPr>
            <w:tcW w:w="80" w:type="dxa"/>
            <w:vAlign w:val="bottom"/>
          </w:tcPr>
          <w:p>
            <w:pPr>
              <w:spacing w:after="0"/>
              <w:rPr>
                <w:sz w:val="23"/>
                <w:szCs w:val="23"/>
                <w:color w:val="auto"/>
              </w:rPr>
            </w:pPr>
          </w:p>
        </w:tc>
      </w:tr>
      <w:tr>
        <w:trPr>
          <w:trHeight w:val="270"/>
        </w:trPr>
        <w:tc>
          <w:tcPr>
            <w:tcW w:w="7500" w:type="dxa"/>
            <w:vAlign w:val="bottom"/>
          </w:tcPr>
          <w:p>
            <w:pPr>
              <w:spacing w:after="0"/>
              <w:rPr>
                <w:sz w:val="20"/>
                <w:szCs w:val="20"/>
                <w:color w:val="auto"/>
              </w:rPr>
            </w:pPr>
            <w:r>
              <w:rPr>
                <w:rFonts w:ascii="Arial" w:cs="Arial" w:eastAsia="Arial" w:hAnsi="Arial"/>
                <w:sz w:val="22"/>
                <w:szCs w:val="22"/>
                <w:color w:val="auto"/>
              </w:rPr>
              <w:t>Accumulated net realized loss on investments</w:t>
            </w:r>
          </w:p>
        </w:tc>
        <w:tc>
          <w:tcPr>
            <w:tcW w:w="280" w:type="dxa"/>
            <w:vAlign w:val="bottom"/>
          </w:tcPr>
          <w:p>
            <w:pPr>
              <w:spacing w:after="0"/>
              <w:rPr>
                <w:sz w:val="23"/>
                <w:szCs w:val="23"/>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22"/>
                <w:szCs w:val="22"/>
                <w:color w:val="auto"/>
              </w:rPr>
              <w:t>(70,687,629)</w:t>
            </w:r>
          </w:p>
        </w:tc>
        <w:tc>
          <w:tcPr>
            <w:tcW w:w="280" w:type="dxa"/>
            <w:vAlign w:val="bottom"/>
          </w:tcPr>
          <w:p>
            <w:pPr>
              <w:spacing w:after="0"/>
              <w:rPr>
                <w:sz w:val="23"/>
                <w:szCs w:val="23"/>
                <w:color w:val="auto"/>
              </w:rPr>
            </w:pPr>
          </w:p>
        </w:tc>
        <w:tc>
          <w:tcPr>
            <w:tcW w:w="1500" w:type="dxa"/>
            <w:vAlign w:val="bottom"/>
            <w:gridSpan w:val="2"/>
          </w:tcPr>
          <w:p>
            <w:pPr>
              <w:jc w:val="right"/>
              <w:spacing w:after="0"/>
              <w:rPr>
                <w:sz w:val="20"/>
                <w:szCs w:val="20"/>
                <w:color w:val="auto"/>
              </w:rPr>
            </w:pPr>
            <w:r>
              <w:rPr>
                <w:rFonts w:ascii="Arial" w:cs="Arial" w:eastAsia="Arial" w:hAnsi="Arial"/>
                <w:sz w:val="22"/>
                <w:szCs w:val="22"/>
                <w:color w:val="auto"/>
              </w:rPr>
              <w:t>(116,598,355)</w:t>
            </w:r>
          </w:p>
        </w:tc>
      </w:tr>
      <w:tr>
        <w:trPr>
          <w:trHeight w:val="270"/>
        </w:trPr>
        <w:tc>
          <w:tcPr>
            <w:tcW w:w="7500" w:type="dxa"/>
            <w:vAlign w:val="bottom"/>
          </w:tcPr>
          <w:p>
            <w:pPr>
              <w:spacing w:after="0"/>
              <w:rPr>
                <w:sz w:val="20"/>
                <w:szCs w:val="20"/>
                <w:color w:val="auto"/>
              </w:rPr>
            </w:pPr>
            <w:r>
              <w:rPr>
                <w:rFonts w:ascii="Arial" w:cs="Arial" w:eastAsia="Arial" w:hAnsi="Arial"/>
                <w:sz w:val="22"/>
                <w:szCs w:val="22"/>
                <w:color w:val="auto"/>
              </w:rPr>
              <w:t>Net unrealized depreciation on investments</w:t>
            </w:r>
          </w:p>
        </w:tc>
        <w:tc>
          <w:tcPr>
            <w:tcW w:w="280" w:type="dxa"/>
            <w:vAlign w:val="bottom"/>
          </w:tcPr>
          <w:p>
            <w:pPr>
              <w:spacing w:after="0"/>
              <w:rPr>
                <w:sz w:val="23"/>
                <w:szCs w:val="23"/>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22"/>
                <w:szCs w:val="22"/>
                <w:color w:val="auto"/>
              </w:rPr>
              <w:t>(111,763,780)</w:t>
            </w:r>
          </w:p>
        </w:tc>
        <w:tc>
          <w:tcPr>
            <w:tcW w:w="280" w:type="dxa"/>
            <w:vAlign w:val="bottom"/>
          </w:tcPr>
          <w:p>
            <w:pPr>
              <w:spacing w:after="0"/>
              <w:rPr>
                <w:sz w:val="23"/>
                <w:szCs w:val="23"/>
                <w:color w:val="auto"/>
              </w:rPr>
            </w:pPr>
          </w:p>
        </w:tc>
        <w:tc>
          <w:tcPr>
            <w:tcW w:w="1500" w:type="dxa"/>
            <w:vAlign w:val="bottom"/>
            <w:gridSpan w:val="2"/>
          </w:tcPr>
          <w:p>
            <w:pPr>
              <w:jc w:val="right"/>
              <w:spacing w:after="0"/>
              <w:rPr>
                <w:sz w:val="20"/>
                <w:szCs w:val="20"/>
                <w:color w:val="auto"/>
              </w:rPr>
            </w:pPr>
            <w:r>
              <w:rPr>
                <w:rFonts w:ascii="Arial" w:cs="Arial" w:eastAsia="Arial" w:hAnsi="Arial"/>
                <w:sz w:val="22"/>
                <w:szCs w:val="22"/>
                <w:color w:val="auto"/>
              </w:rPr>
              <w:t>(56,425,773)</w:t>
            </w:r>
          </w:p>
        </w:tc>
      </w:tr>
      <w:tr>
        <w:trPr>
          <w:trHeight w:val="274"/>
        </w:trPr>
        <w:tc>
          <w:tcPr>
            <w:tcW w:w="7500" w:type="dxa"/>
            <w:vAlign w:val="bottom"/>
          </w:tcPr>
          <w:p>
            <w:pPr>
              <w:spacing w:after="0"/>
              <w:rPr>
                <w:sz w:val="20"/>
                <w:szCs w:val="20"/>
                <w:color w:val="auto"/>
              </w:rPr>
            </w:pPr>
            <w:r>
              <w:rPr>
                <w:rFonts w:ascii="Arial" w:cs="Arial" w:eastAsia="Arial" w:hAnsi="Arial"/>
                <w:sz w:val="22"/>
                <w:szCs w:val="22"/>
                <w:color w:val="auto"/>
              </w:rPr>
              <w:t>Net unrealized depreciation (appreciation) on debt</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1,551,670</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gridSpan w:val="2"/>
          </w:tcPr>
          <w:p>
            <w:pPr>
              <w:jc w:val="right"/>
              <w:spacing w:after="0"/>
              <w:rPr>
                <w:sz w:val="20"/>
                <w:szCs w:val="20"/>
                <w:color w:val="auto"/>
              </w:rPr>
            </w:pPr>
            <w:r>
              <w:rPr>
                <w:rFonts w:ascii="Arial" w:cs="Arial" w:eastAsia="Arial" w:hAnsi="Arial"/>
                <w:sz w:val="22"/>
                <w:szCs w:val="22"/>
                <w:color w:val="auto"/>
              </w:rPr>
              <w:t>(2,309,441)</w:t>
            </w:r>
          </w:p>
        </w:tc>
      </w:tr>
      <w:tr>
        <w:trPr>
          <w:trHeight w:val="267"/>
        </w:trPr>
        <w:tc>
          <w:tcPr>
            <w:tcW w:w="750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2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628,901,895</w:t>
            </w:r>
          </w:p>
        </w:tc>
        <w:tc>
          <w:tcPr>
            <w:tcW w:w="22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646,808,471</w:t>
            </w:r>
          </w:p>
        </w:tc>
        <w:tc>
          <w:tcPr>
            <w:tcW w:w="80" w:type="dxa"/>
            <w:vAlign w:val="bottom"/>
          </w:tcPr>
          <w:p>
            <w:pPr>
              <w:spacing w:after="0"/>
              <w:rPr>
                <w:sz w:val="23"/>
                <w:szCs w:val="23"/>
                <w:color w:val="auto"/>
              </w:rPr>
            </w:pPr>
          </w:p>
        </w:tc>
      </w:tr>
      <w:tr>
        <w:trPr>
          <w:trHeight w:val="263"/>
        </w:trPr>
        <w:tc>
          <w:tcPr>
            <w:tcW w:w="750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1,160,118,827</w:t>
            </w:r>
          </w:p>
        </w:tc>
        <w:tc>
          <w:tcPr>
            <w:tcW w:w="220" w:type="dxa"/>
            <w:vAlign w:val="bottom"/>
          </w:tcPr>
          <w:p>
            <w:pPr>
              <w:spacing w:after="0"/>
              <w:rPr>
                <w:sz w:val="22"/>
                <w:szCs w:val="22"/>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1,202,195,841</w:t>
            </w:r>
          </w:p>
        </w:tc>
        <w:tc>
          <w:tcPr>
            <w:tcW w:w="80" w:type="dxa"/>
            <w:vAlign w:val="bottom"/>
          </w:tcPr>
          <w:p>
            <w:pPr>
              <w:spacing w:after="0"/>
              <w:rPr>
                <w:sz w:val="22"/>
                <w:szCs w:val="22"/>
                <w:color w:val="auto"/>
              </w:rPr>
            </w:pPr>
          </w:p>
        </w:tc>
      </w:tr>
      <w:tr>
        <w:trPr>
          <w:trHeight w:val="20"/>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750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9.11</w:t>
            </w:r>
          </w:p>
        </w:tc>
        <w:tc>
          <w:tcPr>
            <w:tcW w:w="220" w:type="dxa"/>
            <w:vAlign w:val="bottom"/>
          </w:tcPr>
          <w:p>
            <w:pPr>
              <w:spacing w:after="0"/>
              <w:rPr>
                <w:sz w:val="22"/>
                <w:szCs w:val="22"/>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9.10</w:t>
            </w:r>
          </w:p>
        </w:tc>
        <w:tc>
          <w:tcPr>
            <w:tcW w:w="80" w:type="dxa"/>
            <w:vAlign w:val="bottom"/>
          </w:tcPr>
          <w:p>
            <w:pPr>
              <w:spacing w:after="0"/>
              <w:rPr>
                <w:sz w:val="22"/>
                <w:szCs w:val="22"/>
                <w:color w:val="auto"/>
              </w:rPr>
            </w:pPr>
          </w:p>
        </w:tc>
      </w:tr>
      <w:tr>
        <w:trPr>
          <w:trHeight w:val="20"/>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gridSpan w:val="5"/>
          </w:tcPr>
          <w:p>
            <w:pPr>
              <w:jc w:val="right"/>
              <w:ind w:right="780"/>
              <w:spacing w:after="0"/>
              <w:rPr>
                <w:sz w:val="20"/>
                <w:szCs w:val="20"/>
                <w:color w:val="auto"/>
              </w:rPr>
            </w:pPr>
            <w:r>
              <w:rPr>
                <w:rFonts w:ascii="Arial" w:cs="Arial" w:eastAsia="Arial" w:hAnsi="Arial"/>
                <w:sz w:val="22"/>
                <w:szCs w:val="22"/>
                <w:b w:val="1"/>
                <w:bCs w:val="1"/>
                <w:color w:val="auto"/>
                <w:w w:val="95"/>
              </w:rPr>
              <w:t>Years Ended September 30,</w:t>
            </w:r>
          </w:p>
        </w:tc>
        <w:tc>
          <w:tcPr>
            <w:tcW w:w="0" w:type="dxa"/>
            <w:vAlign w:val="bottom"/>
          </w:tcPr>
          <w:p>
            <w:pPr>
              <w:spacing w:after="0"/>
              <w:rPr>
                <w:sz w:val="1"/>
                <w:szCs w:val="1"/>
                <w:color w:val="auto"/>
              </w:rPr>
            </w:pPr>
          </w:p>
        </w:tc>
      </w:tr>
      <w:tr>
        <w:trPr>
          <w:trHeight w:val="265"/>
        </w:trPr>
        <w:tc>
          <w:tcPr>
            <w:tcW w:w="728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4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2018</w:t>
            </w:r>
          </w:p>
        </w:tc>
        <w:tc>
          <w:tcPr>
            <w:tcW w:w="220" w:type="dxa"/>
            <w:vAlign w:val="bottom"/>
            <w:tcBorders>
              <w:top w:val="single" w:sz="8" w:color="auto"/>
            </w:tcBorders>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14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28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3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400"/>
              <w:spacing w:after="0"/>
              <w:rPr>
                <w:sz w:val="20"/>
                <w:szCs w:val="20"/>
                <w:color w:val="auto"/>
              </w:rPr>
            </w:pPr>
            <w:r>
              <w:rPr>
                <w:rFonts w:ascii="Arial" w:cs="Arial" w:eastAsia="Arial" w:hAnsi="Arial"/>
                <w:sz w:val="22"/>
                <w:szCs w:val="22"/>
                <w:color w:val="auto"/>
              </w:rPr>
              <w:t>Interest</w:t>
            </w: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440" w:type="dxa"/>
            <w:vAlign w:val="bottom"/>
          </w:tcPr>
          <w:p>
            <w:pPr>
              <w:jc w:val="right"/>
              <w:spacing w:after="0"/>
              <w:rPr>
                <w:sz w:val="20"/>
                <w:szCs w:val="20"/>
                <w:color w:val="auto"/>
              </w:rPr>
            </w:pPr>
            <w:r>
              <w:rPr>
                <w:rFonts w:ascii="Arial" w:cs="Arial" w:eastAsia="Arial" w:hAnsi="Arial"/>
                <w:sz w:val="22"/>
                <w:szCs w:val="22"/>
                <w:color w:val="auto"/>
              </w:rPr>
              <w:t>83,255,593</w:t>
            </w:r>
          </w:p>
        </w:tc>
        <w:tc>
          <w:tcPr>
            <w:tcW w:w="220" w:type="dxa"/>
            <w:vAlign w:val="bottom"/>
          </w:tcPr>
          <w:p>
            <w:pPr>
              <w:spacing w:after="0"/>
              <w:rPr>
                <w:sz w:val="23"/>
                <w:szCs w:val="23"/>
                <w:color w:val="auto"/>
              </w:rPr>
            </w:pPr>
          </w:p>
        </w:tc>
        <w:tc>
          <w:tcPr>
            <w:tcW w:w="420" w:type="dxa"/>
            <w:vAlign w:val="bottom"/>
          </w:tcPr>
          <w:p>
            <w:pPr>
              <w:jc w:val="right"/>
              <w:ind w:right="192"/>
              <w:spacing w:after="0"/>
              <w:rPr>
                <w:sz w:val="20"/>
                <w:szCs w:val="20"/>
                <w:color w:val="auto"/>
              </w:rPr>
            </w:pPr>
            <w:r>
              <w:rPr>
                <w:rFonts w:ascii="Arial" w:cs="Arial" w:eastAsia="Arial" w:hAnsi="Arial"/>
                <w:sz w:val="22"/>
                <w:szCs w:val="22"/>
                <w:color w:val="auto"/>
                <w:w w:val="81"/>
              </w:rPr>
              <w:t>$</w:t>
            </w:r>
          </w:p>
        </w:tc>
        <w:tc>
          <w:tcPr>
            <w:tcW w:w="1400" w:type="dxa"/>
            <w:vAlign w:val="bottom"/>
          </w:tcPr>
          <w:p>
            <w:pPr>
              <w:jc w:val="right"/>
              <w:spacing w:after="0"/>
              <w:rPr>
                <w:sz w:val="20"/>
                <w:szCs w:val="20"/>
                <w:color w:val="auto"/>
              </w:rPr>
            </w:pPr>
            <w:r>
              <w:rPr>
                <w:rFonts w:ascii="Arial" w:cs="Arial" w:eastAsia="Arial" w:hAnsi="Arial"/>
                <w:sz w:val="22"/>
                <w:szCs w:val="22"/>
                <w:color w:val="auto"/>
              </w:rPr>
              <w:t>84,685,961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400"/>
              <w:spacing w:after="0"/>
              <w:rPr>
                <w:sz w:val="20"/>
                <w:szCs w:val="20"/>
                <w:color w:val="auto"/>
              </w:rPr>
            </w:pPr>
            <w:r>
              <w:rPr>
                <w:rFonts w:ascii="Arial" w:cs="Arial" w:eastAsia="Arial" w:hAnsi="Arial"/>
                <w:sz w:val="22"/>
                <w:szCs w:val="22"/>
                <w:color w:val="auto"/>
              </w:rPr>
              <w:t>Payment in kind</w:t>
            </w:r>
          </w:p>
        </w:tc>
        <w:tc>
          <w:tcPr>
            <w:tcW w:w="3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5,645,535</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3,819,996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400"/>
              <w:spacing w:after="0"/>
              <w:rPr>
                <w:sz w:val="20"/>
                <w:szCs w:val="20"/>
                <w:color w:val="auto"/>
              </w:rPr>
            </w:pPr>
            <w:r>
              <w:rPr>
                <w:rFonts w:ascii="Arial" w:cs="Arial" w:eastAsia="Arial" w:hAnsi="Arial"/>
                <w:sz w:val="22"/>
                <w:szCs w:val="22"/>
                <w:color w:val="auto"/>
              </w:rPr>
              <w:t>Other income</w:t>
            </w:r>
          </w:p>
        </w:tc>
        <w:tc>
          <w:tcPr>
            <w:tcW w:w="3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6,981,507</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7,079,034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3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400"/>
              <w:spacing w:after="0"/>
              <w:rPr>
                <w:sz w:val="20"/>
                <w:szCs w:val="20"/>
                <w:color w:val="auto"/>
              </w:rPr>
            </w:pPr>
            <w:r>
              <w:rPr>
                <w:rFonts w:ascii="Arial" w:cs="Arial" w:eastAsia="Arial" w:hAnsi="Arial"/>
                <w:sz w:val="22"/>
                <w:szCs w:val="22"/>
                <w:color w:val="auto"/>
              </w:rPr>
              <w:t>Interest</w:t>
            </w:r>
          </w:p>
        </w:tc>
        <w:tc>
          <w:tcPr>
            <w:tcW w:w="3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3,013,976</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10,339,444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400"/>
              <w:spacing w:after="0"/>
              <w:rPr>
                <w:sz w:val="20"/>
                <w:szCs w:val="20"/>
                <w:color w:val="auto"/>
              </w:rPr>
            </w:pPr>
            <w:r>
              <w:rPr>
                <w:rFonts w:ascii="Arial" w:cs="Arial" w:eastAsia="Arial" w:hAnsi="Arial"/>
                <w:sz w:val="22"/>
                <w:szCs w:val="22"/>
                <w:color w:val="auto"/>
              </w:rPr>
              <w:t>Payment in kind</w:t>
            </w:r>
          </w:p>
        </w:tc>
        <w:tc>
          <w:tcPr>
            <w:tcW w:w="3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2,031,589</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5,475,491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400"/>
              <w:spacing w:after="0"/>
              <w:rPr>
                <w:sz w:val="20"/>
                <w:szCs w:val="20"/>
                <w:color w:val="auto"/>
              </w:rPr>
            </w:pPr>
            <w:r>
              <w:rPr>
                <w:rFonts w:ascii="Arial" w:cs="Arial" w:eastAsia="Arial" w:hAnsi="Arial"/>
                <w:sz w:val="22"/>
                <w:szCs w:val="22"/>
                <w:color w:val="auto"/>
              </w:rPr>
              <w:t>Other income</w:t>
            </w:r>
          </w:p>
        </w:tc>
        <w:tc>
          <w:tcPr>
            <w:tcW w:w="36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1,609,935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3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400"/>
              <w:spacing w:after="0"/>
              <w:rPr>
                <w:sz w:val="20"/>
                <w:szCs w:val="20"/>
                <w:color w:val="auto"/>
              </w:rPr>
            </w:pPr>
            <w:r>
              <w:rPr>
                <w:rFonts w:ascii="Arial" w:cs="Arial" w:eastAsia="Arial" w:hAnsi="Arial"/>
                <w:sz w:val="22"/>
                <w:szCs w:val="22"/>
                <w:color w:val="auto"/>
              </w:rPr>
              <w:t>Interest</w:t>
            </w:r>
          </w:p>
        </w:tc>
        <w:tc>
          <w:tcPr>
            <w:tcW w:w="3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4,499,350</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734,163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280" w:type="dxa"/>
            <w:vAlign w:val="bottom"/>
          </w:tcPr>
          <w:p>
            <w:pPr>
              <w:ind w:left="400"/>
              <w:spacing w:after="0"/>
              <w:rPr>
                <w:sz w:val="20"/>
                <w:szCs w:val="20"/>
                <w:color w:val="auto"/>
              </w:rPr>
            </w:pPr>
            <w:r>
              <w:rPr>
                <w:rFonts w:ascii="Arial" w:cs="Arial" w:eastAsia="Arial" w:hAnsi="Arial"/>
                <w:sz w:val="22"/>
                <w:szCs w:val="22"/>
                <w:color w:val="auto"/>
              </w:rPr>
              <w:t>Payment in kind</w:t>
            </w:r>
          </w:p>
        </w:tc>
        <w:tc>
          <w:tcPr>
            <w:tcW w:w="3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2,850,498</w:t>
            </w:r>
          </w:p>
        </w:tc>
        <w:tc>
          <w:tcPr>
            <w:tcW w:w="2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10,790,300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280" w:type="dxa"/>
            <w:vAlign w:val="bottom"/>
          </w:tcPr>
          <w:p>
            <w:pPr>
              <w:ind w:left="400"/>
              <w:spacing w:after="0"/>
              <w:rPr>
                <w:sz w:val="20"/>
                <w:szCs w:val="20"/>
                <w:color w:val="auto"/>
              </w:rPr>
            </w:pPr>
            <w:r>
              <w:rPr>
                <w:rFonts w:ascii="Arial" w:cs="Arial" w:eastAsia="Arial" w:hAnsi="Arial"/>
                <w:sz w:val="22"/>
                <w:szCs w:val="22"/>
                <w:b w:val="1"/>
                <w:bCs w:val="1"/>
                <w:color w:val="auto"/>
              </w:rPr>
              <w:t>Total investment income</w:t>
            </w:r>
          </w:p>
        </w:tc>
        <w:tc>
          <w:tcPr>
            <w:tcW w:w="3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108,278,048</w:t>
            </w:r>
          </w:p>
        </w:tc>
        <w:tc>
          <w:tcPr>
            <w:tcW w:w="2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124,534,324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28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400"/>
              <w:spacing w:after="0"/>
              <w:rPr>
                <w:sz w:val="20"/>
                <w:szCs w:val="20"/>
                <w:color w:val="auto"/>
              </w:rPr>
            </w:pPr>
            <w:r>
              <w:rPr>
                <w:rFonts w:ascii="Arial" w:cs="Arial" w:eastAsia="Arial" w:hAnsi="Arial"/>
                <w:sz w:val="22"/>
                <w:szCs w:val="22"/>
                <w:color w:val="auto"/>
              </w:rPr>
              <w:t>Base management fee</w:t>
            </w:r>
          </w:p>
        </w:tc>
        <w:tc>
          <w:tcPr>
            <w:tcW w:w="3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17,468,376</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24,218,029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400"/>
              <w:spacing w:after="0"/>
              <w:rPr>
                <w:sz w:val="20"/>
                <w:szCs w:val="20"/>
                <w:color w:val="auto"/>
              </w:rPr>
            </w:pPr>
            <w:r>
              <w:rPr>
                <w:rFonts w:ascii="Arial" w:cs="Arial" w:eastAsia="Arial" w:hAnsi="Arial"/>
                <w:sz w:val="22"/>
                <w:szCs w:val="22"/>
                <w:color w:val="auto"/>
              </w:rPr>
              <w:t>Performance-based incentive fee</w:t>
            </w:r>
          </w:p>
        </w:tc>
        <w:tc>
          <w:tcPr>
            <w:tcW w:w="3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11,492,928</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11,077,956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400"/>
              <w:spacing w:after="0"/>
              <w:rPr>
                <w:sz w:val="20"/>
                <w:szCs w:val="20"/>
                <w:color w:val="auto"/>
              </w:rPr>
            </w:pPr>
            <w:r>
              <w:rPr>
                <w:rFonts w:ascii="Arial" w:cs="Arial" w:eastAsia="Arial" w:hAnsi="Arial"/>
                <w:sz w:val="22"/>
                <w:szCs w:val="22"/>
                <w:color w:val="auto"/>
              </w:rPr>
              <w:t>Interest and expenses on debt</w:t>
            </w:r>
          </w:p>
        </w:tc>
        <w:tc>
          <w:tcPr>
            <w:tcW w:w="3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22,818,492</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26,642,113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400"/>
              <w:spacing w:after="0"/>
              <w:rPr>
                <w:sz w:val="20"/>
                <w:szCs w:val="20"/>
                <w:color w:val="auto"/>
              </w:rPr>
            </w:pPr>
            <w:r>
              <w:rPr>
                <w:rFonts w:ascii="Arial" w:cs="Arial" w:eastAsia="Arial" w:hAnsi="Arial"/>
                <w:sz w:val="22"/>
                <w:szCs w:val="22"/>
                <w:color w:val="auto"/>
              </w:rPr>
              <w:t>Administrative services expenses</w:t>
            </w:r>
          </w:p>
        </w:tc>
        <w:tc>
          <w:tcPr>
            <w:tcW w:w="3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2,086,500</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3,576,000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280" w:type="dxa"/>
            <w:vAlign w:val="bottom"/>
          </w:tcPr>
          <w:p>
            <w:pPr>
              <w:ind w:left="400"/>
              <w:spacing w:after="0"/>
              <w:rPr>
                <w:sz w:val="20"/>
                <w:szCs w:val="20"/>
                <w:color w:val="auto"/>
              </w:rPr>
            </w:pPr>
            <w:r>
              <w:rPr>
                <w:rFonts w:ascii="Arial" w:cs="Arial" w:eastAsia="Arial" w:hAnsi="Arial"/>
                <w:sz w:val="22"/>
                <w:szCs w:val="22"/>
                <w:color w:val="auto"/>
              </w:rPr>
              <w:t>Other general and administrative expenses</w:t>
            </w:r>
          </w:p>
        </w:tc>
        <w:tc>
          <w:tcPr>
            <w:tcW w:w="3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2,504,853</w:t>
            </w:r>
          </w:p>
        </w:tc>
        <w:tc>
          <w:tcPr>
            <w:tcW w:w="2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2,662,640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400"/>
              <w:spacing w:after="0" w:line="212" w:lineRule="exact"/>
              <w:rPr>
                <w:sz w:val="20"/>
                <w:szCs w:val="20"/>
                <w:color w:val="auto"/>
              </w:rPr>
            </w:pPr>
            <w:r>
              <w:rPr>
                <w:rFonts w:ascii="Arial" w:cs="Arial" w:eastAsia="Arial" w:hAnsi="Arial"/>
                <w:sz w:val="22"/>
                <w:szCs w:val="22"/>
                <w:b w:val="1"/>
                <w:bCs w:val="1"/>
                <w:color w:val="auto"/>
                <w:w w:val="88"/>
              </w:rPr>
              <w:t>Expenses before Management Fees waiver, provision for taxes and Credit</w:t>
            </w: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7280" w:type="dxa"/>
            <w:vAlign w:val="bottom"/>
          </w:tcPr>
          <w:p>
            <w:pPr>
              <w:ind w:left="400"/>
              <w:spacing w:after="0"/>
              <w:rPr>
                <w:sz w:val="20"/>
                <w:szCs w:val="20"/>
                <w:color w:val="auto"/>
              </w:rPr>
            </w:pPr>
            <w:r>
              <w:rPr>
                <w:rFonts w:ascii="Arial" w:cs="Arial" w:eastAsia="Arial" w:hAnsi="Arial"/>
                <w:sz w:val="22"/>
                <w:szCs w:val="22"/>
                <w:b w:val="1"/>
                <w:bCs w:val="1"/>
                <w:color w:val="auto"/>
              </w:rPr>
              <w:t>Facility amendment costs</w:t>
            </w:r>
          </w:p>
        </w:tc>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56,371,149</w:t>
            </w:r>
          </w:p>
        </w:tc>
        <w:tc>
          <w:tcPr>
            <w:tcW w:w="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68,176,738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280" w:type="dxa"/>
            <w:vAlign w:val="bottom"/>
          </w:tcPr>
          <w:p>
            <w:pPr>
              <w:ind w:left="400"/>
              <w:spacing w:after="0"/>
              <w:rPr>
                <w:sz w:val="20"/>
                <w:szCs w:val="20"/>
                <w:color w:val="auto"/>
              </w:rPr>
            </w:pPr>
            <w:r>
              <w:rPr>
                <w:rFonts w:ascii="Arial" w:cs="Arial" w:eastAsia="Arial" w:hAnsi="Arial"/>
                <w:sz w:val="22"/>
                <w:szCs w:val="22"/>
                <w:color w:val="auto"/>
              </w:rPr>
              <w:t>Management Fees wavier</w:t>
            </w:r>
          </w:p>
        </w:tc>
        <w:tc>
          <w:tcPr>
            <w:tcW w:w="3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(1,427,253)</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(5,647,358)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400"/>
              <w:spacing w:after="0"/>
              <w:rPr>
                <w:sz w:val="20"/>
                <w:szCs w:val="20"/>
                <w:color w:val="auto"/>
              </w:rPr>
            </w:pPr>
            <w:r>
              <w:rPr>
                <w:rFonts w:ascii="Arial" w:cs="Arial" w:eastAsia="Arial" w:hAnsi="Arial"/>
                <w:sz w:val="22"/>
                <w:szCs w:val="22"/>
                <w:color w:val="auto"/>
              </w:rPr>
              <w:t>Provision for taxes</w:t>
            </w:r>
          </w:p>
        </w:tc>
        <w:tc>
          <w:tcPr>
            <w:tcW w:w="36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1,700,000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280" w:type="dxa"/>
            <w:vAlign w:val="bottom"/>
          </w:tcPr>
          <w:p>
            <w:pPr>
              <w:ind w:left="400"/>
              <w:spacing w:after="0"/>
              <w:rPr>
                <w:sz w:val="20"/>
                <w:szCs w:val="20"/>
                <w:color w:val="auto"/>
              </w:rPr>
            </w:pPr>
            <w:r>
              <w:rPr>
                <w:rFonts w:ascii="Arial" w:cs="Arial" w:eastAsia="Arial" w:hAnsi="Arial"/>
                <w:sz w:val="22"/>
                <w:szCs w:val="22"/>
                <w:color w:val="auto"/>
              </w:rPr>
              <w:t>Credit Facility amendment costs</w:t>
            </w:r>
          </w:p>
        </w:tc>
        <w:tc>
          <w:tcPr>
            <w:tcW w:w="36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3,866,633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280" w:type="dxa"/>
            <w:vAlign w:val="bottom"/>
          </w:tcPr>
          <w:p>
            <w:pPr>
              <w:ind w:left="400"/>
              <w:spacing w:after="0"/>
              <w:rPr>
                <w:sz w:val="20"/>
                <w:szCs w:val="20"/>
                <w:color w:val="auto"/>
              </w:rPr>
            </w:pPr>
            <w:r>
              <w:rPr>
                <w:rFonts w:ascii="Arial" w:cs="Arial" w:eastAsia="Arial" w:hAnsi="Arial"/>
                <w:sz w:val="22"/>
                <w:szCs w:val="22"/>
                <w:b w:val="1"/>
                <w:bCs w:val="1"/>
                <w:color w:val="auto"/>
              </w:rPr>
              <w:t>Net expenses</w:t>
            </w:r>
          </w:p>
        </w:tc>
        <w:tc>
          <w:tcPr>
            <w:tcW w:w="360" w:type="dxa"/>
            <w:vAlign w:val="bottom"/>
            <w:tcBorders>
              <w:top w:val="single" w:sz="8" w:color="auto"/>
              <w:bottom w:val="single" w:sz="8" w:color="auto"/>
            </w:tcBorders>
          </w:tcPr>
          <w:p>
            <w:pPr>
              <w:spacing w:after="0"/>
              <w:rPr>
                <w:sz w:val="23"/>
                <w:szCs w:val="23"/>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54,943,896</w:t>
            </w:r>
          </w:p>
        </w:tc>
        <w:tc>
          <w:tcPr>
            <w:tcW w:w="220" w:type="dxa"/>
            <w:vAlign w:val="bottom"/>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68,096,013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280" w:type="dxa"/>
            <w:vAlign w:val="bottom"/>
          </w:tcPr>
          <w:p>
            <w:pPr>
              <w:ind w:left="400"/>
              <w:spacing w:after="0"/>
              <w:rPr>
                <w:sz w:val="20"/>
                <w:szCs w:val="20"/>
                <w:color w:val="auto"/>
              </w:rPr>
            </w:pPr>
            <w:r>
              <w:rPr>
                <w:rFonts w:ascii="Arial" w:cs="Arial" w:eastAsia="Arial" w:hAnsi="Arial"/>
                <w:sz w:val="22"/>
                <w:szCs w:val="22"/>
                <w:b w:val="1"/>
                <w:bCs w:val="1"/>
                <w:color w:val="auto"/>
              </w:rPr>
              <w:t>Net investment income</w:t>
            </w:r>
          </w:p>
        </w:tc>
        <w:tc>
          <w:tcPr>
            <w:tcW w:w="3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53,334,152</w:t>
            </w:r>
          </w:p>
        </w:tc>
        <w:tc>
          <w:tcPr>
            <w:tcW w:w="2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56,438,311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280" w:type="dxa"/>
            <w:vAlign w:val="bottom"/>
            <w:vMerge w:val="restart"/>
          </w:tcPr>
          <w:p>
            <w:pPr>
              <w:spacing w:after="0"/>
              <w:rPr>
                <w:sz w:val="20"/>
                <w:szCs w:val="20"/>
                <w:color w:val="auto"/>
              </w:rPr>
            </w:pPr>
            <w:r>
              <w:rPr>
                <w:rFonts w:ascii="Arial" w:cs="Arial" w:eastAsia="Arial" w:hAnsi="Arial"/>
                <w:sz w:val="22"/>
                <w:szCs w:val="22"/>
                <w:b w:val="1"/>
                <w:bCs w:val="1"/>
                <w:color w:val="auto"/>
              </w:rPr>
              <w:t>Realized and unrealized (loss) gain on investments and debt:</w:t>
            </w:r>
          </w:p>
        </w:tc>
        <w:tc>
          <w:tcPr>
            <w:tcW w:w="3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28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22"/>
                <w:szCs w:val="22"/>
                <w:color w:val="auto"/>
              </w:rPr>
              <w:t>Net realized gain (loss) on investments on:</w:t>
            </w:r>
          </w:p>
        </w:tc>
        <w:tc>
          <w:tcPr>
            <w:tcW w:w="3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400"/>
              <w:spacing w:after="0"/>
              <w:rPr>
                <w:sz w:val="20"/>
                <w:szCs w:val="20"/>
                <w:color w:val="auto"/>
              </w:rPr>
            </w:pPr>
            <w:r>
              <w:rPr>
                <w:rFonts w:ascii="Arial" w:cs="Arial" w:eastAsia="Arial" w:hAnsi="Arial"/>
                <w:sz w:val="22"/>
                <w:szCs w:val="22"/>
                <w:color w:val="auto"/>
              </w:rPr>
              <w:t>Non-controlled, non-affiliated investments</w:t>
            </w:r>
          </w:p>
        </w:tc>
        <w:tc>
          <w:tcPr>
            <w:tcW w:w="3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34,813,876</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2,567,041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280" w:type="dxa"/>
            <w:vAlign w:val="bottom"/>
          </w:tcPr>
          <w:p>
            <w:pPr>
              <w:ind w:left="400"/>
              <w:spacing w:after="0"/>
              <w:rPr>
                <w:sz w:val="20"/>
                <w:szCs w:val="20"/>
                <w:color w:val="auto"/>
              </w:rPr>
            </w:pPr>
            <w:r>
              <w:rPr>
                <w:rFonts w:ascii="Arial" w:cs="Arial" w:eastAsia="Arial" w:hAnsi="Arial"/>
                <w:sz w:val="22"/>
                <w:szCs w:val="22"/>
                <w:color w:val="auto"/>
              </w:rPr>
              <w:t>Non-controlled and controlled, affiliated investments</w:t>
            </w:r>
          </w:p>
        </w:tc>
        <w:tc>
          <w:tcPr>
            <w:tcW w:w="3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11,042,330</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(33,594,078)</w:t>
            </w:r>
          </w:p>
        </w:tc>
        <w:tc>
          <w:tcPr>
            <w:tcW w:w="0" w:type="dxa"/>
            <w:vAlign w:val="bottom"/>
          </w:tcPr>
          <w:p>
            <w:pPr>
              <w:spacing w:after="0"/>
              <w:rPr>
                <w:sz w:val="1"/>
                <w:szCs w:val="1"/>
                <w:color w:val="auto"/>
              </w:rPr>
            </w:pPr>
          </w:p>
        </w:tc>
      </w:tr>
      <w:tr>
        <w:trPr>
          <w:trHeight w:val="259"/>
        </w:trPr>
        <w:tc>
          <w:tcPr>
            <w:tcW w:w="7280" w:type="dxa"/>
            <w:vAlign w:val="bottom"/>
          </w:tcPr>
          <w:p>
            <w:pPr>
              <w:ind w:left="400"/>
              <w:spacing w:after="0"/>
              <w:rPr>
                <w:sz w:val="20"/>
                <w:szCs w:val="20"/>
                <w:color w:val="auto"/>
              </w:rPr>
            </w:pPr>
            <w:r>
              <w:rPr>
                <w:rFonts w:ascii="Arial" w:cs="Arial" w:eastAsia="Arial" w:hAnsi="Arial"/>
                <w:sz w:val="22"/>
                <w:szCs w:val="22"/>
                <w:b w:val="1"/>
                <w:bCs w:val="1"/>
                <w:color w:val="auto"/>
              </w:rPr>
              <w:t>Net realized gain (loss) on investments</w:t>
            </w:r>
          </w:p>
        </w:tc>
        <w:tc>
          <w:tcPr>
            <w:tcW w:w="3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45,856,206</w:t>
            </w:r>
          </w:p>
        </w:tc>
        <w:tc>
          <w:tcPr>
            <w:tcW w:w="2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(31,027,037)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22"/>
                <w:szCs w:val="22"/>
                <w:color w:val="auto"/>
              </w:rPr>
              <w:t>Net change in unrealized (depreciation) appreciation on:</w:t>
            </w:r>
          </w:p>
        </w:tc>
        <w:tc>
          <w:tcPr>
            <w:tcW w:w="3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280" w:type="dxa"/>
            <w:vAlign w:val="bottom"/>
          </w:tcPr>
          <w:p>
            <w:pPr>
              <w:ind w:left="400"/>
              <w:spacing w:after="0"/>
              <w:rPr>
                <w:sz w:val="20"/>
                <w:szCs w:val="20"/>
                <w:color w:val="auto"/>
              </w:rPr>
            </w:pPr>
            <w:r>
              <w:rPr>
                <w:rFonts w:ascii="Arial" w:cs="Arial" w:eastAsia="Arial" w:hAnsi="Arial"/>
                <w:sz w:val="22"/>
                <w:szCs w:val="22"/>
                <w:color w:val="auto"/>
              </w:rPr>
              <w:t>Non-controlled, non-affiliated investments</w:t>
            </w:r>
          </w:p>
        </w:tc>
        <w:tc>
          <w:tcPr>
            <w:tcW w:w="360" w:type="dxa"/>
            <w:vAlign w:val="bottom"/>
          </w:tcPr>
          <w:p>
            <w:pPr>
              <w:spacing w:after="0"/>
              <w:rPr>
                <w:sz w:val="23"/>
                <w:szCs w:val="23"/>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22"/>
                <w:szCs w:val="22"/>
                <w:color w:val="auto"/>
              </w:rPr>
              <w:t>(16,751,386)</w:t>
            </w: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16,950,900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118" w:right="35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7280" w:type="dxa"/>
            <w:vAlign w:val="bottom"/>
          </w:tcPr>
          <w:p>
            <w:pPr>
              <w:ind w:left="400"/>
              <w:spacing w:after="0"/>
              <w:rPr>
                <w:sz w:val="20"/>
                <w:szCs w:val="20"/>
                <w:color w:val="auto"/>
              </w:rPr>
            </w:pPr>
            <w:r>
              <w:rPr>
                <w:rFonts w:ascii="Arial" w:cs="Arial" w:eastAsia="Arial" w:hAnsi="Arial"/>
                <w:sz w:val="22"/>
                <w:szCs w:val="22"/>
                <w:color w:val="auto"/>
              </w:rPr>
              <w:t>Non-controlled and controlled, affiliated investments</w:t>
            </w:r>
          </w:p>
        </w:tc>
        <w:tc>
          <w:tcPr>
            <w:tcW w:w="440" w:type="dxa"/>
            <w:vAlign w:val="bottom"/>
          </w:tcPr>
          <w:p>
            <w:pPr>
              <w:spacing w:after="0"/>
              <w:rPr>
                <w:sz w:val="23"/>
                <w:szCs w:val="23"/>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22"/>
                <w:szCs w:val="22"/>
                <w:color w:val="auto"/>
              </w:rPr>
              <w:t>(38,586,621)</w:t>
            </w:r>
          </w:p>
        </w:tc>
        <w:tc>
          <w:tcPr>
            <w:tcW w:w="4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26,904,281</w:t>
            </w:r>
          </w:p>
        </w:tc>
        <w:tc>
          <w:tcPr>
            <w:tcW w:w="80" w:type="dxa"/>
            <w:vAlign w:val="bottom"/>
          </w:tcPr>
          <w:p>
            <w:pPr>
              <w:spacing w:after="0"/>
              <w:rPr>
                <w:sz w:val="23"/>
                <w:szCs w:val="23"/>
                <w:color w:val="auto"/>
              </w:rPr>
            </w:pPr>
          </w:p>
        </w:tc>
      </w:tr>
      <w:tr>
        <w:trPr>
          <w:trHeight w:val="274"/>
        </w:trPr>
        <w:tc>
          <w:tcPr>
            <w:tcW w:w="7280" w:type="dxa"/>
            <w:vAlign w:val="bottom"/>
          </w:tcPr>
          <w:p>
            <w:pPr>
              <w:ind w:left="400"/>
              <w:spacing w:after="0"/>
              <w:rPr>
                <w:sz w:val="20"/>
                <w:szCs w:val="20"/>
                <w:color w:val="auto"/>
              </w:rPr>
            </w:pPr>
            <w:r>
              <w:rPr>
                <w:rFonts w:ascii="Arial" w:cs="Arial" w:eastAsia="Arial" w:hAnsi="Arial"/>
                <w:sz w:val="22"/>
                <w:szCs w:val="22"/>
                <w:color w:val="auto"/>
              </w:rPr>
              <w:t>Debt depreciation (appreciation)</w:t>
            </w:r>
          </w:p>
        </w:tc>
        <w:tc>
          <w:tcPr>
            <w:tcW w:w="4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3,861,111</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(7,554,954)</w:t>
            </w:r>
          </w:p>
        </w:tc>
      </w:tr>
      <w:tr>
        <w:trPr>
          <w:trHeight w:val="213"/>
        </w:trPr>
        <w:tc>
          <w:tcPr>
            <w:tcW w:w="7280" w:type="dxa"/>
            <w:vAlign w:val="bottom"/>
          </w:tcPr>
          <w:p>
            <w:pPr>
              <w:ind w:left="400"/>
              <w:spacing w:after="0" w:line="212" w:lineRule="exact"/>
              <w:rPr>
                <w:sz w:val="20"/>
                <w:szCs w:val="20"/>
                <w:color w:val="auto"/>
              </w:rPr>
            </w:pPr>
            <w:r>
              <w:rPr>
                <w:rFonts w:ascii="Arial" w:cs="Arial" w:eastAsia="Arial" w:hAnsi="Arial"/>
                <w:sz w:val="22"/>
                <w:szCs w:val="22"/>
                <w:b w:val="1"/>
                <w:bCs w:val="1"/>
                <w:color w:val="auto"/>
                <w:w w:val="90"/>
              </w:rPr>
              <w:t>Net change in unrealized (depreciation) appreciation on investments and</w:t>
            </w:r>
          </w:p>
        </w:tc>
        <w:tc>
          <w:tcPr>
            <w:tcW w:w="4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80"/>
        </w:trPr>
        <w:tc>
          <w:tcPr>
            <w:tcW w:w="7280" w:type="dxa"/>
            <w:vAlign w:val="bottom"/>
          </w:tcPr>
          <w:p>
            <w:pPr>
              <w:ind w:left="400"/>
              <w:spacing w:after="0"/>
              <w:rPr>
                <w:sz w:val="20"/>
                <w:szCs w:val="20"/>
                <w:color w:val="auto"/>
              </w:rPr>
            </w:pPr>
            <w:r>
              <w:rPr>
                <w:rFonts w:ascii="Arial" w:cs="Arial" w:eastAsia="Arial" w:hAnsi="Arial"/>
                <w:sz w:val="22"/>
                <w:szCs w:val="22"/>
                <w:b w:val="1"/>
                <w:bCs w:val="1"/>
                <w:color w:val="auto"/>
              </w:rPr>
              <w:t>debt</w:t>
            </w:r>
          </w:p>
        </w:tc>
        <w:tc>
          <w:tcPr>
            <w:tcW w:w="44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22"/>
                <w:szCs w:val="22"/>
                <w:color w:val="auto"/>
              </w:rPr>
              <w:t>(51,476,896)</w:t>
            </w:r>
          </w:p>
        </w:tc>
        <w:tc>
          <w:tcPr>
            <w:tcW w:w="4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36,300,227</w:t>
            </w:r>
          </w:p>
        </w:tc>
        <w:tc>
          <w:tcPr>
            <w:tcW w:w="80" w:type="dxa"/>
            <w:vAlign w:val="bottom"/>
          </w:tcPr>
          <w:p>
            <w:pPr>
              <w:spacing w:after="0"/>
              <w:rPr>
                <w:sz w:val="24"/>
                <w:szCs w:val="24"/>
                <w:color w:val="auto"/>
              </w:rPr>
            </w:pPr>
          </w:p>
        </w:tc>
      </w:tr>
      <w:tr>
        <w:trPr>
          <w:trHeight w:val="267"/>
        </w:trPr>
        <w:tc>
          <w:tcPr>
            <w:tcW w:w="7280" w:type="dxa"/>
            <w:vAlign w:val="bottom"/>
          </w:tcPr>
          <w:p>
            <w:pPr>
              <w:spacing w:after="0"/>
              <w:rPr>
                <w:sz w:val="20"/>
                <w:szCs w:val="20"/>
                <w:color w:val="auto"/>
              </w:rPr>
            </w:pPr>
            <w:r>
              <w:rPr>
                <w:rFonts w:ascii="Arial" w:cs="Arial" w:eastAsia="Arial" w:hAnsi="Arial"/>
                <w:sz w:val="22"/>
                <w:szCs w:val="22"/>
                <w:b w:val="1"/>
                <w:bCs w:val="1"/>
                <w:color w:val="auto"/>
              </w:rPr>
              <w:t>Net realized and unrealized (loss) gain from investments and debt</w:t>
            </w:r>
          </w:p>
        </w:tc>
        <w:tc>
          <w:tcPr>
            <w:tcW w:w="440" w:type="dxa"/>
            <w:vAlign w:val="bottom"/>
            <w:tcBorders>
              <w:top w:val="single" w:sz="8" w:color="auto"/>
              <w:bottom w:val="single" w:sz="8" w:color="auto"/>
            </w:tcBorders>
          </w:tcPr>
          <w:p>
            <w:pPr>
              <w:spacing w:after="0"/>
              <w:rPr>
                <w:sz w:val="23"/>
                <w:szCs w:val="23"/>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(5,620,690)</w:t>
            </w:r>
          </w:p>
        </w:tc>
        <w:tc>
          <w:tcPr>
            <w:tcW w:w="220" w:type="dxa"/>
            <w:vAlign w:val="bottom"/>
          </w:tcPr>
          <w:p>
            <w:pPr>
              <w:spacing w:after="0"/>
              <w:rPr>
                <w:sz w:val="23"/>
                <w:szCs w:val="23"/>
                <w:color w:val="auto"/>
              </w:rPr>
            </w:pPr>
          </w:p>
        </w:tc>
        <w:tc>
          <w:tcPr>
            <w:tcW w:w="48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5,273,190</w:t>
            </w:r>
          </w:p>
        </w:tc>
        <w:tc>
          <w:tcPr>
            <w:tcW w:w="80" w:type="dxa"/>
            <w:vAlign w:val="bottom"/>
          </w:tcPr>
          <w:p>
            <w:pPr>
              <w:spacing w:after="0"/>
              <w:rPr>
                <w:sz w:val="23"/>
                <w:szCs w:val="23"/>
                <w:color w:val="auto"/>
              </w:rPr>
            </w:pPr>
          </w:p>
        </w:tc>
      </w:tr>
      <w:tr>
        <w:trPr>
          <w:trHeight w:val="263"/>
        </w:trPr>
        <w:tc>
          <w:tcPr>
            <w:tcW w:w="7280" w:type="dxa"/>
            <w:vAlign w:val="bottom"/>
          </w:tcPr>
          <w:p>
            <w:pPr>
              <w:spacing w:after="0"/>
              <w:rPr>
                <w:sz w:val="20"/>
                <w:szCs w:val="20"/>
                <w:color w:val="auto"/>
              </w:rPr>
            </w:pPr>
            <w:r>
              <w:rPr>
                <w:rFonts w:ascii="Arial" w:cs="Arial" w:eastAsia="Arial" w:hAnsi="Arial"/>
                <w:sz w:val="22"/>
                <w:szCs w:val="22"/>
                <w:b w:val="1"/>
                <w:bCs w:val="1"/>
                <w:color w:val="auto"/>
              </w:rPr>
              <w:t>Net increase in net assets resulting from operations</w:t>
            </w:r>
          </w:p>
        </w:tc>
        <w:tc>
          <w:tcPr>
            <w:tcW w:w="4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8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47,713,462</w:t>
            </w:r>
          </w:p>
        </w:tc>
        <w:tc>
          <w:tcPr>
            <w:tcW w:w="220" w:type="dxa"/>
            <w:vAlign w:val="bottom"/>
          </w:tcPr>
          <w:p>
            <w:pPr>
              <w:spacing w:after="0"/>
              <w:rPr>
                <w:sz w:val="22"/>
                <w:szCs w:val="22"/>
                <w:color w:val="auto"/>
              </w:rPr>
            </w:pPr>
          </w:p>
        </w:tc>
        <w:tc>
          <w:tcPr>
            <w:tcW w:w="48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w w:val="8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61,711,501</w:t>
            </w:r>
          </w:p>
        </w:tc>
        <w:tc>
          <w:tcPr>
            <w:tcW w:w="80" w:type="dxa"/>
            <w:vAlign w:val="bottom"/>
          </w:tcPr>
          <w:p>
            <w:pPr>
              <w:spacing w:after="0"/>
              <w:rPr>
                <w:sz w:val="22"/>
                <w:szCs w:val="22"/>
                <w:color w:val="auto"/>
              </w:rPr>
            </w:pPr>
          </w:p>
        </w:tc>
      </w:tr>
      <w:tr>
        <w:trPr>
          <w:trHeight w:val="21"/>
        </w:trPr>
        <w:tc>
          <w:tcPr>
            <w:tcW w:w="7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7280" w:type="dxa"/>
            <w:vAlign w:val="bottom"/>
          </w:tcPr>
          <w:p>
            <w:pPr>
              <w:spacing w:after="0"/>
              <w:rPr>
                <w:sz w:val="20"/>
                <w:szCs w:val="20"/>
                <w:color w:val="auto"/>
              </w:rPr>
            </w:pPr>
            <w:r>
              <w:rPr>
                <w:rFonts w:ascii="Arial" w:cs="Arial" w:eastAsia="Arial" w:hAnsi="Arial"/>
                <w:sz w:val="22"/>
                <w:szCs w:val="22"/>
                <w:color w:val="auto"/>
              </w:rPr>
              <w:t>Net increase in net assets resulting from operations per common share</w:t>
            </w:r>
          </w:p>
        </w:tc>
        <w:tc>
          <w:tcPr>
            <w:tcW w:w="4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8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0.68</w:t>
            </w:r>
          </w:p>
        </w:tc>
        <w:tc>
          <w:tcPr>
            <w:tcW w:w="220" w:type="dxa"/>
            <w:vAlign w:val="bottom"/>
          </w:tcPr>
          <w:p>
            <w:pPr>
              <w:spacing w:after="0"/>
              <w:rPr>
                <w:sz w:val="22"/>
                <w:szCs w:val="22"/>
                <w:color w:val="auto"/>
              </w:rPr>
            </w:pPr>
          </w:p>
        </w:tc>
        <w:tc>
          <w:tcPr>
            <w:tcW w:w="48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w w:val="8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0.87</w:t>
            </w:r>
          </w:p>
        </w:tc>
        <w:tc>
          <w:tcPr>
            <w:tcW w:w="80" w:type="dxa"/>
            <w:vAlign w:val="bottom"/>
          </w:tcPr>
          <w:p>
            <w:pPr>
              <w:spacing w:after="0"/>
              <w:rPr>
                <w:sz w:val="22"/>
                <w:szCs w:val="22"/>
                <w:color w:val="auto"/>
              </w:rPr>
            </w:pPr>
          </w:p>
        </w:tc>
      </w:tr>
      <w:tr>
        <w:trPr>
          <w:trHeight w:val="21"/>
        </w:trPr>
        <w:tc>
          <w:tcPr>
            <w:tcW w:w="7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728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4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8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0.75</w:t>
            </w:r>
          </w:p>
        </w:tc>
        <w:tc>
          <w:tcPr>
            <w:tcW w:w="220" w:type="dxa"/>
            <w:vAlign w:val="bottom"/>
          </w:tcPr>
          <w:p>
            <w:pPr>
              <w:spacing w:after="0"/>
              <w:rPr>
                <w:sz w:val="22"/>
                <w:szCs w:val="22"/>
                <w:color w:val="auto"/>
              </w:rPr>
            </w:pPr>
          </w:p>
        </w:tc>
        <w:tc>
          <w:tcPr>
            <w:tcW w:w="48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w w:val="8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0.79</w:t>
            </w:r>
          </w:p>
        </w:tc>
        <w:tc>
          <w:tcPr>
            <w:tcW w:w="80" w:type="dxa"/>
            <w:vAlign w:val="bottom"/>
          </w:tcPr>
          <w:p>
            <w:pPr>
              <w:spacing w:after="0"/>
              <w:rPr>
                <w:sz w:val="22"/>
                <w:szCs w:val="22"/>
                <w:color w:val="auto"/>
              </w:rPr>
            </w:pPr>
          </w:p>
        </w:tc>
      </w:tr>
      <w:tr>
        <w:trPr>
          <w:trHeight w:val="20"/>
        </w:trPr>
        <w:tc>
          <w:tcPr>
            <w:tcW w:w="7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2020-05-05T15:08:51Z</dcterms:created>
  <dcterms:modified xsi:type="dcterms:W3CDTF">2020-05-05T15:08:51Z</dcterms:modified>
</cp:coreProperties>
</file>