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497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333-192782</w:t>
      </w:r>
    </w:p>
    <w:p>
      <w:pPr>
        <w:spacing w:after="0" w:line="139" w:lineRule="exact"/>
        <w:rPr>
          <w:sz w:val="24"/>
          <w:szCs w:val="24"/>
          <w:color w:val="auto"/>
        </w:rPr>
      </w:pPr>
    </w:p>
    <w:p>
      <w:pPr>
        <w:jc w:val="both"/>
        <w:ind w:right="20"/>
        <w:spacing w:after="0" w:line="314" w:lineRule="auto"/>
        <w:rPr>
          <w:sz w:val="20"/>
          <w:szCs w:val="20"/>
          <w:color w:val="auto"/>
        </w:rPr>
      </w:pPr>
      <w:r>
        <w:rPr>
          <w:rFonts w:ascii="Arial" w:cs="Arial" w:eastAsia="Arial" w:hAnsi="Arial"/>
          <w:sz w:val="16"/>
          <w:szCs w:val="16"/>
          <w:b w:val="1"/>
          <w:bCs w:val="1"/>
          <w:color w:val="DE1A1E"/>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September 16, 2014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January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83185</wp:posOffset>
            </wp:positionV>
            <wp:extent cx="176657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w:t>
      </w:r>
    </w:p>
    <w:p>
      <w:pPr>
        <w:spacing w:after="0" w:line="98" w:lineRule="exact"/>
        <w:rPr>
          <w:sz w:val="24"/>
          <w:szCs w:val="24"/>
          <w:color w:val="auto"/>
        </w:rPr>
      </w:pPr>
    </w:p>
    <w:p>
      <w:pPr>
        <w:ind w:left="5240"/>
        <w:spacing w:after="0"/>
        <w:rPr>
          <w:sz w:val="20"/>
          <w:szCs w:val="20"/>
          <w:color w:val="auto"/>
        </w:rPr>
      </w:pPr>
      <w:r>
        <w:rPr>
          <w:rFonts w:ascii="Arial" w:cs="Arial" w:eastAsia="Arial" w:hAnsi="Arial"/>
          <w:sz w:val="22"/>
          <w:szCs w:val="22"/>
          <w:b w:val="1"/>
          <w:bCs w:val="1"/>
          <w:color w:val="auto"/>
        </w:rPr>
        <w:t>% Notes due</w:t>
      </w:r>
    </w:p>
    <w:p>
      <w:pPr>
        <w:spacing w:after="0" w:line="111" w:lineRule="exact"/>
        <w:rPr>
          <w:sz w:val="24"/>
          <w:szCs w:val="24"/>
          <w:color w:val="auto"/>
        </w:rPr>
      </w:pPr>
    </w:p>
    <w:p>
      <w:pPr>
        <w:ind w:left="720" w:right="40" w:hanging="263"/>
        <w:spacing w:after="0" w:line="258" w:lineRule="auto"/>
        <w:rPr>
          <w:sz w:val="20"/>
          <w:szCs w:val="20"/>
          <w:color w:val="auto"/>
        </w:rPr>
      </w:pPr>
      <w:r>
        <w:rPr>
          <w:rFonts w:ascii="Arial" w:cs="Arial" w:eastAsia="Arial" w:hAnsi="Arial"/>
          <w:sz w:val="18"/>
          <w:szCs w:val="18"/>
          <w:color w:val="auto"/>
        </w:rPr>
        <w:t>We are offering for sale $</w:t>
      </w:r>
      <w:r>
        <w:rPr>
          <w:sz w:val="20"/>
          <w:szCs w:val="20"/>
          <w:color w:val="auto"/>
        </w:rPr>
        <w:t xml:space="preserve"> </w:t>
      </w:r>
      <w:r>
        <w:rPr>
          <w:rFonts w:ascii="Arial" w:cs="Arial" w:eastAsia="Arial" w:hAnsi="Arial"/>
          <w:sz w:val="18"/>
          <w:szCs w:val="18"/>
          <w:color w:val="auto"/>
        </w:rPr>
        <w:t>in aggregate principal amount of % notes due , which we refer to as the Notes. The Notes will mature on . We will pay interest on the Notes on and of each year, beginning on , 2015. We may redeem the Notes in whole or in</w:t>
      </w:r>
    </w:p>
    <w:p>
      <w:pPr>
        <w:spacing w:after="0" w:line="1" w:lineRule="exact"/>
        <w:rPr>
          <w:sz w:val="24"/>
          <w:szCs w:val="24"/>
          <w:color w:val="auto"/>
        </w:rPr>
      </w:pPr>
    </w:p>
    <w:p>
      <w:pPr>
        <w:ind w:right="80"/>
        <w:spacing w:after="0" w:line="295" w:lineRule="auto"/>
        <w:rPr>
          <w:sz w:val="20"/>
          <w:szCs w:val="20"/>
          <w:color w:val="auto"/>
        </w:rPr>
      </w:pPr>
      <w:r>
        <w:rPr>
          <w:rFonts w:ascii="Arial" w:cs="Arial" w:eastAsia="Arial" w:hAnsi="Arial"/>
          <w:sz w:val="16"/>
          <w:szCs w:val="16"/>
          <w:color w:val="auto"/>
        </w:rPr>
        <w:t>part at any time or from time to time, at the redemption price set forth under the caption “Description of the Notes—Optional Redemption” in this prospectus supplement. In addition, holders of the Notes can require us to repurchase some or all of the Notes at a purchase price equal to 100% of their principal amount, plus accrued and unpaid interest to, but not including, the repurchase date upon the occurrence of a “Change of Control Repurchase Event” (as defined herein). The Notes will be issued in minimum denominations of $2,000 and integral multiples of $1,000 in excess thereof.</w:t>
      </w:r>
    </w:p>
    <w:p>
      <w:pPr>
        <w:spacing w:after="0" w:line="53" w:lineRule="exact"/>
        <w:rPr>
          <w:sz w:val="24"/>
          <w:szCs w:val="24"/>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The Notes will be our direct unsecured obligations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existing and future unsecured indebtedness but will rank senior to our future indebtedness that is expressly subordinated in right of payment to the Notes issued by PennantPark Investment Corporation.</w:t>
      </w:r>
    </w:p>
    <w:p>
      <w:pPr>
        <w:spacing w:after="0" w:line="38" w:lineRule="exact"/>
        <w:rPr>
          <w:sz w:val="24"/>
          <w:szCs w:val="24"/>
          <w:color w:val="auto"/>
        </w:rPr>
      </w:pPr>
    </w:p>
    <w:p>
      <w:pPr>
        <w:ind w:right="60" w:firstLine="456"/>
        <w:spacing w:after="0" w:line="276" w:lineRule="auto"/>
        <w:rPr>
          <w:sz w:val="20"/>
          <w:szCs w:val="20"/>
          <w:color w:val="auto"/>
        </w:rPr>
      </w:pPr>
      <w:r>
        <w:rPr>
          <w:rFonts w:ascii="Arial" w:cs="Arial" w:eastAsia="Arial" w:hAnsi="Arial"/>
          <w:sz w:val="17"/>
          <w:szCs w:val="17"/>
          <w:color w:val="auto"/>
        </w:rPr>
        <w:t>PennantPark Investment Corporation,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through debt and equity investments primarily in U.S. middle-market private companies in the form of senior secured loans, mezzanine debt and equity investments. We are externally managed by PennantPark Investment Advisers, LLC. PennantPark Investment Administration, LLC provides the administrative services necessary for us to operate.</w:t>
      </w:r>
    </w:p>
    <w:p>
      <w:pPr>
        <w:spacing w:after="0" w:line="64" w:lineRule="exact"/>
        <w:rPr>
          <w:sz w:val="24"/>
          <w:szCs w:val="24"/>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The information on our website is not incorporated by reference into this prospectus supplement or the accompanying prospectus.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 also maintains a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such information free of charge.</w:t>
      </w:r>
    </w:p>
    <w:p>
      <w:pPr>
        <w:spacing w:after="0" w:line="66" w:lineRule="exact"/>
        <w:rPr>
          <w:sz w:val="24"/>
          <w:szCs w:val="24"/>
          <w:color w:val="auto"/>
        </w:rPr>
      </w:pPr>
    </w:p>
    <w:p>
      <w:pPr>
        <w:ind w:right="300" w:firstLine="456"/>
        <w:spacing w:after="0" w:line="266" w:lineRule="auto"/>
        <w:rPr>
          <w:sz w:val="20"/>
          <w:szCs w:val="20"/>
          <w:color w:val="auto"/>
        </w:rPr>
      </w:pPr>
      <w:r>
        <w:rPr>
          <w:rFonts w:ascii="Arial" w:cs="Arial" w:eastAsia="Arial" w:hAnsi="Arial"/>
          <w:sz w:val="18"/>
          <w:szCs w:val="18"/>
          <w:b w:val="1"/>
          <w:bCs w:val="1"/>
          <w:color w:val="auto"/>
        </w:rPr>
        <w:t>Investing in our securities involves a high degree of risk, including the risk of leverage. Before buying any of our Notes, you should read the discussion of the material risks of investing in us in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S-12 of the this prospectus supplement and page 8 of the accompanying prospectus.</w:t>
      </w:r>
    </w:p>
    <w:p>
      <w:pPr>
        <w:spacing w:after="0" w:line="68" w:lineRule="exact"/>
        <w:rPr>
          <w:sz w:val="24"/>
          <w:szCs w:val="24"/>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620" w:type="dxa"/>
            <w:vAlign w:val="bottom"/>
          </w:tcPr>
          <w:p>
            <w:pPr>
              <w:spacing w:after="0"/>
              <w:rPr>
                <w:sz w:val="14"/>
                <w:szCs w:val="14"/>
                <w:color w:val="auto"/>
              </w:rPr>
            </w:pPr>
          </w:p>
        </w:tc>
        <w:tc>
          <w:tcPr>
            <w:tcW w:w="9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6"/>
              </w:rPr>
              <w:t>Per Note</w:t>
            </w:r>
          </w:p>
        </w:tc>
        <w:tc>
          <w:tcPr>
            <w:tcW w:w="180" w:type="dxa"/>
            <w:vAlign w:val="bottom"/>
          </w:tcPr>
          <w:p>
            <w:pPr>
              <w:spacing w:after="0"/>
              <w:rPr>
                <w:sz w:val="14"/>
                <w:szCs w:val="1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9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Corporation (before estimated expenses of $500,000 )</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24"/>
        </w:trPr>
        <w:tc>
          <w:tcPr>
            <w:tcW w:w="9620" w:type="dxa"/>
            <w:vAlign w:val="bottom"/>
          </w:tcPr>
          <w:p>
            <w:pPr>
              <w:ind w:left="460"/>
              <w:spacing w:after="0"/>
              <w:rPr>
                <w:sz w:val="20"/>
                <w:szCs w:val="20"/>
                <w:color w:val="auto"/>
              </w:rPr>
            </w:pPr>
            <w:r>
              <w:rPr>
                <w:rFonts w:ascii="Arial" w:cs="Arial" w:eastAsia="Arial" w:hAnsi="Arial"/>
                <w:sz w:val="18"/>
                <w:szCs w:val="18"/>
                <w:color w:val="auto"/>
                <w:w w:val="96"/>
              </w:rPr>
              <w:t>The public offering price set forth above does not include accrued interest, if any. Interest on the Notes will accrue from</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 2014.</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5" w:lineRule="exact"/>
        <w:rPr>
          <w:sz w:val="24"/>
          <w:szCs w:val="24"/>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THE NOTES ARE NOT DEPOSITS OR OTHER OBLIGATIONS OF A BANK AND ARE NOT INSURED BY THE FEDERAL DEPOSIT INSURANCE CORPORATION OR ANY OTHER GOVERNMENT AGENCY.</w:t>
      </w:r>
    </w:p>
    <w:p>
      <w:pPr>
        <w:sectPr>
          <w:pgSz w:w="11900" w:h="16838" w:orient="portrait"/>
          <w:cols w:equalWidth="0" w:num="1">
            <w:col w:w="11420"/>
          </w:cols>
          <w:pgMar w:left="240" w:top="230" w:right="239" w:bottom="1440" w:gutter="0" w:footer="0" w:header="0"/>
        </w:sectPr>
      </w:pPr>
    </w:p>
    <w:p>
      <w:pPr>
        <w:spacing w:after="0" w:line="5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Delivery of the Notes in book-entry form through The Depository Trust Company, or DTC, will be made on or about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 2014.</w:t>
      </w:r>
    </w:p>
    <w:p>
      <w:pPr>
        <w:spacing w:after="0" w:line="161" w:lineRule="exact"/>
        <w:rPr>
          <w:sz w:val="24"/>
          <w:szCs w:val="24"/>
          <w:color w:val="auto"/>
        </w:rPr>
      </w:pPr>
    </w:p>
    <w:p>
      <w:pPr>
        <w:sectPr>
          <w:pgSz w:w="11900" w:h="16838" w:orient="portrait"/>
          <w:cols w:equalWidth="0" w:num="2">
            <w:col w:w="8940" w:space="720"/>
            <w:col w:w="1760"/>
          </w:cols>
          <w:pgMar w:left="240" w:top="230"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Goldman, Sachs &amp; 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Morgan Stanley</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6"/>
          <w:szCs w:val="16"/>
          <w:b w:val="1"/>
          <w:bCs w:val="1"/>
          <w:color w:val="auto"/>
        </w:rPr>
        <w:t>SunTrust Robinson Humphrey</w:t>
      </w:r>
    </w:p>
    <w:p>
      <w:pPr>
        <w:spacing w:after="0" w:line="158" w:lineRule="exact"/>
        <w:rPr>
          <w:sz w:val="24"/>
          <w:szCs w:val="24"/>
          <w:color w:val="auto"/>
        </w:rPr>
      </w:pPr>
    </w:p>
    <w:p>
      <w:pPr>
        <w:sectPr>
          <w:pgSz w:w="11900" w:h="16838" w:orient="portrait"/>
          <w:cols w:equalWidth="0" w:num="4">
            <w:col w:w="1120" w:space="720"/>
            <w:col w:w="2600" w:space="720"/>
            <w:col w:w="1900" w:space="720"/>
            <w:col w:w="3640"/>
          </w:cols>
          <w:pgMar w:left="240" w:top="230" w:right="239" w:bottom="1440" w:gutter="0" w:footer="0" w:header="0"/>
          <w:type w:val="continuous"/>
        </w:sectPr>
      </w:pPr>
    </w:p>
    <w:p>
      <w:pPr>
        <w:ind w:left="3600"/>
        <w:spacing w:after="0"/>
        <w:rPr>
          <w:sz w:val="20"/>
          <w:szCs w:val="20"/>
          <w:color w:val="auto"/>
        </w:rPr>
      </w:pPr>
      <w:r>
        <w:rPr>
          <w:rFonts w:ascii="Arial" w:cs="Arial" w:eastAsia="Arial" w:hAnsi="Arial"/>
          <w:sz w:val="16"/>
          <w:szCs w:val="16"/>
          <w:color w:val="auto"/>
        </w:rPr>
        <w:t>The date of this prospectus supplement is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 2014.</w:t>
      </w:r>
    </w:p>
    <w:p>
      <w:pPr>
        <w:sectPr>
          <w:pgSz w:w="11900" w:h="16838" w:orient="portrait"/>
          <w:cols w:equalWidth="0" w:num="2">
            <w:col w:w="6620" w:space="720"/>
            <w:col w:w="408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supplement and the accompanying prospectus when considering whether to purchase any securities offered by this prospectus supplement.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80" w:type="dxa"/>
            <w:vAlign w:val="bottom"/>
            <w:gridSpan w:val="5"/>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gridSpan w:val="5"/>
          </w:tcPr>
          <w:p>
            <w:pPr>
              <w:jc w:val="center"/>
              <w:ind w:right="3240"/>
              <w:spacing w:after="0"/>
              <w:rPr>
                <w:sz w:val="20"/>
                <w:szCs w:val="20"/>
                <w:color w:val="auto"/>
              </w:rPr>
            </w:pPr>
            <w:r>
              <w:rPr>
                <w:rFonts w:ascii="Arial" w:cs="Arial" w:eastAsia="Arial" w:hAnsi="Arial"/>
                <w:sz w:val="18"/>
                <w:szCs w:val="18"/>
                <w:b w:val="1"/>
                <w:bCs w:val="1"/>
                <w:color w:val="auto"/>
                <w:w w:val="97"/>
              </w:rPr>
              <w:t>PROSPECTUS SUPPLEMENT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920" w:type="dxa"/>
            <w:vAlign w:val="bottom"/>
            <w:gridSpan w:val="25"/>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SUPPLEMENTAL PROSPECTUS SUMMARY</w:t>
              </w:r>
            </w:hyperlink>
          </w:p>
        </w:tc>
        <w:tc>
          <w:tcPr>
            <w:tcW w:w="4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20" w:type="dxa"/>
            <w:vAlign w:val="bottom"/>
            <w:gridSpan w:val="25"/>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68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SUMMARY OF THE OFFERING</w:t>
              </w:r>
            </w:hyperlink>
          </w:p>
        </w:tc>
        <w:tc>
          <w:tcPr>
            <w:tcW w:w="1020" w:type="dxa"/>
            <w:vAlign w:val="bottom"/>
            <w:tcBorders>
              <w:top w:val="single" w:sz="8" w:color="0000EE"/>
            </w:tcBorders>
            <w:gridSpan w:val="4"/>
          </w:tcPr>
          <w:p>
            <w:pPr>
              <w:spacing w:after="0"/>
              <w:rPr>
                <w:sz w:val="18"/>
                <w:szCs w:val="18"/>
                <w:color w:val="auto"/>
              </w:rPr>
            </w:pPr>
          </w:p>
        </w:tc>
        <w:tc>
          <w:tcPr>
            <w:tcW w:w="7220" w:type="dxa"/>
            <w:vAlign w:val="bottom"/>
            <w:gridSpan w:val="7"/>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FORWARD-LOOKING STATEMENTS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5">
              <w:r>
                <w:rPr>
                  <w:rFonts w:ascii="Arial" w:cs="Arial" w:eastAsia="Arial" w:hAnsi="Arial"/>
                  <w:sz w:val="18"/>
                  <w:szCs w:val="18"/>
                  <w:b w:val="1"/>
                  <w:bCs w:val="1"/>
                  <w:color w:val="0000EE"/>
                  <w:w w:val="97"/>
                </w:rPr>
                <w:t>RISK FACTORS</w:t>
              </w:r>
            </w:hyperlink>
          </w:p>
        </w:tc>
        <w:tc>
          <w:tcPr>
            <w:tcW w:w="1780" w:type="dxa"/>
            <w:vAlign w:val="bottom"/>
            <w:tcBorders>
              <w:top w:val="single" w:sz="8" w:color="0000EE"/>
            </w:tcBorders>
            <w:gridSpan w:val="13"/>
          </w:tcPr>
          <w:p>
            <w:pPr>
              <w:spacing w:after="0"/>
              <w:rPr>
                <w:sz w:val="17"/>
                <w:szCs w:val="17"/>
                <w:color w:val="auto"/>
              </w:rPr>
            </w:pPr>
          </w:p>
        </w:tc>
        <w:tc>
          <w:tcPr>
            <w:tcW w:w="780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5"/>
              </w:rPr>
            </w:pPr>
            <w:hyperlink w:anchor="page19">
              <w:r>
                <w:rPr>
                  <w:rFonts w:ascii="Arial" w:cs="Arial" w:eastAsia="Arial" w:hAnsi="Arial"/>
                  <w:sz w:val="18"/>
                  <w:szCs w:val="18"/>
                  <w:b w:val="1"/>
                  <w:bCs w:val="1"/>
                  <w:color w:val="0000EE"/>
                  <w:w w:val="95"/>
                </w:rPr>
                <w:t>USE OF PROCEEDS</w:t>
              </w:r>
            </w:hyperlink>
          </w:p>
        </w:tc>
        <w:tc>
          <w:tcPr>
            <w:tcW w:w="924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CAPITALIZATION</w:t>
              </w:r>
            </w:hyperlink>
          </w:p>
        </w:tc>
        <w:tc>
          <w:tcPr>
            <w:tcW w:w="9340" w:type="dxa"/>
            <w:vAlign w:val="bottom"/>
            <w:gridSpan w:val="1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RATIO OF EARNINGS TO FIXED CHARGES</w:t>
              </w:r>
            </w:hyperlink>
          </w:p>
        </w:tc>
        <w:tc>
          <w:tcPr>
            <w:tcW w:w="720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SELECTED FINANCIAL DATA</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9"/>
              </w:rPr>
            </w:pPr>
            <w:hyperlink w:anchor="page24">
              <w:r>
                <w:rPr>
                  <w:rFonts w:ascii="Arial" w:cs="Arial" w:eastAsia="Arial" w:hAnsi="Arial"/>
                  <w:sz w:val="18"/>
                  <w:szCs w:val="18"/>
                  <w:b w:val="1"/>
                  <w:bCs w:val="1"/>
                  <w:color w:val="0000EE"/>
                  <w:w w:val="99"/>
                </w:rPr>
                <w:t>MANAGEMENT’S DISCUSSION AND ANALYSIS OF FINANCIAL CONDITION AND RESULTS OF OPERATIONS</w:t>
              </w:r>
            </w:hyperlink>
          </w:p>
        </w:tc>
        <w:tc>
          <w:tcPr>
            <w:tcW w:w="16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S-21</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DESCRIPTION OF THE NOTES</w:t>
              </w:r>
            </w:hyperlink>
          </w:p>
        </w:tc>
        <w:tc>
          <w:tcPr>
            <w:tcW w:w="828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S-35</w:t>
            </w: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SENIOR SECURITIES</w:t>
              </w:r>
            </w:hyperlink>
          </w:p>
        </w:tc>
        <w:tc>
          <w:tcPr>
            <w:tcW w:w="9080" w:type="dxa"/>
            <w:vAlign w:val="bottom"/>
            <w:gridSpan w:val="1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S-46</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CERTAIN U.S. FEDERAL INCOME TAX CONSIDERATIONS</w:t>
              </w:r>
            </w:hyperlink>
          </w:p>
        </w:tc>
        <w:tc>
          <w:tcPr>
            <w:tcW w:w="594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S-47</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UNDERWRITING</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S-50</w:t>
            </w: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LEGAL MATTERS</w:t>
              </w:r>
            </w:hyperlink>
          </w:p>
        </w:tc>
        <w:tc>
          <w:tcPr>
            <w:tcW w:w="9360" w:type="dxa"/>
            <w:vAlign w:val="bottom"/>
            <w:gridSpan w:val="2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S-54</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INDEX TO FINANCIAL STATEMENTS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S-55</w:t>
            </w:r>
          </w:p>
        </w:tc>
        <w:tc>
          <w:tcPr>
            <w:tcW w:w="0" w:type="dxa"/>
            <w:vAlign w:val="bottom"/>
          </w:tcPr>
          <w:p>
            <w:pPr>
              <w:spacing w:after="0"/>
              <w:rPr>
                <w:sz w:val="1"/>
                <w:szCs w:val="1"/>
                <w:color w:val="auto"/>
              </w:rPr>
            </w:pPr>
          </w:p>
        </w:tc>
      </w:tr>
      <w:tr>
        <w:trPr>
          <w:trHeight w:val="561"/>
        </w:trPr>
        <w:tc>
          <w:tcPr>
            <w:tcW w:w="8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40" w:type="dxa"/>
            <w:vAlign w:val="bottom"/>
            <w:gridSpan w:val="2"/>
          </w:tcPr>
          <w:p>
            <w:pPr>
              <w:jc w:val="center"/>
              <w:ind w:right="4480"/>
              <w:spacing w:after="0"/>
              <w:rPr>
                <w:sz w:val="20"/>
                <w:szCs w:val="20"/>
                <w:color w:val="auto"/>
              </w:rPr>
            </w:pPr>
            <w:r>
              <w:rPr>
                <w:rFonts w:ascii="Arial" w:cs="Arial" w:eastAsia="Arial" w:hAnsi="Arial"/>
                <w:sz w:val="18"/>
                <w:szCs w:val="18"/>
                <w:b w:val="1"/>
                <w:bCs w:val="1"/>
                <w:color w:val="auto"/>
                <w:w w:val="9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00" w:type="dxa"/>
            <w:vAlign w:val="bottom"/>
            <w:gridSpan w:val="10"/>
            <w:vMerge w:val="restart"/>
          </w:tcPr>
          <w:p>
            <w:pPr>
              <w:spacing w:after="0"/>
              <w:rPr>
                <w:rFonts w:ascii="Arial" w:cs="Arial" w:eastAsia="Arial" w:hAnsi="Arial"/>
                <w:sz w:val="18"/>
                <w:szCs w:val="18"/>
                <w:b w:val="1"/>
                <w:bCs w:val="1"/>
                <w:color w:val="0000EE"/>
                <w:w w:val="98"/>
              </w:rPr>
            </w:pPr>
            <w:hyperlink w:anchor="page94">
              <w:r>
                <w:rPr>
                  <w:rFonts w:ascii="Arial" w:cs="Arial" w:eastAsia="Arial" w:hAnsi="Arial"/>
                  <w:sz w:val="18"/>
                  <w:szCs w:val="18"/>
                  <w:b w:val="1"/>
                  <w:bCs w:val="1"/>
                  <w:color w:val="0000EE"/>
                  <w:w w:val="98"/>
                </w:rPr>
                <w:t>PROSPECTUS SUMMARY</w:t>
              </w:r>
            </w:hyperlink>
          </w:p>
        </w:tc>
        <w:tc>
          <w:tcPr>
            <w:tcW w:w="8720" w:type="dxa"/>
            <w:vAlign w:val="bottom"/>
            <w:gridSpan w:val="15"/>
            <w:vMerge w:val="restart"/>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200" w:type="dxa"/>
            <w:vAlign w:val="bottom"/>
            <w:tcBorders>
              <w:bottom w:val="single" w:sz="8" w:color="0000EE"/>
            </w:tcBorders>
            <w:gridSpan w:val="10"/>
            <w:vMerge w:val="continue"/>
          </w:tcPr>
          <w:p>
            <w:pPr>
              <w:spacing w:after="0"/>
              <w:rPr>
                <w:sz w:val="13"/>
                <w:szCs w:val="13"/>
                <w:color w:val="auto"/>
              </w:rPr>
            </w:pPr>
          </w:p>
        </w:tc>
        <w:tc>
          <w:tcPr>
            <w:tcW w:w="8720" w:type="dxa"/>
            <w:vAlign w:val="bottom"/>
            <w:gridSpan w:val="15"/>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920" w:type="dxa"/>
            <w:vAlign w:val="bottom"/>
            <w:gridSpan w:val="25"/>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FEES AND EXPENSES</w:t>
              </w:r>
            </w:hyperlink>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7"/>
              </w:rPr>
            </w:pPr>
            <w:hyperlink w:anchor="page101">
              <w:r>
                <w:rPr>
                  <w:rFonts w:ascii="Arial" w:cs="Arial" w:eastAsia="Arial" w:hAnsi="Arial"/>
                  <w:sz w:val="18"/>
                  <w:szCs w:val="18"/>
                  <w:b w:val="1"/>
                  <w:bCs w:val="1"/>
                  <w:color w:val="0000EE"/>
                  <w:w w:val="97"/>
                </w:rPr>
                <w:t>RISK FACTORS</w:t>
              </w:r>
            </w:hyperlink>
          </w:p>
        </w:tc>
        <w:tc>
          <w:tcPr>
            <w:tcW w:w="520" w:type="dxa"/>
            <w:vAlign w:val="bottom"/>
            <w:tcBorders>
              <w:top w:val="single" w:sz="8" w:color="0000EE"/>
            </w:tcBorders>
            <w:gridSpan w:val="7"/>
          </w:tcPr>
          <w:p>
            <w:pPr>
              <w:spacing w:after="0"/>
              <w:rPr>
                <w:sz w:val="17"/>
                <w:szCs w:val="17"/>
                <w:color w:val="auto"/>
              </w:rPr>
            </w:pPr>
          </w:p>
        </w:tc>
        <w:tc>
          <w:tcPr>
            <w:tcW w:w="9060" w:type="dxa"/>
            <w:vAlign w:val="bottom"/>
            <w:gridSpan w:val="1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FORWARD-LOOKING STATEMENTS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5"/>
              </w:rPr>
            </w:pPr>
            <w:hyperlink w:anchor="page130">
              <w:r>
                <w:rPr>
                  <w:rFonts w:ascii="Arial" w:cs="Arial" w:eastAsia="Arial" w:hAnsi="Arial"/>
                  <w:sz w:val="18"/>
                  <w:szCs w:val="18"/>
                  <w:b w:val="1"/>
                  <w:bCs w:val="1"/>
                  <w:color w:val="0000EE"/>
                  <w:w w:val="95"/>
                </w:rPr>
                <w:t>USE OF PROCEEDS</w:t>
              </w:r>
            </w:hyperlink>
          </w:p>
        </w:tc>
        <w:tc>
          <w:tcPr>
            <w:tcW w:w="1440" w:type="dxa"/>
            <w:vAlign w:val="bottom"/>
            <w:tcBorders>
              <w:top w:val="single" w:sz="8" w:color="0000EE"/>
            </w:tcBorders>
            <w:gridSpan w:val="8"/>
          </w:tcPr>
          <w:p>
            <w:pPr>
              <w:spacing w:after="0"/>
              <w:rPr>
                <w:sz w:val="17"/>
                <w:szCs w:val="17"/>
                <w:color w:val="auto"/>
              </w:rPr>
            </w:pPr>
          </w:p>
        </w:tc>
        <w:tc>
          <w:tcPr>
            <w:tcW w:w="7800" w:type="dxa"/>
            <w:vAlign w:val="bottom"/>
            <w:gridSpan w:val="1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SELECTED FINANCIAL DATA</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2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9"/>
              </w:rPr>
            </w:pPr>
            <w:hyperlink w:anchor="page133">
              <w:r>
                <w:rPr>
                  <w:rFonts w:ascii="Arial" w:cs="Arial" w:eastAsia="Arial" w:hAnsi="Arial"/>
                  <w:sz w:val="18"/>
                  <w:szCs w:val="18"/>
                  <w:b w:val="1"/>
                  <w:bCs w:val="1"/>
                  <w:color w:val="0000EE"/>
                  <w:w w:val="99"/>
                </w:rPr>
                <w:t>MANAGEMENT’S DISCUSSION AND ANALYSIS OF FINANCIAL CONDITION AND RESULTS OF OPERATIONS</w:t>
              </w:r>
            </w:hyperlink>
          </w:p>
        </w:tc>
        <w:tc>
          <w:tcPr>
            <w:tcW w:w="160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9"/>
              </w:rPr>
            </w:pPr>
            <w:hyperlink w:anchor="page147">
              <w:r>
                <w:rPr>
                  <w:rFonts w:ascii="Arial" w:cs="Arial" w:eastAsia="Arial" w:hAnsi="Arial"/>
                  <w:sz w:val="18"/>
                  <w:szCs w:val="18"/>
                  <w:b w:val="1"/>
                  <w:bCs w:val="1"/>
                  <w:color w:val="0000EE"/>
                  <w:w w:val="99"/>
                </w:rPr>
                <w:t>SENIOR SECURITIES</w:t>
              </w:r>
            </w:hyperlink>
          </w:p>
        </w:tc>
        <w:tc>
          <w:tcPr>
            <w:tcW w:w="9080" w:type="dxa"/>
            <w:vAlign w:val="bottom"/>
            <w:gridSpan w:val="1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148">
              <w:r>
                <w:rPr>
                  <w:rFonts w:ascii="Arial" w:cs="Arial" w:eastAsia="Arial" w:hAnsi="Arial"/>
                  <w:sz w:val="18"/>
                  <w:szCs w:val="18"/>
                  <w:b w:val="1"/>
                  <w:bCs w:val="1"/>
                  <w:color w:val="0000EE"/>
                </w:rPr>
                <w:t>RATIO OF EARNINGS TO FIXED CHARGES</w:t>
              </w:r>
            </w:hyperlink>
          </w:p>
        </w:tc>
        <w:tc>
          <w:tcPr>
            <w:tcW w:w="7200" w:type="dxa"/>
            <w:vAlign w:val="bottom"/>
            <w:gridSpan w:val="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149">
              <w:r>
                <w:rPr>
                  <w:rFonts w:ascii="Arial" w:cs="Arial" w:eastAsia="Arial" w:hAnsi="Arial"/>
                  <w:sz w:val="18"/>
                  <w:szCs w:val="18"/>
                  <w:b w:val="1"/>
                  <w:bCs w:val="1"/>
                  <w:color w:val="0000EE"/>
                </w:rPr>
                <w:t>PRICE RANGE OF COMMON STOCK</w:t>
              </w:r>
            </w:hyperlink>
          </w:p>
        </w:tc>
        <w:tc>
          <w:tcPr>
            <w:tcW w:w="776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w w:val="98"/>
              </w:rPr>
            </w:pPr>
            <w:hyperlink w:anchor="page150">
              <w:r>
                <w:rPr>
                  <w:rFonts w:ascii="Arial" w:cs="Arial" w:eastAsia="Arial" w:hAnsi="Arial"/>
                  <w:sz w:val="18"/>
                  <w:szCs w:val="18"/>
                  <w:b w:val="1"/>
                  <w:bCs w:val="1"/>
                  <w:color w:val="0000EE"/>
                  <w:w w:val="98"/>
                </w:rPr>
                <w:t>SALES OF COMMON STOCK BELOW NET ASSET VALUE</w:t>
              </w:r>
            </w:hyperlink>
          </w:p>
        </w:tc>
        <w:tc>
          <w:tcPr>
            <w:tcW w:w="604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rPr>
            </w:pPr>
            <w:hyperlink w:anchor="page156">
              <w:r>
                <w:rPr>
                  <w:rFonts w:ascii="Arial" w:cs="Arial" w:eastAsia="Arial" w:hAnsi="Arial"/>
                  <w:sz w:val="18"/>
                  <w:szCs w:val="18"/>
                  <w:b w:val="1"/>
                  <w:bCs w:val="1"/>
                  <w:color w:val="0000EE"/>
                </w:rPr>
                <w:t>DISTRIBUTIONS</w:t>
              </w:r>
            </w:hyperlink>
          </w:p>
        </w:tc>
        <w:tc>
          <w:tcPr>
            <w:tcW w:w="9440" w:type="dxa"/>
            <w:vAlign w:val="bottom"/>
            <w:gridSpan w:val="21"/>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Borders>
              <w:bottom w:val="single" w:sz="8" w:color="0000EE"/>
            </w:tcBorders>
          </w:tcPr>
          <w:p>
            <w:pPr>
              <w:spacing w:after="0" w:line="196" w:lineRule="exact"/>
              <w:rPr>
                <w:rFonts w:ascii="Arial" w:cs="Arial" w:eastAsia="Arial" w:hAnsi="Arial"/>
                <w:sz w:val="18"/>
                <w:szCs w:val="18"/>
                <w:b w:val="1"/>
                <w:bCs w:val="1"/>
                <w:color w:val="0000EE"/>
                <w:w w:val="93"/>
              </w:rPr>
            </w:pPr>
            <w:hyperlink w:anchor="page158">
              <w:r>
                <w:rPr>
                  <w:rFonts w:ascii="Arial" w:cs="Arial" w:eastAsia="Arial" w:hAnsi="Arial"/>
                  <w:sz w:val="18"/>
                  <w:szCs w:val="18"/>
                  <w:b w:val="1"/>
                  <w:bCs w:val="1"/>
                  <w:color w:val="0000EE"/>
                  <w:w w:val="93"/>
                </w:rPr>
                <w:t>BUSINESS</w:t>
              </w:r>
            </w:hyperlink>
          </w:p>
        </w:tc>
        <w:tc>
          <w:tcPr>
            <w:tcW w:w="10040" w:type="dxa"/>
            <w:vAlign w:val="bottom"/>
            <w:gridSpan w:val="2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63">
              <w:r>
                <w:rPr>
                  <w:rFonts w:ascii="Arial" w:cs="Arial" w:eastAsia="Arial" w:hAnsi="Arial"/>
                  <w:sz w:val="18"/>
                  <w:szCs w:val="18"/>
                  <w:b w:val="1"/>
                  <w:bCs w:val="1"/>
                  <w:color w:val="0000EE"/>
                </w:rPr>
                <w:t>INVESTMENT OBJECTIVES AND POLICIES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rPr>
            </w:pPr>
            <w:hyperlink w:anchor="page169">
              <w:r>
                <w:rPr>
                  <w:rFonts w:ascii="Arial" w:cs="Arial" w:eastAsia="Arial" w:hAnsi="Arial"/>
                  <w:sz w:val="18"/>
                  <w:szCs w:val="18"/>
                  <w:b w:val="1"/>
                  <w:bCs w:val="1"/>
                  <w:color w:val="0000EE"/>
                </w:rPr>
                <w:t>PORTFOLIO COMPANIES</w:t>
              </w:r>
            </w:hyperlink>
          </w:p>
        </w:tc>
        <w:tc>
          <w:tcPr>
            <w:tcW w:w="1520" w:type="dxa"/>
            <w:vAlign w:val="bottom"/>
            <w:tcBorders>
              <w:top w:val="single" w:sz="8" w:color="0000EE"/>
            </w:tcBorders>
            <w:gridSpan w:val="9"/>
          </w:tcPr>
          <w:p>
            <w:pPr>
              <w:spacing w:after="0"/>
              <w:rPr>
                <w:sz w:val="17"/>
                <w:szCs w:val="17"/>
                <w:color w:val="auto"/>
              </w:rPr>
            </w:pPr>
          </w:p>
        </w:tc>
        <w:tc>
          <w:tcPr>
            <w:tcW w:w="7180" w:type="dxa"/>
            <w:vAlign w:val="bottom"/>
            <w:gridSpan w:val="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20" w:type="dxa"/>
            <w:vAlign w:val="bottom"/>
            <w:gridSpan w:val="25"/>
          </w:tcPr>
          <w:p>
            <w:pPr>
              <w:spacing w:after="0" w:line="196" w:lineRule="exact"/>
              <w:rPr>
                <w:rFonts w:ascii="Arial" w:cs="Arial" w:eastAsia="Arial" w:hAnsi="Arial"/>
                <w:sz w:val="18"/>
                <w:szCs w:val="18"/>
                <w:b w:val="1"/>
                <w:bCs w:val="1"/>
                <w:color w:val="0000EE"/>
              </w:rPr>
            </w:pPr>
            <w:hyperlink w:anchor="page174">
              <w:r>
                <w:rPr>
                  <w:rFonts w:ascii="Arial" w:cs="Arial" w:eastAsia="Arial" w:hAnsi="Arial"/>
                  <w:sz w:val="18"/>
                  <w:szCs w:val="18"/>
                  <w:b w:val="1"/>
                  <w:bCs w:val="1"/>
                  <w:color w:val="0000EE"/>
                </w:rPr>
                <w:t>MANAGEMENT</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3"/>
            <w:shd w:val="clear" w:color="auto" w:fill="0000EE"/>
          </w:tcPr>
          <w:p>
            <w:pPr>
              <w:spacing w:after="0" w:line="20" w:lineRule="exact"/>
              <w:rPr>
                <w:sz w:val="1"/>
                <w:szCs w:val="1"/>
                <w:color w:val="auto"/>
              </w:rPr>
            </w:pPr>
          </w:p>
        </w:tc>
        <w:tc>
          <w:tcPr>
            <w:tcW w:w="3460" w:type="dxa"/>
            <w:vAlign w:val="bottom"/>
            <w:gridSpan w:val="18"/>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9"/>
              </w:rPr>
            </w:pPr>
            <w:hyperlink w:anchor="page181">
              <w:r>
                <w:rPr>
                  <w:rFonts w:ascii="Arial" w:cs="Arial" w:eastAsia="Arial" w:hAnsi="Arial"/>
                  <w:sz w:val="18"/>
                  <w:szCs w:val="18"/>
                  <w:b w:val="1"/>
                  <w:bCs w:val="1"/>
                  <w:color w:val="0000EE"/>
                  <w:w w:val="99"/>
                </w:rPr>
                <w:t>CONTROL PERSONS AND PRINCIPAL STOCKHOLDERS</w:t>
              </w:r>
            </w:hyperlink>
          </w:p>
        </w:tc>
        <w:tc>
          <w:tcPr>
            <w:tcW w:w="6100" w:type="dxa"/>
            <w:vAlign w:val="bottom"/>
            <w:gridSpan w:val="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0" w:type="dxa"/>
            <w:vAlign w:val="bottom"/>
            <w:gridSpan w:val="18"/>
            <w:vMerge w:val="restart"/>
          </w:tcPr>
          <w:p>
            <w:pPr>
              <w:spacing w:after="0"/>
              <w:rPr>
                <w:rFonts w:ascii="Arial" w:cs="Arial" w:eastAsia="Arial" w:hAnsi="Arial"/>
                <w:sz w:val="18"/>
                <w:szCs w:val="18"/>
                <w:b w:val="1"/>
                <w:bCs w:val="1"/>
                <w:color w:val="0000EE"/>
              </w:rPr>
            </w:pPr>
            <w:hyperlink w:anchor="page183">
              <w:r>
                <w:rPr>
                  <w:rFonts w:ascii="Arial" w:cs="Arial" w:eastAsia="Arial" w:hAnsi="Arial"/>
                  <w:sz w:val="18"/>
                  <w:szCs w:val="18"/>
                  <w:b w:val="1"/>
                  <w:bCs w:val="1"/>
                  <w:color w:val="0000EE"/>
                </w:rPr>
                <w:t>CERTAIN RELATIONSHIPS AND TRANSACTIONS</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1000" w:type="dxa"/>
            <w:vAlign w:val="bottom"/>
            <w:gridSpan w:val="18"/>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0"/>
        </w:trPr>
        <w:tc>
          <w:tcPr>
            <w:tcW w:w="3560" w:type="dxa"/>
            <w:vAlign w:val="bottom"/>
            <w:tcBorders>
              <w:top w:val="single" w:sz="8" w:color="0000EE"/>
              <w:bottom w:val="single" w:sz="8" w:color="0000EE"/>
            </w:tcBorders>
            <w:gridSpan w:val="9"/>
          </w:tcPr>
          <w:p>
            <w:pPr>
              <w:spacing w:after="0"/>
              <w:rPr>
                <w:rFonts w:ascii="Arial" w:cs="Arial" w:eastAsia="Arial" w:hAnsi="Arial"/>
                <w:sz w:val="18"/>
                <w:szCs w:val="18"/>
                <w:b w:val="1"/>
                <w:bCs w:val="1"/>
                <w:color w:val="0000EE"/>
              </w:rPr>
            </w:pPr>
            <w:hyperlink w:anchor="page189">
              <w:r>
                <w:rPr>
                  <w:rFonts w:ascii="Arial" w:cs="Arial" w:eastAsia="Arial" w:hAnsi="Arial"/>
                  <w:sz w:val="18"/>
                  <w:szCs w:val="18"/>
                  <w:b w:val="1"/>
                  <w:bCs w:val="1"/>
                  <w:color w:val="0000EE"/>
                </w:rPr>
                <w:t>DETERMINATION OF NET ASSET VALUE</w:t>
              </w:r>
            </w:hyperlink>
          </w:p>
        </w:tc>
        <w:tc>
          <w:tcPr>
            <w:tcW w:w="680" w:type="dxa"/>
            <w:vAlign w:val="bottom"/>
            <w:tcBorders>
              <w:top w:val="single" w:sz="8" w:color="0000EE"/>
            </w:tcBorders>
            <w:gridSpan w:val="4"/>
          </w:tcPr>
          <w:p>
            <w:pPr>
              <w:spacing w:after="0"/>
              <w:rPr>
                <w:sz w:val="18"/>
                <w:szCs w:val="18"/>
                <w:color w:val="auto"/>
              </w:rPr>
            </w:pPr>
          </w:p>
        </w:tc>
        <w:tc>
          <w:tcPr>
            <w:tcW w:w="6760" w:type="dxa"/>
            <w:vAlign w:val="bottom"/>
            <w:gridSpan w:val="5"/>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rPr>
            </w:pPr>
            <w:hyperlink w:anchor="page192">
              <w:r>
                <w:rPr>
                  <w:rFonts w:ascii="Arial" w:cs="Arial" w:eastAsia="Arial" w:hAnsi="Arial"/>
                  <w:sz w:val="18"/>
                  <w:szCs w:val="18"/>
                  <w:b w:val="1"/>
                  <w:bCs w:val="1"/>
                  <w:color w:val="0000EE"/>
                </w:rPr>
                <w:t>DIVIDEND REINVESTMENT PLAN</w:t>
              </w:r>
            </w:hyperlink>
          </w:p>
        </w:tc>
        <w:tc>
          <w:tcPr>
            <w:tcW w:w="804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rPr>
            </w:pPr>
            <w:hyperlink w:anchor="page194">
              <w:r>
                <w:rPr>
                  <w:rFonts w:ascii="Arial" w:cs="Arial" w:eastAsia="Arial" w:hAnsi="Arial"/>
                  <w:sz w:val="18"/>
                  <w:szCs w:val="18"/>
                  <w:b w:val="1"/>
                  <w:bCs w:val="1"/>
                  <w:color w:val="0000EE"/>
                </w:rPr>
                <w:t>DESCRIPTION OF OUR CAPITAL STOCK</w:t>
              </w:r>
            </w:hyperlink>
          </w:p>
        </w:tc>
        <w:tc>
          <w:tcPr>
            <w:tcW w:w="74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9"/>
              </w:rPr>
            </w:pPr>
            <w:hyperlink w:anchor="page200">
              <w:r>
                <w:rPr>
                  <w:rFonts w:ascii="Arial" w:cs="Arial" w:eastAsia="Arial" w:hAnsi="Arial"/>
                  <w:sz w:val="18"/>
                  <w:szCs w:val="18"/>
                  <w:b w:val="1"/>
                  <w:bCs w:val="1"/>
                  <w:color w:val="0000EE"/>
                  <w:w w:val="99"/>
                </w:rPr>
                <w:t>DESCRIPTION OF OUR PREFERRED STOCK</w:t>
              </w:r>
            </w:hyperlink>
          </w:p>
        </w:tc>
        <w:tc>
          <w:tcPr>
            <w:tcW w:w="71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9"/>
              </w:rPr>
            </w:pPr>
            <w:hyperlink w:anchor="page201">
              <w:r>
                <w:rPr>
                  <w:rFonts w:ascii="Arial" w:cs="Arial" w:eastAsia="Arial" w:hAnsi="Arial"/>
                  <w:sz w:val="18"/>
                  <w:szCs w:val="18"/>
                  <w:b w:val="1"/>
                  <w:bCs w:val="1"/>
                  <w:color w:val="0000EE"/>
                  <w:w w:val="99"/>
                </w:rPr>
                <w:t>DESCRIPTION OF OUR WARRANTS</w:t>
              </w:r>
            </w:hyperlink>
          </w:p>
        </w:tc>
        <w:tc>
          <w:tcPr>
            <w:tcW w:w="792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108</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9"/>
              </w:rPr>
            </w:pPr>
            <w:hyperlink w:anchor="page203">
              <w:r>
                <w:rPr>
                  <w:rFonts w:ascii="Arial" w:cs="Arial" w:eastAsia="Arial" w:hAnsi="Arial"/>
                  <w:sz w:val="18"/>
                  <w:szCs w:val="18"/>
                  <w:b w:val="1"/>
                  <w:bCs w:val="1"/>
                  <w:color w:val="0000EE"/>
                  <w:w w:val="99"/>
                </w:rPr>
                <w:t>DESCRIPTION OF OUR SUBSCRIPTION RIGHTS</w:t>
              </w:r>
            </w:hyperlink>
          </w:p>
        </w:tc>
        <w:tc>
          <w:tcPr>
            <w:tcW w:w="68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110</w:t>
            </w:r>
          </w:p>
        </w:tc>
        <w:tc>
          <w:tcPr>
            <w:tcW w:w="0" w:type="dxa"/>
            <w:vAlign w:val="bottom"/>
          </w:tcPr>
          <w:p>
            <w:pPr>
              <w:spacing w:after="0"/>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05">
              <w:r>
                <w:rPr>
                  <w:rFonts w:ascii="Arial" w:cs="Arial" w:eastAsia="Arial" w:hAnsi="Arial"/>
                  <w:sz w:val="18"/>
                  <w:szCs w:val="18"/>
                  <w:b w:val="1"/>
                  <w:bCs w:val="1"/>
                  <w:color w:val="0000EE"/>
                </w:rPr>
                <w:t>DESCRIPTION OF OUR DEBT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112</w:t>
            </w:r>
          </w:p>
        </w:tc>
        <w:tc>
          <w:tcPr>
            <w:tcW w:w="0" w:type="dxa"/>
            <w:vAlign w:val="bottom"/>
          </w:tcPr>
          <w:p>
            <w:pPr>
              <w:spacing w:after="0"/>
              <w:rPr>
                <w:sz w:val="1"/>
                <w:szCs w:val="1"/>
                <w:color w:val="auto"/>
              </w:rPr>
            </w:pPr>
          </w:p>
        </w:tc>
      </w:tr>
      <w:tr>
        <w:trPr>
          <w:trHeight w:val="196"/>
        </w:trPr>
        <w:tc>
          <w:tcPr>
            <w:tcW w:w="2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b w:val="1"/>
                <w:bCs w:val="1"/>
                <w:color w:val="0000EE"/>
              </w:rPr>
            </w:pPr>
            <w:hyperlink w:anchor="page218">
              <w:r>
                <w:rPr>
                  <w:rFonts w:ascii="Arial" w:cs="Arial" w:eastAsia="Arial" w:hAnsi="Arial"/>
                  <w:sz w:val="18"/>
                  <w:szCs w:val="18"/>
                  <w:b w:val="1"/>
                  <w:bCs w:val="1"/>
                  <w:color w:val="0000EE"/>
                </w:rPr>
                <w:t>DESCRIPTION OF OUR UNITS</w:t>
              </w:r>
            </w:hyperlink>
          </w:p>
        </w:tc>
        <w:tc>
          <w:tcPr>
            <w:tcW w:w="1060" w:type="dxa"/>
            <w:vAlign w:val="bottom"/>
            <w:tcBorders>
              <w:top w:val="single" w:sz="8" w:color="0000EE"/>
            </w:tcBorders>
            <w:gridSpan w:val="6"/>
          </w:tcPr>
          <w:p>
            <w:pPr>
              <w:spacing w:after="0"/>
              <w:rPr>
                <w:sz w:val="17"/>
                <w:szCs w:val="17"/>
                <w:color w:val="auto"/>
              </w:rPr>
            </w:pPr>
          </w:p>
        </w:tc>
        <w:tc>
          <w:tcPr>
            <w:tcW w:w="73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19">
              <w:r>
                <w:rPr>
                  <w:rFonts w:ascii="Arial" w:cs="Arial" w:eastAsia="Arial" w:hAnsi="Arial"/>
                  <w:sz w:val="18"/>
                  <w:szCs w:val="18"/>
                  <w:b w:val="1"/>
                  <w:bCs w:val="1"/>
                  <w:color w:val="0000EE"/>
                </w:rPr>
                <w:t>REGULATION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225">
              <w:r>
                <w:rPr>
                  <w:rFonts w:ascii="Arial" w:cs="Arial" w:eastAsia="Arial" w:hAnsi="Arial"/>
                  <w:sz w:val="18"/>
                  <w:szCs w:val="18"/>
                  <w:b w:val="1"/>
                  <w:bCs w:val="1"/>
                  <w:color w:val="0000EE"/>
                </w:rPr>
                <w:t>BROKERAGE ALLOCATIONS AND OTHER PRACTICES</w:t>
              </w:r>
            </w:hyperlink>
          </w:p>
        </w:tc>
        <w:tc>
          <w:tcPr>
            <w:tcW w:w="62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132</w:t>
            </w:r>
          </w:p>
        </w:tc>
        <w:tc>
          <w:tcPr>
            <w:tcW w:w="0" w:type="dxa"/>
            <w:vAlign w:val="bottom"/>
          </w:tcPr>
          <w:p>
            <w:pPr>
              <w:spacing w:after="0"/>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26">
              <w:r>
                <w:rPr>
                  <w:rFonts w:ascii="Arial" w:cs="Arial" w:eastAsia="Arial" w:hAnsi="Arial"/>
                  <w:sz w:val="18"/>
                  <w:szCs w:val="18"/>
                  <w:b w:val="1"/>
                  <w:bCs w:val="1"/>
                  <w:color w:val="0000EE"/>
                </w:rPr>
                <w:t>MATERIAL U.S. FEDERAL INCOME TAX CONSIDERATIONS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14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232">
              <w:r>
                <w:rPr>
                  <w:rFonts w:ascii="Arial" w:cs="Arial" w:eastAsia="Arial" w:hAnsi="Arial"/>
                  <w:sz w:val="18"/>
                  <w:szCs w:val="18"/>
                  <w:b w:val="1"/>
                  <w:bCs w:val="1"/>
                  <w:color w:val="0000EE"/>
                </w:rPr>
                <w:t>PLAN OF DISTRIBUTION</w:t>
              </w:r>
            </w:hyperlink>
          </w:p>
        </w:tc>
        <w:tc>
          <w:tcPr>
            <w:tcW w:w="586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15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880" w:type="dxa"/>
            <w:vAlign w:val="bottom"/>
            <w:gridSpan w:val="8"/>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LEGAL MATTERS</w:t>
              </w:r>
            </w:hyperlink>
          </w:p>
        </w:tc>
        <w:tc>
          <w:tcPr>
            <w:tcW w:w="4640" w:type="dxa"/>
            <w:vAlign w:val="bottom"/>
            <w:tcBorders>
              <w:top w:val="single" w:sz="8" w:color="0000EE"/>
            </w:tcBorders>
            <w:gridSpan w:val="15"/>
          </w:tcPr>
          <w:p>
            <w:pPr>
              <w:spacing w:after="0"/>
              <w:rPr>
                <w:sz w:val="17"/>
                <w:szCs w:val="17"/>
                <w:color w:val="auto"/>
              </w:rPr>
            </w:pPr>
          </w:p>
        </w:tc>
        <w:tc>
          <w:tcPr>
            <w:tcW w:w="48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11000" w:type="dxa"/>
            <w:vAlign w:val="bottom"/>
            <w:gridSpan w:val="18"/>
          </w:tcPr>
          <w:p>
            <w:pPr>
              <w:spacing w:after="0" w:line="196" w:lineRule="exact"/>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196"/>
        </w:trPr>
        <w:tc>
          <w:tcPr>
            <w:tcW w:w="5080" w:type="dxa"/>
            <w:vAlign w:val="bottom"/>
            <w:tcBorders>
              <w:top w:val="single" w:sz="8" w:color="0000EE"/>
            </w:tcBorders>
            <w:gridSpan w:val="15"/>
          </w:tcPr>
          <w:p>
            <w:pPr>
              <w:spacing w:after="0" w:line="196" w:lineRule="exact"/>
              <w:rPr>
                <w:rFonts w:ascii="Arial" w:cs="Arial" w:eastAsia="Arial" w:hAnsi="Arial"/>
                <w:sz w:val="18"/>
                <w:szCs w:val="18"/>
                <w:b w:val="1"/>
                <w:bCs w:val="1"/>
                <w:color w:val="0000EE"/>
              </w:rPr>
            </w:pPr>
            <w:hyperlink w:anchor="page234">
              <w:r>
                <w:rPr>
                  <w:rFonts w:ascii="Arial" w:cs="Arial" w:eastAsia="Arial" w:hAnsi="Arial"/>
                  <w:sz w:val="18"/>
                  <w:szCs w:val="18"/>
                  <w:b w:val="1"/>
                  <w:bCs w:val="1"/>
                  <w:color w:val="0000EE"/>
                </w:rPr>
                <w:t>INDEX TO FINANCIAL STATEMENTS</w:t>
              </w:r>
            </w:hyperlink>
          </w:p>
        </w:tc>
        <w:tc>
          <w:tcPr>
            <w:tcW w:w="59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1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5312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SUPPLEMENTAL PROSPECTUS SUMMARY</w:t>
      </w:r>
    </w:p>
    <w:p>
      <w:pPr>
        <w:spacing w:after="0" w:line="229"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Some of the statements in this prospectus supplement and accompanying prospectus constitute forward-looking statements, which apply to both us and our consolidated Small Business Investment Company, or SBIC,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 In this prospectus supplement and the accompanying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U.S.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200" w:right="340" w:firstLine="443"/>
        <w:spacing w:after="0" w:line="34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24" w:lineRule="exact"/>
        <w:rPr>
          <w:sz w:val="20"/>
          <w:szCs w:val="20"/>
          <w:color w:val="auto"/>
        </w:rPr>
      </w:pPr>
    </w:p>
    <w:p>
      <w:pPr>
        <w:ind w:left="200" w:right="60" w:firstLine="443"/>
        <w:spacing w:after="0" w:line="271" w:lineRule="auto"/>
        <w:rPr>
          <w:sz w:val="20"/>
          <w:szCs w:val="20"/>
          <w:color w:val="auto"/>
        </w:rPr>
      </w:pPr>
      <w:r>
        <w:rPr>
          <w:rFonts w:ascii="Arial" w:cs="Arial" w:eastAsia="Arial" w:hAnsi="Arial"/>
          <w:sz w:val="17"/>
          <w:szCs w:val="17"/>
          <w:color w:val="auto"/>
        </w:rPr>
        <w:t>We believe the middle-market offers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7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SBA debentures, proceeds from the rotation of our portfolio and proceeds from public and private offerings of securities to finance our investment objectives.</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32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57327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PennantPark Investment Corporation was organized under the Maryland General Corporation Law in January 2007. We are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$1.9 billion in debt and equity capital and has invested approximately $3.8 billion in over 300 companies with 140 different financial sponsors through its managed funds.</w:t>
      </w:r>
    </w:p>
    <w:p>
      <w:pPr>
        <w:spacing w:after="0" w:line="182"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80" w:firstLine="443"/>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1060" w:right="40" w:hanging="431"/>
        <w:spacing w:after="0" w:line="261" w:lineRule="auto"/>
        <w:tabs>
          <w:tab w:leader="none" w:pos="10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may be more difficult from time to time to the extent institutional investors seek to invest in larger, more liquid offerings. We believe this has periodically made it harder for middle-market companies to raise funds by issuing high-yield debt securities.</w:t>
      </w: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92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6092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right="140" w:hanging="431"/>
        <w:spacing w:after="0" w:line="266"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hedge funds and collateralized loan obligation, or CLO, funds have, and may again, withdrawn capital from the middle-market, resulting in opportunities for alternative funding sources.</w:t>
      </w:r>
    </w:p>
    <w:p>
      <w:pPr>
        <w:spacing w:after="0" w:line="81" w:lineRule="exact"/>
        <w:rPr>
          <w:rFonts w:ascii="Arial" w:cs="Arial" w:eastAsia="Arial" w:hAnsi="Arial"/>
          <w:sz w:val="18"/>
          <w:szCs w:val="18"/>
          <w:color w:val="auto"/>
        </w:rPr>
      </w:pPr>
    </w:p>
    <w:p>
      <w:pPr>
        <w:ind w:left="1060" w:hanging="431"/>
        <w:spacing w:after="0" w:line="289"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credit market dislocation for middle-market companies improves the risk-adjusted returns on our investments. </w:t>
      </w:r>
      <w:r>
        <w:rPr>
          <w:rFonts w:ascii="Arial" w:cs="Arial" w:eastAsia="Arial" w:hAnsi="Arial"/>
          <w:sz w:val="17"/>
          <w:szCs w:val="17"/>
          <w:color w:val="auto"/>
        </w:rPr>
        <w:t>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market participants have reduced lending to middle-market and non-investment grade borrowers. As a result,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1060" w:hanging="431"/>
        <w:spacing w:after="0" w:line="298"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These 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59" w:lineRule="exact"/>
        <w:rPr>
          <w:rFonts w:ascii="Arial" w:cs="Arial" w:eastAsia="Arial" w:hAnsi="Arial"/>
          <w:sz w:val="16"/>
          <w:szCs w:val="16"/>
          <w:color w:val="auto"/>
        </w:rPr>
      </w:pPr>
    </w:p>
    <w:p>
      <w:pPr>
        <w:ind w:left="1060" w:right="60" w:hanging="431"/>
        <w:spacing w:after="0" w:line="256"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there is substantial supply of opportunities resulting from maturing loans that seek refinancing. </w:t>
      </w:r>
      <w:r>
        <w:rPr>
          <w:rFonts w:ascii="Arial" w:cs="Arial" w:eastAsia="Arial" w:hAnsi="Arial"/>
          <w:sz w:val="18"/>
          <w:szCs w:val="18"/>
          <w:color w:val="auto"/>
        </w:rPr>
        <w:t>A high volume of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117"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The senior professionals of our Investment Adviser have worked together for many years and average over 25 years of experience in mezzanine lending, leveraged finance, distressed debt and private equity businesses. These senior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7"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117" w:lineRule="exact"/>
        <w:rPr>
          <w:sz w:val="20"/>
          <w:szCs w:val="20"/>
          <w:color w:val="auto"/>
        </w:rPr>
      </w:pPr>
    </w:p>
    <w:p>
      <w:pPr>
        <w:ind w:left="200" w:right="60" w:firstLine="443"/>
        <w:spacing w:after="0" w:line="257"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72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972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333"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7"/>
          <w:szCs w:val="17"/>
          <w:b w:val="1"/>
          <w:bCs w:val="1"/>
          <w:i w:val="1"/>
          <w:iCs w:val="1"/>
          <w:color w:val="auto"/>
        </w:rPr>
        <w:t>c. Ability to Source and Evaluate Transactions through our Investment Adviser’s Research Capability and Established Network</w:t>
      </w:r>
    </w:p>
    <w:p>
      <w:pPr>
        <w:spacing w:after="0" w:line="12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6"/>
          <w:szCs w:val="16"/>
          <w:color w:val="auto"/>
        </w:rPr>
        <w:t>The management team of the Investment Adviser has long-term relationships with financial sponsors, management consultants and management</w:t>
      </w:r>
    </w:p>
    <w:p>
      <w:pPr>
        <w:spacing w:after="0" w:line="46" w:lineRule="exact"/>
        <w:rPr>
          <w:sz w:val="20"/>
          <w:szCs w:val="20"/>
          <w:color w:val="auto"/>
        </w:rPr>
      </w:pPr>
    </w:p>
    <w:p>
      <w:pPr>
        <w:ind w:left="200" w:right="40"/>
        <w:spacing w:after="0" w:line="254" w:lineRule="auto"/>
        <w:rPr>
          <w:sz w:val="20"/>
          <w:szCs w:val="20"/>
          <w:color w:val="auto"/>
        </w:rPr>
      </w:pPr>
      <w:r>
        <w:rPr>
          <w:rFonts w:ascii="Arial" w:cs="Arial" w:eastAsia="Arial" w:hAnsi="Arial"/>
          <w:sz w:val="18"/>
          <w:szCs w:val="18"/>
          <w:color w:val="auto"/>
        </w:rPr>
        <w:t>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117" w:lineRule="exact"/>
        <w:rPr>
          <w:sz w:val="20"/>
          <w:szCs w:val="20"/>
          <w:color w:val="auto"/>
        </w:rPr>
      </w:pPr>
    </w:p>
    <w:p>
      <w:pPr>
        <w:ind w:left="200" w:right="140" w:firstLine="443"/>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left="200" w:right="520" w:firstLine="443"/>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70"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60" w:firstLine="443"/>
        <w:spacing w:after="0" w:line="276"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We believe this has resulted in a less competitive environment for making new investments.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right="140" w:firstLine="443"/>
        <w:spacing w:after="0" w:line="271" w:lineRule="auto"/>
        <w:rPr>
          <w:sz w:val="20"/>
          <w:szCs w:val="20"/>
          <w:color w:val="auto"/>
        </w:rPr>
      </w:pPr>
      <w:r>
        <w:rPr>
          <w:rFonts w:ascii="Arial" w:cs="Arial" w:eastAsia="Arial" w:hAnsi="Arial"/>
          <w:sz w:val="17"/>
          <w:szCs w:val="17"/>
          <w:color w:val="auto"/>
        </w:rPr>
        <w:t>We maintain a multi-currency $545.0 million Credit Facility which matures in June 2019 and is secured by substantially all of our investment portfolio assets (excluding the assets of our SBIC Funds), under which we had $255.9 million and $145.5 million (including a $28.0 million temporary draw) in outstanding borrowings with a weighted average interest rate of 2.52% and 3.33% as of June 30, 2014 and September 30, 2013, respectively. Pricing of borrowings under our Credit Facility was set at 225 basis points over the London Interbank Offered Rate, or LIBOR, as of June 30, 2014 and at 275 basis points over LIBOR as of September 30, 2013. As of June 30, 2014 and September 30, 2013, we had $289.1 million and $284.5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June 30, 2014 and September 30, 2013, our SBIC Funds had $225.0 million and $150.0 million in debt commitments, respectively,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 million was drawn for each period, with a weighted average interest rate of 3.70%. As of June 30, 2014 and September 30, 2013, we had $75.0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million and no remaining borrowing capacity, respectively, under our SBIC debt commitments. SBA debentures offer competitive terms such as being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non-recourse to us, semi-annual interest payments, not requiring principal payments prior to maturity and may be prepaid at any time without penalty.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SBA debentures are secured by all the investment portfolio assets of SBIC LP and have a priority claim over such assets. See “Regulation” in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accompanying prospectus for more information.</w:t>
      </w:r>
    </w:p>
    <w:p>
      <w:pPr>
        <w:spacing w:after="0" w:line="211" w:lineRule="exact"/>
        <w:rPr>
          <w:sz w:val="20"/>
          <w:szCs w:val="20"/>
          <w:color w:val="auto"/>
        </w:rPr>
      </w:pPr>
    </w:p>
    <w:p>
      <w:pPr>
        <w:ind w:left="200" w:right="340" w:firstLine="443"/>
        <w:spacing w:after="0" w:line="276" w:lineRule="auto"/>
        <w:rPr>
          <w:sz w:val="20"/>
          <w:szCs w:val="20"/>
          <w:color w:val="auto"/>
        </w:rPr>
      </w:pPr>
      <w:r>
        <w:rPr>
          <w:rFonts w:ascii="Arial" w:cs="Arial" w:eastAsia="Arial" w:hAnsi="Arial"/>
          <w:sz w:val="17"/>
          <w:szCs w:val="17"/>
          <w:color w:val="auto"/>
        </w:rPr>
        <w:t>As of June 30, 2014 and September 30,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73" w:lineRule="exact"/>
        <w:rPr>
          <w:sz w:val="20"/>
          <w:szCs w:val="20"/>
          <w:color w:val="auto"/>
        </w:rPr>
      </w:pPr>
    </w:p>
    <w:p>
      <w:pPr>
        <w:ind w:left="200" w:right="700" w:firstLine="443"/>
        <w:spacing w:after="0" w:line="277" w:lineRule="auto"/>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 in this prospectus supplement and in the accompanying prospectus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Our investment activities are managed by PennantPark Investment Advisers and are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2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 in the accompanying prospectus for more information.</w:t>
      </w:r>
    </w:p>
    <w:p>
      <w:pPr>
        <w:spacing w:after="0" w:line="188" w:lineRule="exact"/>
        <w:rPr>
          <w:sz w:val="20"/>
          <w:szCs w:val="20"/>
          <w:color w:val="auto"/>
        </w:rPr>
      </w:pPr>
    </w:p>
    <w:p>
      <w:pPr>
        <w:ind w:left="200" w:right="20" w:firstLine="443"/>
        <w:spacing w:after="0" w:line="30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“Certain U.S. Federal Income Tax Considerations” in this prospectus supplement and “Material U.S. Federal Income Tax Considerations” in the accompanying prospectus for more information.</w:t>
      </w:r>
    </w:p>
    <w:p>
      <w:pPr>
        <w:spacing w:after="0" w:line="154" w:lineRule="exact"/>
        <w:rPr>
          <w:sz w:val="20"/>
          <w:szCs w:val="20"/>
          <w:color w:val="auto"/>
        </w:rPr>
      </w:pPr>
    </w:p>
    <w:p>
      <w:pPr>
        <w:ind w:left="200" w:right="40" w:firstLine="443"/>
        <w:spacing w:after="0" w:line="286" w:lineRule="auto"/>
        <w:rPr>
          <w:sz w:val="20"/>
          <w:szCs w:val="20"/>
          <w:color w:val="auto"/>
        </w:rPr>
      </w:pPr>
      <w:r>
        <w:rPr>
          <w:rFonts w:ascii="Arial" w:cs="Arial" w:eastAsia="Arial" w:hAnsi="Arial"/>
          <w:sz w:val="17"/>
          <w:szCs w:val="17"/>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in the accompanying prospectus for more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We intend to use the net proceeds from selling securities pursuant to this prospectus supplement to reduce outstanding obligations under our Credit Facility. See “Use of Proceeds” in this prospectus supplement for information regarding our outstanding borrowings as of June 30, 2014 and the corresponding interest rate charged on such borrowings as of that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From June 30, 2014 through August 31, 2014, we invested $217.6 million in three new and eight existing portfolio companies with a weighted average yield on debt investments of 13.2%. Sales and repayments of investments for the same period totaled $32.7 million. As of August 31, 2014, there was $452.2 million in outstanding borrowings under the Credit Facility.</w:t>
      </w:r>
    </w:p>
    <w:p>
      <w:pPr>
        <w:spacing w:after="0" w:line="181" w:lineRule="exact"/>
        <w:rPr>
          <w:sz w:val="20"/>
          <w:szCs w:val="20"/>
          <w:color w:val="auto"/>
        </w:rPr>
      </w:pPr>
    </w:p>
    <w:p>
      <w:pPr>
        <w:ind w:left="200" w:right="60" w:firstLine="443"/>
        <w:spacing w:after="0" w:line="277" w:lineRule="auto"/>
        <w:rPr>
          <w:sz w:val="20"/>
          <w:szCs w:val="20"/>
          <w:color w:val="auto"/>
        </w:rPr>
      </w:pPr>
      <w:r>
        <w:rPr>
          <w:rFonts w:ascii="Arial" w:cs="Arial" w:eastAsia="Arial" w:hAnsi="Arial"/>
          <w:sz w:val="18"/>
          <w:szCs w:val="18"/>
          <w:color w:val="auto"/>
        </w:rPr>
        <w:t>On September 10, 2014, we sold 8.5 million shares of our common stock in an offering resulting in net proceeds of $95.4 million. We also granted the underwriters in that offering an option to purchase up to an additional 1.3 million shares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right="80" w:firstLine="443"/>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supplement or the accompanying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prospectus, and you should not consider information contained on our website to be part of this prospectus supplement or accompanying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21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2217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OF THE OFFERING</w:t>
      </w:r>
    </w:p>
    <w:p>
      <w:pPr>
        <w:spacing w:after="0" w:line="229"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This prospectus supplement sets forth certain terms of the Notes that we are offering pursuant to this prospectus supplement and the accompanying prospectus that is attached to the back of this prospectus supplement. This section outlines the specific legal and financial terms of the Notes under the heading “Description of the Notes.” You should read this section together with the more general description of the Notes in the accompanying prospectus under the heading “Description of Our Debt Securities” before investing in the Notes and under the heading “Description of the Notes” in this prospectus supplement. Capitalized terms used in this prospectus supplement and not otherwise defined shall have the meanings ascribed to them in the accompanying prospectus or in the indenture governing the Notes.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Issuer</w:t>
            </w:r>
          </w:p>
        </w:tc>
        <w:tc>
          <w:tcPr>
            <w:tcW w:w="46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PennantPark Investment Corporation</w:t>
            </w:r>
          </w:p>
        </w:tc>
        <w:tc>
          <w:tcPr>
            <w:tcW w:w="2460" w:type="dxa"/>
            <w:vAlign w:val="bottom"/>
            <w:shd w:val="clear" w:color="auto" w:fill="CCEEFF"/>
          </w:tcPr>
          <w:p>
            <w:pPr>
              <w:spacing w:after="0"/>
              <w:rPr>
                <w:sz w:val="18"/>
                <w:szCs w:val="18"/>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Title of the securities</w:t>
            </w:r>
          </w:p>
        </w:tc>
        <w:tc>
          <w:tcPr>
            <w:tcW w:w="2820" w:type="dxa"/>
            <w:vAlign w:val="bottom"/>
            <w:gridSpan w:val="2"/>
          </w:tcPr>
          <w:p>
            <w:pPr>
              <w:ind w:left="1340"/>
              <w:spacing w:after="0"/>
              <w:rPr>
                <w:sz w:val="20"/>
                <w:szCs w:val="20"/>
                <w:color w:val="auto"/>
              </w:rPr>
            </w:pPr>
            <w:r>
              <w:rPr>
                <w:rFonts w:ascii="Arial" w:cs="Arial" w:eastAsia="Arial" w:hAnsi="Arial"/>
                <w:sz w:val="18"/>
                <w:szCs w:val="18"/>
                <w:color w:val="auto"/>
              </w:rPr>
              <w:t>% Notes due</w:t>
            </w:r>
          </w:p>
        </w:tc>
        <w:tc>
          <w:tcPr>
            <w:tcW w:w="17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08"/>
        </w:trPr>
        <w:tc>
          <w:tcPr>
            <w:tcW w:w="40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Initial aggregate principal amount offered</w:t>
            </w:r>
          </w:p>
        </w:tc>
        <w:tc>
          <w:tcPr>
            <w:tcW w:w="21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4600" w:type="dxa"/>
            <w:vAlign w:val="bottom"/>
            <w:gridSpan w:val="3"/>
          </w:tcPr>
          <w:p>
            <w:pPr>
              <w:ind w:left="1340"/>
              <w:spacing w:after="0"/>
              <w:rPr>
                <w:sz w:val="20"/>
                <w:szCs w:val="20"/>
                <w:color w:val="auto"/>
              </w:rPr>
            </w:pPr>
            <w:r>
              <w:rPr>
                <w:rFonts w:ascii="Arial" w:cs="Arial" w:eastAsia="Arial" w:hAnsi="Arial"/>
                <w:sz w:val="18"/>
                <w:szCs w:val="18"/>
                <w:color w:val="auto"/>
              </w:rPr>
              <w:t>% of the aggregate principal amount</w:t>
            </w:r>
          </w:p>
        </w:tc>
        <w:tc>
          <w:tcPr>
            <w:tcW w:w="2460" w:type="dxa"/>
            <w:vAlign w:val="bottom"/>
          </w:tcPr>
          <w:p>
            <w:pPr>
              <w:spacing w:after="0"/>
              <w:rPr>
                <w:sz w:val="24"/>
                <w:szCs w:val="24"/>
                <w:color w:val="auto"/>
              </w:rPr>
            </w:pPr>
          </w:p>
        </w:tc>
      </w:tr>
      <w:tr>
        <w:trPr>
          <w:trHeight w:val="108"/>
        </w:trPr>
        <w:tc>
          <w:tcPr>
            <w:tcW w:w="4000" w:type="dxa"/>
            <w:vAlign w:val="bottom"/>
          </w:tcPr>
          <w:p>
            <w:pPr>
              <w:spacing w:after="0"/>
              <w:rPr>
                <w:sz w:val="9"/>
                <w:szCs w:val="9"/>
                <w:color w:val="auto"/>
              </w:rPr>
            </w:pPr>
          </w:p>
        </w:tc>
        <w:tc>
          <w:tcPr>
            <w:tcW w:w="7060" w:type="dxa"/>
            <w:vAlign w:val="bottom"/>
            <w:gridSpan w:val="4"/>
          </w:tcPr>
          <w:p>
            <w:pPr>
              <w:spacing w:after="0"/>
              <w:rPr>
                <w:sz w:val="9"/>
                <w:szCs w:val="9"/>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Principal payable at maturity</w:t>
            </w:r>
          </w:p>
        </w:tc>
        <w:tc>
          <w:tcPr>
            <w:tcW w:w="7060" w:type="dxa"/>
            <w:vAlign w:val="bottom"/>
            <w:gridSpan w:val="4"/>
            <w:shd w:val="clear" w:color="auto" w:fill="CCEEFF"/>
          </w:tcPr>
          <w:p>
            <w:pPr>
              <w:ind w:left="980"/>
              <w:spacing w:after="0" w:line="201" w:lineRule="exact"/>
              <w:rPr>
                <w:sz w:val="20"/>
                <w:szCs w:val="20"/>
                <w:color w:val="auto"/>
              </w:rPr>
            </w:pPr>
            <w:r>
              <w:rPr>
                <w:rFonts w:ascii="Arial" w:cs="Arial" w:eastAsia="Arial" w:hAnsi="Arial"/>
                <w:sz w:val="18"/>
                <w:szCs w:val="18"/>
                <w:color w:val="auto"/>
                <w:w w:val="92"/>
              </w:rPr>
              <w:t>100% of the aggregate principal amount; the principal amount of each Note will be</w:t>
            </w:r>
          </w:p>
        </w:tc>
      </w:tr>
      <w:tr>
        <w:trPr>
          <w:trHeight w:val="216"/>
        </w:trPr>
        <w:tc>
          <w:tcPr>
            <w:tcW w:w="4000" w:type="dxa"/>
            <w:vAlign w:val="bottom"/>
            <w:shd w:val="clear" w:color="auto" w:fill="CCEEFF"/>
          </w:tcPr>
          <w:p>
            <w:pPr>
              <w:spacing w:after="0"/>
              <w:rPr>
                <w:sz w:val="18"/>
                <w:szCs w:val="18"/>
                <w:color w:val="auto"/>
              </w:rPr>
            </w:pPr>
          </w:p>
        </w:tc>
        <w:tc>
          <w:tcPr>
            <w:tcW w:w="7060" w:type="dxa"/>
            <w:vAlign w:val="bottom"/>
            <w:gridSpan w:val="4"/>
            <w:shd w:val="clear" w:color="auto" w:fill="CCEEFF"/>
          </w:tcPr>
          <w:p>
            <w:pPr>
              <w:ind w:left="980"/>
              <w:spacing w:after="0"/>
              <w:rPr>
                <w:sz w:val="20"/>
                <w:szCs w:val="20"/>
                <w:color w:val="auto"/>
              </w:rPr>
            </w:pPr>
            <w:r>
              <w:rPr>
                <w:rFonts w:ascii="Arial" w:cs="Arial" w:eastAsia="Arial" w:hAnsi="Arial"/>
                <w:sz w:val="18"/>
                <w:szCs w:val="18"/>
                <w:color w:val="auto"/>
                <w:w w:val="92"/>
              </w:rPr>
              <w:t>payable on its stated maturity date at the office of the Paying Agent, Registrar and</w:t>
            </w:r>
          </w:p>
        </w:tc>
      </w:tr>
      <w:tr>
        <w:trPr>
          <w:trHeight w:val="216"/>
        </w:trPr>
        <w:tc>
          <w:tcPr>
            <w:tcW w:w="4000" w:type="dxa"/>
            <w:vAlign w:val="bottom"/>
            <w:shd w:val="clear" w:color="auto" w:fill="CCEEFF"/>
          </w:tcPr>
          <w:p>
            <w:pPr>
              <w:spacing w:after="0"/>
              <w:rPr>
                <w:sz w:val="18"/>
                <w:szCs w:val="18"/>
                <w:color w:val="auto"/>
              </w:rPr>
            </w:pPr>
          </w:p>
        </w:tc>
        <w:tc>
          <w:tcPr>
            <w:tcW w:w="7060" w:type="dxa"/>
            <w:vAlign w:val="bottom"/>
            <w:gridSpan w:val="4"/>
            <w:shd w:val="clear" w:color="auto" w:fill="CCEEFF"/>
          </w:tcPr>
          <w:p>
            <w:pPr>
              <w:ind w:left="980"/>
              <w:spacing w:after="0"/>
              <w:rPr>
                <w:sz w:val="20"/>
                <w:szCs w:val="20"/>
                <w:color w:val="auto"/>
              </w:rPr>
            </w:pPr>
            <w:r>
              <w:rPr>
                <w:rFonts w:ascii="Arial" w:cs="Arial" w:eastAsia="Arial" w:hAnsi="Arial"/>
                <w:sz w:val="18"/>
                <w:szCs w:val="18"/>
                <w:color w:val="auto"/>
                <w:w w:val="95"/>
              </w:rPr>
              <w:t>Transfer Agent for the Notes or at such other office in New York City as we may</w:t>
            </w:r>
          </w:p>
        </w:tc>
      </w:tr>
      <w:tr>
        <w:trPr>
          <w:trHeight w:val="230"/>
        </w:trPr>
        <w:tc>
          <w:tcPr>
            <w:tcW w:w="4000" w:type="dxa"/>
            <w:vAlign w:val="bottom"/>
            <w:shd w:val="clear" w:color="auto" w:fill="CCEEFF"/>
          </w:tcPr>
          <w:p>
            <w:pPr>
              <w:spacing w:after="0"/>
              <w:rPr>
                <w:sz w:val="20"/>
                <w:szCs w:val="20"/>
                <w:color w:val="auto"/>
              </w:rPr>
            </w:pPr>
          </w:p>
        </w:tc>
        <w:tc>
          <w:tcPr>
            <w:tcW w:w="21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designate.</w:t>
            </w:r>
          </w:p>
        </w:tc>
        <w:tc>
          <w:tcPr>
            <w:tcW w:w="6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Interest rate</w:t>
            </w:r>
          </w:p>
        </w:tc>
        <w:tc>
          <w:tcPr>
            <w:tcW w:w="2160" w:type="dxa"/>
            <w:vAlign w:val="bottom"/>
          </w:tcPr>
          <w:p>
            <w:pPr>
              <w:ind w:left="1340"/>
              <w:spacing w:after="0"/>
              <w:rPr>
                <w:sz w:val="20"/>
                <w:szCs w:val="20"/>
                <w:color w:val="auto"/>
              </w:rPr>
            </w:pPr>
            <w:r>
              <w:rPr>
                <w:rFonts w:ascii="Arial" w:cs="Arial" w:eastAsia="Arial" w:hAnsi="Arial"/>
                <w:sz w:val="18"/>
                <w:szCs w:val="18"/>
                <w:color w:val="auto"/>
                <w:w w:val="91"/>
              </w:rPr>
              <w:t>% per year</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08"/>
        </w:trPr>
        <w:tc>
          <w:tcPr>
            <w:tcW w:w="40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460" w:type="dxa"/>
            <w:vAlign w:val="bottom"/>
          </w:tcPr>
          <w:p>
            <w:pPr>
              <w:spacing w:after="0"/>
              <w:rPr>
                <w:sz w:val="9"/>
                <w:szCs w:val="9"/>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Trade Date</w:t>
            </w:r>
          </w:p>
        </w:tc>
        <w:tc>
          <w:tcPr>
            <w:tcW w:w="2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r>
      <w:tr>
        <w:trPr>
          <w:trHeight w:val="324"/>
        </w:trPr>
        <w:tc>
          <w:tcPr>
            <w:tcW w:w="4000" w:type="dxa"/>
            <w:vAlign w:val="bottom"/>
          </w:tcPr>
          <w:p>
            <w:pPr>
              <w:spacing w:after="0"/>
              <w:rPr>
                <w:sz w:val="20"/>
                <w:szCs w:val="20"/>
                <w:color w:val="auto"/>
              </w:rPr>
            </w:pPr>
            <w:r>
              <w:rPr>
                <w:rFonts w:ascii="Arial" w:cs="Arial" w:eastAsia="Arial" w:hAnsi="Arial"/>
                <w:sz w:val="18"/>
                <w:szCs w:val="18"/>
                <w:color w:val="auto"/>
              </w:rPr>
              <w:t>Stated Maturity</w:t>
            </w:r>
          </w:p>
        </w:tc>
        <w:tc>
          <w:tcPr>
            <w:tcW w:w="2160" w:type="dxa"/>
            <w:vAlign w:val="bottom"/>
          </w:tcPr>
          <w:p>
            <w:pPr>
              <w:ind w:left="15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108"/>
        </w:trPr>
        <w:tc>
          <w:tcPr>
            <w:tcW w:w="4000" w:type="dxa"/>
            <w:vAlign w:val="bottom"/>
          </w:tcPr>
          <w:p>
            <w:pPr>
              <w:spacing w:after="0"/>
              <w:rPr>
                <w:sz w:val="9"/>
                <w:szCs w:val="9"/>
                <w:color w:val="auto"/>
              </w:rPr>
            </w:pPr>
          </w:p>
        </w:tc>
        <w:tc>
          <w:tcPr>
            <w:tcW w:w="4600" w:type="dxa"/>
            <w:vAlign w:val="bottom"/>
            <w:gridSpan w:val="3"/>
          </w:tcPr>
          <w:p>
            <w:pPr>
              <w:spacing w:after="0"/>
              <w:rPr>
                <w:sz w:val="9"/>
                <w:szCs w:val="9"/>
                <w:color w:val="auto"/>
              </w:rPr>
            </w:pPr>
          </w:p>
        </w:tc>
        <w:tc>
          <w:tcPr>
            <w:tcW w:w="2460" w:type="dxa"/>
            <w:vAlign w:val="bottom"/>
          </w:tcPr>
          <w:p>
            <w:pPr>
              <w:spacing w:after="0"/>
              <w:rPr>
                <w:sz w:val="9"/>
                <w:szCs w:val="9"/>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Day count basis</w:t>
            </w:r>
          </w:p>
        </w:tc>
        <w:tc>
          <w:tcPr>
            <w:tcW w:w="46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360-day year of twelve 30-day months</w:t>
            </w:r>
          </w:p>
        </w:tc>
        <w:tc>
          <w:tcPr>
            <w:tcW w:w="2460" w:type="dxa"/>
            <w:vAlign w:val="bottom"/>
            <w:shd w:val="clear" w:color="auto" w:fill="CCEEFF"/>
          </w:tcPr>
          <w:p>
            <w:pPr>
              <w:spacing w:after="0"/>
              <w:rPr>
                <w:sz w:val="18"/>
                <w:szCs w:val="18"/>
                <w:color w:val="auto"/>
              </w:rPr>
            </w:pPr>
          </w:p>
        </w:tc>
      </w:tr>
      <w:tr>
        <w:trPr>
          <w:trHeight w:val="310"/>
        </w:trPr>
        <w:tc>
          <w:tcPr>
            <w:tcW w:w="4000" w:type="dxa"/>
            <w:vAlign w:val="bottom"/>
          </w:tcPr>
          <w:p>
            <w:pPr>
              <w:spacing w:after="0"/>
              <w:rPr>
                <w:sz w:val="20"/>
                <w:szCs w:val="20"/>
                <w:color w:val="auto"/>
              </w:rPr>
            </w:pPr>
            <w:r>
              <w:rPr>
                <w:rFonts w:ascii="Arial" w:cs="Arial" w:eastAsia="Arial" w:hAnsi="Arial"/>
                <w:sz w:val="18"/>
                <w:szCs w:val="18"/>
                <w:color w:val="auto"/>
              </w:rPr>
              <w:t>Interest payment dates</w:t>
            </w:r>
          </w:p>
        </w:tc>
        <w:tc>
          <w:tcPr>
            <w:tcW w:w="2160" w:type="dxa"/>
            <w:vAlign w:val="bottom"/>
          </w:tcPr>
          <w:p>
            <w:pPr>
              <w:ind w:left="980"/>
              <w:spacing w:after="0"/>
              <w:rPr>
                <w:sz w:val="20"/>
                <w:szCs w:val="20"/>
                <w:color w:val="auto"/>
              </w:rPr>
            </w:pPr>
            <w:r>
              <w:rPr>
                <w:rFonts w:ascii="Arial" w:cs="Arial" w:eastAsia="Arial" w:hAnsi="Arial"/>
                <w:sz w:val="18"/>
                <w:szCs w:val="18"/>
                <w:color w:val="auto"/>
              </w:rPr>
              <w:t>Every</w:t>
            </w:r>
          </w:p>
        </w:tc>
        <w:tc>
          <w:tcPr>
            <w:tcW w:w="660" w:type="dxa"/>
            <w:vAlign w:val="bottom"/>
          </w:tcPr>
          <w:p>
            <w:pPr>
              <w:ind w:left="20"/>
              <w:spacing w:after="0"/>
              <w:rPr>
                <w:sz w:val="20"/>
                <w:szCs w:val="20"/>
                <w:color w:val="auto"/>
              </w:rPr>
            </w:pPr>
            <w:r>
              <w:rPr>
                <w:rFonts w:ascii="Arial" w:cs="Arial" w:eastAsia="Arial" w:hAnsi="Arial"/>
                <w:sz w:val="18"/>
                <w:szCs w:val="18"/>
                <w:color w:val="auto"/>
              </w:rPr>
              <w:t>and</w:t>
            </w:r>
          </w:p>
        </w:tc>
        <w:tc>
          <w:tcPr>
            <w:tcW w:w="1780" w:type="dxa"/>
            <w:vAlign w:val="bottom"/>
          </w:tcPr>
          <w:p>
            <w:pPr>
              <w:ind w:left="380"/>
              <w:spacing w:after="0"/>
              <w:rPr>
                <w:sz w:val="20"/>
                <w:szCs w:val="20"/>
                <w:color w:val="auto"/>
              </w:rPr>
            </w:pPr>
            <w:r>
              <w:rPr>
                <w:rFonts w:ascii="Arial" w:cs="Arial" w:eastAsia="Arial" w:hAnsi="Arial"/>
                <w:sz w:val="18"/>
                <w:szCs w:val="18"/>
                <w:color w:val="auto"/>
              </w:rPr>
              <w:t>, commencing</w:t>
            </w:r>
          </w:p>
        </w:tc>
        <w:tc>
          <w:tcPr>
            <w:tcW w:w="2460" w:type="dxa"/>
            <w:vAlign w:val="bottom"/>
          </w:tcPr>
          <w:p>
            <w:pPr>
              <w:ind w:left="380"/>
              <w:spacing w:after="0"/>
              <w:rPr>
                <w:sz w:val="20"/>
                <w:szCs w:val="20"/>
                <w:color w:val="auto"/>
              </w:rPr>
            </w:pPr>
            <w:r>
              <w:rPr>
                <w:rFonts w:ascii="Arial" w:cs="Arial" w:eastAsia="Arial" w:hAnsi="Arial"/>
                <w:sz w:val="18"/>
                <w:szCs w:val="18"/>
                <w:color w:val="auto"/>
              </w:rPr>
              <w:t>, 2015. If an interest</w:t>
            </w:r>
          </w:p>
        </w:tc>
      </w:tr>
      <w:tr>
        <w:trPr>
          <w:trHeight w:val="216"/>
        </w:trPr>
        <w:tc>
          <w:tcPr>
            <w:tcW w:w="4000" w:type="dxa"/>
            <w:vAlign w:val="bottom"/>
          </w:tcPr>
          <w:p>
            <w:pPr>
              <w:spacing w:after="0"/>
              <w:rPr>
                <w:sz w:val="18"/>
                <w:szCs w:val="18"/>
                <w:color w:val="auto"/>
              </w:rPr>
            </w:pPr>
          </w:p>
        </w:tc>
        <w:tc>
          <w:tcPr>
            <w:tcW w:w="7060" w:type="dxa"/>
            <w:vAlign w:val="bottom"/>
            <w:gridSpan w:val="4"/>
          </w:tcPr>
          <w:p>
            <w:pPr>
              <w:ind w:left="980"/>
              <w:spacing w:after="0"/>
              <w:rPr>
                <w:sz w:val="20"/>
                <w:szCs w:val="20"/>
                <w:color w:val="auto"/>
              </w:rPr>
            </w:pPr>
            <w:r>
              <w:rPr>
                <w:rFonts w:ascii="Arial" w:cs="Arial" w:eastAsia="Arial" w:hAnsi="Arial"/>
                <w:sz w:val="18"/>
                <w:szCs w:val="18"/>
                <w:color w:val="auto"/>
                <w:w w:val="89"/>
              </w:rPr>
              <w:t>payment date is a non-business day, the applicable interest payment will be made on</w:t>
            </w:r>
          </w:p>
        </w:tc>
      </w:tr>
      <w:tr>
        <w:trPr>
          <w:trHeight w:val="216"/>
        </w:trPr>
        <w:tc>
          <w:tcPr>
            <w:tcW w:w="4000" w:type="dxa"/>
            <w:vAlign w:val="bottom"/>
          </w:tcPr>
          <w:p>
            <w:pPr>
              <w:spacing w:after="0"/>
              <w:rPr>
                <w:sz w:val="18"/>
                <w:szCs w:val="18"/>
                <w:color w:val="auto"/>
              </w:rPr>
            </w:pPr>
          </w:p>
        </w:tc>
        <w:tc>
          <w:tcPr>
            <w:tcW w:w="7060" w:type="dxa"/>
            <w:vAlign w:val="bottom"/>
            <w:gridSpan w:val="4"/>
          </w:tcPr>
          <w:p>
            <w:pPr>
              <w:ind w:left="980"/>
              <w:spacing w:after="0"/>
              <w:rPr>
                <w:sz w:val="20"/>
                <w:szCs w:val="20"/>
                <w:color w:val="auto"/>
              </w:rPr>
            </w:pPr>
            <w:r>
              <w:rPr>
                <w:rFonts w:ascii="Arial" w:cs="Arial" w:eastAsia="Arial" w:hAnsi="Arial"/>
                <w:sz w:val="18"/>
                <w:szCs w:val="18"/>
                <w:color w:val="auto"/>
                <w:w w:val="96"/>
              </w:rPr>
              <w:t>the next business day, and no additional interest will accrue as a result of such</w:t>
            </w:r>
          </w:p>
        </w:tc>
      </w:tr>
      <w:tr>
        <w:trPr>
          <w:trHeight w:val="230"/>
        </w:trPr>
        <w:tc>
          <w:tcPr>
            <w:tcW w:w="4000" w:type="dxa"/>
            <w:vAlign w:val="bottom"/>
          </w:tcPr>
          <w:p>
            <w:pPr>
              <w:spacing w:after="0"/>
              <w:rPr>
                <w:sz w:val="20"/>
                <w:szCs w:val="20"/>
                <w:color w:val="auto"/>
              </w:rPr>
            </w:pPr>
          </w:p>
        </w:tc>
        <w:tc>
          <w:tcPr>
            <w:tcW w:w="2820" w:type="dxa"/>
            <w:vAlign w:val="bottom"/>
            <w:gridSpan w:val="2"/>
          </w:tcPr>
          <w:p>
            <w:pPr>
              <w:ind w:left="980"/>
              <w:spacing w:after="0"/>
              <w:rPr>
                <w:sz w:val="20"/>
                <w:szCs w:val="20"/>
                <w:color w:val="auto"/>
              </w:rPr>
            </w:pPr>
            <w:r>
              <w:rPr>
                <w:rFonts w:ascii="Arial" w:cs="Arial" w:eastAsia="Arial" w:hAnsi="Arial"/>
                <w:sz w:val="18"/>
                <w:szCs w:val="18"/>
                <w:color w:val="auto"/>
              </w:rPr>
              <w:t>delayed payment.</w:t>
            </w:r>
          </w:p>
        </w:tc>
        <w:tc>
          <w:tcPr>
            <w:tcW w:w="17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108"/>
        </w:trPr>
        <w:tc>
          <w:tcPr>
            <w:tcW w:w="4000" w:type="dxa"/>
            <w:vAlign w:val="bottom"/>
          </w:tcPr>
          <w:p>
            <w:pPr>
              <w:spacing w:after="0"/>
              <w:rPr>
                <w:sz w:val="9"/>
                <w:szCs w:val="9"/>
                <w:color w:val="auto"/>
              </w:rPr>
            </w:pPr>
          </w:p>
        </w:tc>
        <w:tc>
          <w:tcPr>
            <w:tcW w:w="7060" w:type="dxa"/>
            <w:vAlign w:val="bottom"/>
            <w:gridSpan w:val="4"/>
          </w:tcPr>
          <w:p>
            <w:pPr>
              <w:spacing w:after="0"/>
              <w:rPr>
                <w:sz w:val="9"/>
                <w:szCs w:val="9"/>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Ranking of Notes</w:t>
            </w:r>
          </w:p>
        </w:tc>
        <w:tc>
          <w:tcPr>
            <w:tcW w:w="7060" w:type="dxa"/>
            <w:vAlign w:val="bottom"/>
            <w:gridSpan w:val="4"/>
            <w:shd w:val="clear" w:color="auto" w:fill="CCEEFF"/>
          </w:tcPr>
          <w:p>
            <w:pPr>
              <w:ind w:left="980"/>
              <w:spacing w:after="0"/>
              <w:rPr>
                <w:sz w:val="20"/>
                <w:szCs w:val="20"/>
                <w:color w:val="auto"/>
              </w:rPr>
            </w:pPr>
            <w:r>
              <w:rPr>
                <w:rFonts w:ascii="Arial" w:cs="Arial" w:eastAsia="Arial" w:hAnsi="Arial"/>
                <w:sz w:val="18"/>
                <w:szCs w:val="18"/>
                <w:color w:val="auto"/>
              </w:rPr>
              <w:t>The Notes will be our direct unsecured obligations and will rank:</w:t>
            </w:r>
          </w:p>
        </w:tc>
      </w:tr>
    </w:tbl>
    <w:p>
      <w:pPr>
        <w:spacing w:after="0" w:line="94" w:lineRule="exact"/>
        <w:rPr>
          <w:sz w:val="20"/>
          <w:szCs w:val="20"/>
          <w:color w:val="auto"/>
        </w:rPr>
      </w:pPr>
    </w:p>
    <w:p>
      <w:pPr>
        <w:ind w:left="5460" w:right="20" w:hanging="275"/>
        <w:spacing w:after="0" w:line="274" w:lineRule="auto"/>
        <w:tabs>
          <w:tab w:leader="none" w:pos="5433"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existing and future senior unsecured indebtedness, including our</w:t>
      </w:r>
      <w:r>
        <w:rPr>
          <w:rFonts w:ascii="Arial" w:cs="Arial" w:eastAsia="Arial" w:hAnsi="Arial"/>
          <w:sz w:val="17"/>
          <w:szCs w:val="17"/>
          <w:i w:val="1"/>
          <w:iCs w:val="1"/>
          <w:color w:val="auto"/>
        </w:rPr>
        <w:t xml:space="preserve"> </w:t>
      </w:r>
      <w:r>
        <w:rPr>
          <w:rFonts w:ascii="Arial" w:cs="Arial" w:eastAsia="Arial" w:hAnsi="Arial"/>
          <w:sz w:val="17"/>
          <w:szCs w:val="17"/>
          <w:color w:val="auto"/>
        </w:rPr>
        <w:t>2025 Notes of which approximately $71.3 million was outstanding as of</w:t>
      </w:r>
    </w:p>
    <w:p>
      <w:pPr>
        <w:ind w:left="5460"/>
        <w:spacing w:after="0"/>
        <w:rPr>
          <w:rFonts w:ascii="Arial" w:cs="Arial" w:eastAsia="Arial" w:hAnsi="Arial"/>
          <w:sz w:val="17"/>
          <w:szCs w:val="17"/>
          <w:color w:val="auto"/>
        </w:rPr>
      </w:pPr>
      <w:r>
        <w:rPr>
          <w:rFonts w:ascii="Arial" w:cs="Arial" w:eastAsia="Arial" w:hAnsi="Arial"/>
          <w:sz w:val="18"/>
          <w:szCs w:val="18"/>
          <w:color w:val="auto"/>
        </w:rPr>
        <w:t>June 30, 2014;</w:t>
      </w:r>
    </w:p>
    <w:p>
      <w:pPr>
        <w:spacing w:after="0" w:line="102" w:lineRule="exact"/>
        <w:rPr>
          <w:rFonts w:ascii="Arial" w:cs="Arial" w:eastAsia="Arial" w:hAnsi="Arial"/>
          <w:sz w:val="17"/>
          <w:szCs w:val="17"/>
          <w:color w:val="auto"/>
        </w:rPr>
      </w:pPr>
    </w:p>
    <w:p>
      <w:pPr>
        <w:ind w:left="5460" w:right="20" w:hanging="275"/>
        <w:spacing w:after="0" w:line="277" w:lineRule="auto"/>
        <w:tabs>
          <w:tab w:leader="none" w:pos="5433" w:val="left"/>
        </w:tabs>
        <w:numPr>
          <w:ilvl w:val="0"/>
          <w:numId w:val="4"/>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to the Notes;</w:t>
      </w:r>
    </w:p>
    <w:p>
      <w:pPr>
        <w:spacing w:after="0" w:line="62" w:lineRule="exact"/>
        <w:rPr>
          <w:rFonts w:ascii="Arial" w:cs="Arial" w:eastAsia="Arial" w:hAnsi="Arial"/>
          <w:sz w:val="18"/>
          <w:szCs w:val="18"/>
          <w:color w:val="auto"/>
        </w:rPr>
      </w:pPr>
    </w:p>
    <w:p>
      <w:pPr>
        <w:ind w:left="5460" w:hanging="275"/>
        <w:spacing w:after="0" w:line="293" w:lineRule="auto"/>
        <w:tabs>
          <w:tab w:leader="none" w:pos="5433" w:val="left"/>
        </w:tabs>
        <w:numPr>
          <w:ilvl w:val="0"/>
          <w:numId w:val="4"/>
        </w:numPr>
        <w:rPr>
          <w:rFonts w:ascii="Arial" w:cs="Arial" w:eastAsia="Arial" w:hAnsi="Arial"/>
          <w:sz w:val="16"/>
          <w:szCs w:val="16"/>
          <w:color w:val="auto"/>
        </w:rPr>
      </w:pPr>
      <w:r>
        <w:rPr>
          <w:rFonts w:ascii="Arial" w:cs="Arial" w:eastAsia="Arial" w:hAnsi="Arial"/>
          <w:sz w:val="16"/>
          <w:szCs w:val="16"/>
          <w:color w:val="auto"/>
        </w:rPr>
        <w:t>effectively subordinated to all of our existing and future secured indebtedness (including indebtedness that is initially unsecured, but to which we subsequently grant security), to the extent of the value of the assets securing such indebtedness, including approximately $452.2 million of borrowings outstanding as of August 31, 2014 under our $545.0 million the Credit Facility, to the extent of the value of the assets securing the Credit Facility; and</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43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243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SUMMARY OF THE OFFERING (continued)</w:t>
      </w:r>
    </w:p>
    <w:p>
      <w:pPr>
        <w:spacing w:after="0" w:line="1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  structurally subordinated to all existing and future indebtedness and other</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6380" w:type="dxa"/>
            <w:vAlign w:val="bottom"/>
            <w:gridSpan w:val="3"/>
          </w:tcPr>
          <w:p>
            <w:pPr>
              <w:ind w:left="380"/>
              <w:spacing w:after="0"/>
              <w:rPr>
                <w:sz w:val="20"/>
                <w:szCs w:val="20"/>
                <w:color w:val="auto"/>
              </w:rPr>
            </w:pPr>
            <w:r>
              <w:rPr>
                <w:rFonts w:ascii="Arial" w:cs="Arial" w:eastAsia="Arial" w:hAnsi="Arial"/>
                <w:sz w:val="18"/>
                <w:szCs w:val="18"/>
                <w:color w:val="auto"/>
              </w:rPr>
              <w:t>obligations of any of our subsidiaries, financing vehicles or similar facilities,</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380" w:type="dxa"/>
            <w:vAlign w:val="bottom"/>
            <w:gridSpan w:val="3"/>
          </w:tcPr>
          <w:p>
            <w:pPr>
              <w:ind w:left="380"/>
              <w:spacing w:after="0"/>
              <w:rPr>
                <w:sz w:val="20"/>
                <w:szCs w:val="20"/>
                <w:color w:val="auto"/>
              </w:rPr>
            </w:pPr>
            <w:r>
              <w:rPr>
                <w:rFonts w:ascii="Arial" w:cs="Arial" w:eastAsia="Arial" w:hAnsi="Arial"/>
                <w:sz w:val="18"/>
                <w:szCs w:val="18"/>
                <w:color w:val="auto"/>
              </w:rPr>
              <w:t>including our consolidated subsidiary SBIC LP’s SBA debentures of $150.0</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380" w:type="dxa"/>
            <w:vAlign w:val="bottom"/>
            <w:gridSpan w:val="3"/>
          </w:tcPr>
          <w:p>
            <w:pPr>
              <w:ind w:left="380"/>
              <w:spacing w:after="0"/>
              <w:rPr>
                <w:sz w:val="20"/>
                <w:szCs w:val="20"/>
                <w:color w:val="auto"/>
              </w:rPr>
            </w:pPr>
            <w:r>
              <w:rPr>
                <w:rFonts w:ascii="Arial" w:cs="Arial" w:eastAsia="Arial" w:hAnsi="Arial"/>
                <w:sz w:val="18"/>
                <w:szCs w:val="18"/>
                <w:color w:val="auto"/>
              </w:rPr>
              <w:t>million of borrowings outstanding as of June 30, 2014 and any future</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380" w:type="dxa"/>
            <w:vAlign w:val="bottom"/>
            <w:gridSpan w:val="3"/>
          </w:tcPr>
          <w:p>
            <w:pPr>
              <w:ind w:left="380"/>
              <w:spacing w:after="0"/>
              <w:rPr>
                <w:sz w:val="20"/>
                <w:szCs w:val="20"/>
                <w:color w:val="auto"/>
              </w:rPr>
            </w:pPr>
            <w:r>
              <w:rPr>
                <w:rFonts w:ascii="Arial" w:cs="Arial" w:eastAsia="Arial" w:hAnsi="Arial"/>
                <w:sz w:val="18"/>
                <w:szCs w:val="18"/>
                <w:color w:val="auto"/>
                <w:w w:val="98"/>
              </w:rPr>
              <w:t>indebtedness SBIC II may incur under its $75.0 million commitment from the</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180" w:type="dxa"/>
            <w:vAlign w:val="bottom"/>
          </w:tcPr>
          <w:p>
            <w:pPr>
              <w:ind w:left="380"/>
              <w:spacing w:after="0"/>
              <w:rPr>
                <w:sz w:val="20"/>
                <w:szCs w:val="20"/>
                <w:color w:val="auto"/>
              </w:rPr>
            </w:pPr>
            <w:r>
              <w:rPr>
                <w:rFonts w:ascii="Arial" w:cs="Arial" w:eastAsia="Arial" w:hAnsi="Arial"/>
                <w:sz w:val="18"/>
                <w:szCs w:val="18"/>
                <w:color w:val="auto"/>
              </w:rPr>
              <w:t>SBA.</w:t>
            </w:r>
          </w:p>
        </w:tc>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Denominations</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w w:val="94"/>
              </w:rPr>
              <w:t>We will issue the Notes in denominations of $2,000 and integral multiples of $1,000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180" w:type="dxa"/>
            <w:vAlign w:val="bottom"/>
          </w:tcPr>
          <w:p>
            <w:pPr>
              <w:ind w:left="100"/>
              <w:spacing w:after="0"/>
              <w:rPr>
                <w:sz w:val="20"/>
                <w:szCs w:val="20"/>
                <w:color w:val="auto"/>
              </w:rPr>
            </w:pPr>
            <w:r>
              <w:rPr>
                <w:rFonts w:ascii="Arial" w:cs="Arial" w:eastAsia="Arial" w:hAnsi="Arial"/>
                <w:sz w:val="18"/>
                <w:szCs w:val="18"/>
                <w:color w:val="auto"/>
              </w:rPr>
              <w:t>in excess thereof.</w:t>
            </w:r>
          </w:p>
        </w:tc>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180" w:type="dxa"/>
            <w:vAlign w:val="bottom"/>
            <w:gridSpan w:val="2"/>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Optional Redemption</w:t>
            </w:r>
          </w:p>
        </w:tc>
        <w:tc>
          <w:tcPr>
            <w:tcW w:w="61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We may redeem in whole or in part at any time, or from time to time, at a</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redemption price equal to the greater of (1) 100% of the principal amount of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Notes to be redeemed or (2) the sum of the present values of the remaining</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scheduled payments of principal and interest (exclusive of accrued and unpaid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interest to the date of redemption) on the Notes to be redeemed, discounted to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redemption date on a semi-annual basis (assuming a 360-day year consisting of</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twelve 30-day months) using the applicable Treasury Rate (as defined in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“Description of the Notes”) plus</w:t>
            </w:r>
          </w:p>
        </w:tc>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basis points, plus, in each case, accrued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and unpaid interest to the redemption date.</w:t>
            </w:r>
          </w:p>
        </w:tc>
        <w:tc>
          <w:tcPr>
            <w:tcW w:w="30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Sinking fund</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The Notes will not be subject to any sinking fund.</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180" w:type="dxa"/>
            <w:vAlign w:val="bottom"/>
            <w:gridSpan w:val="2"/>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Offer to Repurchase Upon a Change of Control Repurchase Event</w:t>
            </w:r>
          </w:p>
        </w:tc>
        <w:tc>
          <w:tcPr>
            <w:tcW w:w="61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If a Change of Control Repurchase Event occurs prior to maturity, holders will have</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the right, at their option, to require us to repurchase for cash some or all of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Notes at a repurchase price equal to 100% of the principal amount of the Notes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being repurchased, plus accrued and unpaid interest to, but not including, the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3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repurchase date.</w:t>
            </w:r>
          </w:p>
        </w:tc>
        <w:tc>
          <w:tcPr>
            <w:tcW w:w="300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Defeasance</w:t>
            </w:r>
          </w:p>
        </w:tc>
        <w:tc>
          <w:tcPr>
            <w:tcW w:w="6380" w:type="dxa"/>
            <w:vAlign w:val="bottom"/>
            <w:gridSpan w:val="3"/>
          </w:tcPr>
          <w:p>
            <w:pPr>
              <w:ind w:left="100"/>
              <w:spacing w:after="0"/>
              <w:rPr>
                <w:sz w:val="20"/>
                <w:szCs w:val="20"/>
                <w:color w:val="auto"/>
              </w:rPr>
            </w:pPr>
            <w:r>
              <w:rPr>
                <w:rFonts w:ascii="Arial" w:cs="Arial" w:eastAsia="Arial" w:hAnsi="Arial"/>
                <w:sz w:val="18"/>
                <w:szCs w:val="18"/>
                <w:color w:val="auto"/>
              </w:rPr>
              <w:t>The Notes are subject to legal and covenant defeasance by us.</w:t>
            </w:r>
          </w:p>
        </w:tc>
        <w:tc>
          <w:tcPr>
            <w:tcW w:w="0" w:type="dxa"/>
            <w:vAlign w:val="bottom"/>
          </w:tcPr>
          <w:p>
            <w:pPr>
              <w:spacing w:after="0"/>
              <w:rPr>
                <w:sz w:val="1"/>
                <w:szCs w:val="1"/>
                <w:color w:val="auto"/>
              </w:rPr>
            </w:pPr>
          </w:p>
        </w:tc>
      </w:tr>
      <w:tr>
        <w:trPr>
          <w:trHeight w:val="108"/>
        </w:trPr>
        <w:tc>
          <w:tcPr>
            <w:tcW w:w="2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180" w:type="dxa"/>
            <w:vAlign w:val="bottom"/>
            <w:gridSpan w:val="2"/>
          </w:tcPr>
          <w:p>
            <w:pPr>
              <w:spacing w:after="0"/>
              <w:rPr>
                <w:sz w:val="9"/>
                <w:szCs w:val="9"/>
                <w:color w:val="auto"/>
              </w:rPr>
            </w:pPr>
          </w:p>
        </w:tc>
        <w:tc>
          <w:tcPr>
            <w:tcW w:w="2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Form of Notes</w:t>
            </w:r>
          </w:p>
        </w:tc>
        <w:tc>
          <w:tcPr>
            <w:tcW w:w="61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The Notes will be represented by global securities that will be deposited and</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5"/>
              </w:rPr>
              <w:t>registered in the name of DTC or its nominee. This means that, except in limited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circumstances, you will not receive certificates for the Notes. Beneficial interests in</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the Notes will be represented through book-entry accounts of financial institutions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6"/>
              </w:rPr>
              <w:t>acting on behalf of beneficial owners as direct and indirect participants in DTC.</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Investors may elect to hold interests in the Notes through either DTC, if they are a</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participant, or indirectly through organizations that are participants in DTC.</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Trustee, Paying Agent, Registrar and Transfer Agent</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American Stock Transfer &amp; Trust Company, LLC</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0" w:type="dxa"/>
            <w:vAlign w:val="bottom"/>
            <w:tcBorders>
              <w:bottom w:val="single" w:sz="8" w:color="auto"/>
            </w:tcBorders>
          </w:tcPr>
          <w:p>
            <w:pPr>
              <w:spacing w:after="0"/>
              <w:rPr>
                <w:sz w:val="12"/>
                <w:szCs w:val="12"/>
                <w:color w:val="auto"/>
              </w:rPr>
            </w:pPr>
          </w:p>
        </w:tc>
        <w:tc>
          <w:tcPr>
            <w:tcW w:w="488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80" w:type="dxa"/>
            <w:vAlign w:val="bottom"/>
          </w:tcPr>
          <w:p>
            <w:pPr>
              <w:ind w:left="500"/>
              <w:spacing w:after="0"/>
              <w:rPr>
                <w:sz w:val="20"/>
                <w:szCs w:val="20"/>
                <w:color w:val="auto"/>
              </w:rPr>
            </w:pPr>
            <w:r>
              <w:rPr>
                <w:rFonts w:ascii="Arial" w:cs="Arial" w:eastAsia="Arial" w:hAnsi="Arial"/>
                <w:sz w:val="18"/>
                <w:szCs w:val="18"/>
                <w:color w:val="auto"/>
              </w:rPr>
              <w:t>S-8</w:t>
            </w: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00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49009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7500" w:type="dxa"/>
            <w:vAlign w:val="bottom"/>
          </w:tcPr>
          <w:p>
            <w:pPr>
              <w:ind w:left="740"/>
              <w:spacing w:after="0"/>
              <w:rPr>
                <w:sz w:val="20"/>
                <w:szCs w:val="20"/>
                <w:color w:val="auto"/>
              </w:rPr>
            </w:pPr>
            <w:r>
              <w:rPr>
                <w:rFonts w:ascii="Arial" w:cs="Arial" w:eastAsia="Arial" w:hAnsi="Arial"/>
                <w:sz w:val="18"/>
                <w:szCs w:val="18"/>
                <w:b w:val="1"/>
                <w:bCs w:val="1"/>
                <w:color w:val="auto"/>
              </w:rPr>
              <w:t>SUMMARY OF THE OFFERING (continued)</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806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Events of Default</w:t>
            </w:r>
          </w:p>
        </w:tc>
        <w:tc>
          <w:tcPr>
            <w:tcW w:w="8060" w:type="dxa"/>
            <w:vAlign w:val="bottom"/>
            <w:gridSpan w:val="2"/>
            <w:shd w:val="clear" w:color="auto" w:fill="CCEEFF"/>
          </w:tcPr>
          <w:p>
            <w:pPr>
              <w:ind w:left="1980"/>
              <w:spacing w:after="0" w:line="201" w:lineRule="exact"/>
              <w:rPr>
                <w:sz w:val="20"/>
                <w:szCs w:val="20"/>
                <w:color w:val="auto"/>
              </w:rPr>
            </w:pPr>
            <w:r>
              <w:rPr>
                <w:rFonts w:ascii="Arial" w:cs="Arial" w:eastAsia="Arial" w:hAnsi="Arial"/>
                <w:sz w:val="18"/>
                <w:szCs w:val="18"/>
                <w:color w:val="auto"/>
                <w:w w:val="92"/>
              </w:rPr>
              <w:t>If an event of default (as described herein under “Description of the Notes”) on the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2"/>
              </w:rPr>
              <w:t>Notes occurs, the principal amount of the Notes, plus accrued and unpaid interest,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1"/>
              </w:rPr>
              <w:t>may be declared immediately due and payable, subject to conditions set forth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p>
        </w:tc>
        <w:tc>
          <w:tcPr>
            <w:tcW w:w="7500" w:type="dxa"/>
            <w:vAlign w:val="bottom"/>
            <w:shd w:val="clear" w:color="auto" w:fill="CCEEFF"/>
          </w:tcPr>
          <w:p>
            <w:pPr>
              <w:ind w:left="1980"/>
              <w:spacing w:after="0"/>
              <w:rPr>
                <w:sz w:val="20"/>
                <w:szCs w:val="20"/>
                <w:color w:val="auto"/>
              </w:rPr>
            </w:pPr>
            <w:r>
              <w:rPr>
                <w:rFonts w:ascii="Arial" w:cs="Arial" w:eastAsia="Arial" w:hAnsi="Arial"/>
                <w:sz w:val="18"/>
                <w:szCs w:val="18"/>
                <w:color w:val="auto"/>
              </w:rPr>
              <w:t>indenture.</w:t>
            </w: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Other covenants</w:t>
            </w:r>
          </w:p>
        </w:tc>
        <w:tc>
          <w:tcPr>
            <w:tcW w:w="8080" w:type="dxa"/>
            <w:vAlign w:val="bottom"/>
            <w:gridSpan w:val="3"/>
          </w:tcPr>
          <w:p>
            <w:pPr>
              <w:ind w:left="1980"/>
              <w:spacing w:after="0"/>
              <w:rPr>
                <w:sz w:val="20"/>
                <w:szCs w:val="20"/>
                <w:color w:val="auto"/>
              </w:rPr>
            </w:pPr>
            <w:r>
              <w:rPr>
                <w:rFonts w:ascii="Arial" w:cs="Arial" w:eastAsia="Arial" w:hAnsi="Arial"/>
                <w:sz w:val="18"/>
                <w:szCs w:val="18"/>
                <w:color w:val="auto"/>
                <w:w w:val="95"/>
              </w:rPr>
              <w:t>The lien covenant included in the form of indenture will not apply to the Notes. In</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80" w:type="dxa"/>
            <w:vAlign w:val="bottom"/>
            <w:gridSpan w:val="3"/>
          </w:tcPr>
          <w:p>
            <w:pPr>
              <w:ind w:left="1980"/>
              <w:spacing w:after="0"/>
              <w:rPr>
                <w:sz w:val="20"/>
                <w:szCs w:val="20"/>
                <w:color w:val="auto"/>
              </w:rPr>
            </w:pPr>
            <w:r>
              <w:rPr>
                <w:rFonts w:ascii="Arial" w:cs="Arial" w:eastAsia="Arial" w:hAnsi="Arial"/>
                <w:sz w:val="18"/>
                <w:szCs w:val="18"/>
                <w:color w:val="auto"/>
                <w:w w:val="94"/>
              </w:rPr>
              <w:t>addition to the covenants described in the prospectus attached to this prospectus</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7500" w:type="dxa"/>
            <w:vAlign w:val="bottom"/>
          </w:tcPr>
          <w:p>
            <w:pPr>
              <w:ind w:left="1980"/>
              <w:spacing w:after="0"/>
              <w:rPr>
                <w:sz w:val="20"/>
                <w:szCs w:val="20"/>
                <w:color w:val="auto"/>
              </w:rPr>
            </w:pPr>
            <w:r>
              <w:rPr>
                <w:rFonts w:ascii="Arial" w:cs="Arial" w:eastAsia="Arial" w:hAnsi="Arial"/>
                <w:sz w:val="18"/>
                <w:szCs w:val="18"/>
                <w:color w:val="auto"/>
              </w:rPr>
              <w:t>supplement, the following covenants will apply to the Notes:</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806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rPr>
                <w:sz w:val="17"/>
                <w:szCs w:val="17"/>
                <w:color w:val="auto"/>
              </w:rPr>
            </w:pPr>
          </w:p>
        </w:tc>
        <w:tc>
          <w:tcPr>
            <w:tcW w:w="8060" w:type="dxa"/>
            <w:vAlign w:val="bottom"/>
            <w:gridSpan w:val="2"/>
            <w:shd w:val="clear" w:color="auto" w:fill="CCEEFF"/>
          </w:tcPr>
          <w:p>
            <w:pPr>
              <w:ind w:left="1980"/>
              <w:spacing w:after="0" w:line="201" w:lineRule="exact"/>
              <w:rPr>
                <w:sz w:val="20"/>
                <w:szCs w:val="20"/>
                <w:color w:val="auto"/>
              </w:rPr>
            </w:pPr>
            <w:r>
              <w:rPr>
                <w:rFonts w:ascii="Arial" w:cs="Arial" w:eastAsia="Arial" w:hAnsi="Arial"/>
                <w:sz w:val="18"/>
                <w:szCs w:val="18"/>
                <w:color w:val="auto"/>
                <w:w w:val="93"/>
              </w:rPr>
              <w:t>•  we agree that for the period of time during which the Notes are outstanding, we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93"/>
              </w:rPr>
              <w:t>will not violate Section 18(a)(1)(A) as modified by Section 61(a)(1) of the 1940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p>
        </w:tc>
        <w:tc>
          <w:tcPr>
            <w:tcW w:w="7500" w:type="dxa"/>
            <w:vAlign w:val="bottom"/>
            <w:shd w:val="clear" w:color="auto" w:fill="CCEEFF"/>
          </w:tcPr>
          <w:p>
            <w:pPr>
              <w:ind w:left="2260"/>
              <w:spacing w:after="0"/>
              <w:rPr>
                <w:sz w:val="20"/>
                <w:szCs w:val="20"/>
                <w:color w:val="auto"/>
              </w:rPr>
            </w:pPr>
            <w:r>
              <w:rPr>
                <w:rFonts w:ascii="Arial" w:cs="Arial" w:eastAsia="Arial" w:hAnsi="Arial"/>
                <w:sz w:val="18"/>
                <w:szCs w:val="18"/>
                <w:color w:val="auto"/>
              </w:rPr>
              <w:t>Act or any successor provisions.</w:t>
            </w: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4"/>
                <w:szCs w:val="24"/>
                <w:color w:val="auto"/>
              </w:rPr>
            </w:pPr>
          </w:p>
        </w:tc>
        <w:tc>
          <w:tcPr>
            <w:tcW w:w="8080" w:type="dxa"/>
            <w:vAlign w:val="bottom"/>
            <w:gridSpan w:val="3"/>
          </w:tcPr>
          <w:p>
            <w:pPr>
              <w:ind w:left="1980"/>
              <w:spacing w:after="0"/>
              <w:rPr>
                <w:sz w:val="20"/>
                <w:szCs w:val="20"/>
                <w:color w:val="auto"/>
              </w:rPr>
            </w:pPr>
            <w:r>
              <w:rPr>
                <w:rFonts w:ascii="Arial" w:cs="Arial" w:eastAsia="Arial" w:hAnsi="Arial"/>
                <w:sz w:val="18"/>
                <w:szCs w:val="18"/>
                <w:color w:val="auto"/>
                <w:w w:val="92"/>
              </w:rPr>
              <w:t>•  if, at any time, we are not subject to the reporting requirements of Sections 13 or</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80" w:type="dxa"/>
            <w:vAlign w:val="bottom"/>
            <w:gridSpan w:val="3"/>
          </w:tcPr>
          <w:p>
            <w:pPr>
              <w:ind w:left="2260"/>
              <w:spacing w:after="0"/>
              <w:rPr>
                <w:sz w:val="20"/>
                <w:szCs w:val="20"/>
                <w:color w:val="auto"/>
              </w:rPr>
            </w:pPr>
            <w:r>
              <w:rPr>
                <w:rFonts w:ascii="Arial" w:cs="Arial" w:eastAsia="Arial" w:hAnsi="Arial"/>
                <w:sz w:val="18"/>
                <w:szCs w:val="18"/>
                <w:color w:val="auto"/>
                <w:w w:val="95"/>
              </w:rPr>
              <w:t>15(d) of the Securities Exchange Act of 1934, as amended, or the Exchange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80" w:type="dxa"/>
            <w:vAlign w:val="bottom"/>
            <w:gridSpan w:val="3"/>
          </w:tcPr>
          <w:p>
            <w:pPr>
              <w:ind w:left="2260"/>
              <w:spacing w:after="0"/>
              <w:rPr>
                <w:sz w:val="20"/>
                <w:szCs w:val="20"/>
                <w:color w:val="auto"/>
              </w:rPr>
            </w:pPr>
            <w:r>
              <w:rPr>
                <w:rFonts w:ascii="Arial" w:cs="Arial" w:eastAsia="Arial" w:hAnsi="Arial"/>
                <w:sz w:val="18"/>
                <w:szCs w:val="18"/>
                <w:color w:val="auto"/>
                <w:w w:val="93"/>
              </w:rPr>
              <w:t>Act, to file any periodic reports with the SEC, we agree to furnish to holders of</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80" w:type="dxa"/>
            <w:vAlign w:val="bottom"/>
            <w:gridSpan w:val="3"/>
          </w:tcPr>
          <w:p>
            <w:pPr>
              <w:ind w:left="2260"/>
              <w:spacing w:after="0"/>
              <w:rPr>
                <w:sz w:val="20"/>
                <w:szCs w:val="20"/>
                <w:color w:val="auto"/>
              </w:rPr>
            </w:pPr>
            <w:r>
              <w:rPr>
                <w:rFonts w:ascii="Arial" w:cs="Arial" w:eastAsia="Arial" w:hAnsi="Arial"/>
                <w:sz w:val="18"/>
                <w:szCs w:val="18"/>
                <w:color w:val="auto"/>
                <w:w w:val="96"/>
              </w:rPr>
              <w:t>the Notes and the Trustee, for the period of time during which the Notes are</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80" w:type="dxa"/>
            <w:vAlign w:val="bottom"/>
            <w:gridSpan w:val="3"/>
          </w:tcPr>
          <w:p>
            <w:pPr>
              <w:ind w:left="2260"/>
              <w:spacing w:after="0"/>
              <w:rPr>
                <w:sz w:val="20"/>
                <w:szCs w:val="20"/>
                <w:color w:val="auto"/>
              </w:rPr>
            </w:pPr>
            <w:r>
              <w:rPr>
                <w:rFonts w:ascii="Arial" w:cs="Arial" w:eastAsia="Arial" w:hAnsi="Arial"/>
                <w:sz w:val="18"/>
                <w:szCs w:val="18"/>
                <w:color w:val="auto"/>
                <w:w w:val="96"/>
              </w:rPr>
              <w:t>outstanding, our audited annual consolidated financial statements, within 90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7500" w:type="dxa"/>
            <w:vAlign w:val="bottom"/>
          </w:tcPr>
          <w:p>
            <w:pPr>
              <w:ind w:left="2260"/>
              <w:spacing w:after="0"/>
              <w:rPr>
                <w:sz w:val="20"/>
                <w:szCs w:val="20"/>
                <w:color w:val="auto"/>
              </w:rPr>
            </w:pPr>
            <w:r>
              <w:rPr>
                <w:rFonts w:ascii="Arial" w:cs="Arial" w:eastAsia="Arial" w:hAnsi="Arial"/>
                <w:sz w:val="18"/>
                <w:szCs w:val="18"/>
                <w:color w:val="auto"/>
                <w:w w:val="91"/>
              </w:rPr>
              <w:t>days of our fiscal year end, and unaudited interim consolidated financial</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80" w:type="dxa"/>
            <w:vAlign w:val="bottom"/>
            <w:gridSpan w:val="3"/>
          </w:tcPr>
          <w:p>
            <w:pPr>
              <w:ind w:left="2260"/>
              <w:spacing w:after="0"/>
              <w:rPr>
                <w:sz w:val="20"/>
                <w:szCs w:val="20"/>
                <w:color w:val="auto"/>
              </w:rPr>
            </w:pPr>
            <w:r>
              <w:rPr>
                <w:rFonts w:ascii="Arial" w:cs="Arial" w:eastAsia="Arial" w:hAnsi="Arial"/>
                <w:sz w:val="18"/>
                <w:szCs w:val="18"/>
                <w:color w:val="auto"/>
                <w:w w:val="92"/>
              </w:rPr>
              <w:t>statements, within 45 days of our fiscal quarter end (other than our fourth fiscal</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80" w:type="dxa"/>
            <w:vAlign w:val="bottom"/>
            <w:gridSpan w:val="3"/>
          </w:tcPr>
          <w:p>
            <w:pPr>
              <w:ind w:left="2260"/>
              <w:spacing w:after="0"/>
              <w:rPr>
                <w:sz w:val="20"/>
                <w:szCs w:val="20"/>
                <w:color w:val="auto"/>
              </w:rPr>
            </w:pPr>
            <w:r>
              <w:rPr>
                <w:rFonts w:ascii="Arial" w:cs="Arial" w:eastAsia="Arial" w:hAnsi="Arial"/>
                <w:sz w:val="18"/>
                <w:szCs w:val="18"/>
                <w:color w:val="auto"/>
                <w:w w:val="92"/>
              </w:rPr>
              <w:t>quarter). All such financial statements will be prepared, in all material respects,</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8080" w:type="dxa"/>
            <w:vAlign w:val="bottom"/>
            <w:gridSpan w:val="3"/>
          </w:tcPr>
          <w:p>
            <w:pPr>
              <w:ind w:left="2260"/>
              <w:spacing w:after="0"/>
              <w:rPr>
                <w:sz w:val="20"/>
                <w:szCs w:val="20"/>
                <w:color w:val="auto"/>
              </w:rPr>
            </w:pPr>
            <w:r>
              <w:rPr>
                <w:rFonts w:ascii="Arial" w:cs="Arial" w:eastAsia="Arial" w:hAnsi="Arial"/>
                <w:sz w:val="18"/>
                <w:szCs w:val="18"/>
                <w:color w:val="auto"/>
                <w:w w:val="97"/>
              </w:rPr>
              <w:t>in accordance with applicable United States generally accepted accounting</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7500" w:type="dxa"/>
            <w:vAlign w:val="bottom"/>
          </w:tcPr>
          <w:p>
            <w:pPr>
              <w:ind w:left="2260"/>
              <w:spacing w:after="0"/>
              <w:rPr>
                <w:sz w:val="20"/>
                <w:szCs w:val="20"/>
                <w:color w:val="auto"/>
              </w:rPr>
            </w:pPr>
            <w:r>
              <w:rPr>
                <w:rFonts w:ascii="Arial" w:cs="Arial" w:eastAsia="Arial" w:hAnsi="Arial"/>
                <w:sz w:val="18"/>
                <w:szCs w:val="18"/>
                <w:color w:val="auto"/>
              </w:rPr>
              <w:t>principles, or GAAP.</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000" w:type="dxa"/>
            <w:vAlign w:val="bottom"/>
          </w:tcPr>
          <w:p>
            <w:pPr>
              <w:spacing w:after="0"/>
              <w:rPr>
                <w:sz w:val="9"/>
                <w:szCs w:val="9"/>
                <w:color w:val="auto"/>
              </w:rPr>
            </w:pPr>
          </w:p>
        </w:tc>
        <w:tc>
          <w:tcPr>
            <w:tcW w:w="806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 Established Trading Market</w:t>
            </w:r>
          </w:p>
        </w:tc>
        <w:tc>
          <w:tcPr>
            <w:tcW w:w="8060" w:type="dxa"/>
            <w:vAlign w:val="bottom"/>
            <w:gridSpan w:val="2"/>
            <w:shd w:val="clear" w:color="auto" w:fill="CCEEFF"/>
          </w:tcPr>
          <w:p>
            <w:pPr>
              <w:ind w:left="1980"/>
              <w:spacing w:after="0" w:line="201" w:lineRule="exact"/>
              <w:rPr>
                <w:sz w:val="20"/>
                <w:szCs w:val="20"/>
                <w:color w:val="auto"/>
              </w:rPr>
            </w:pPr>
            <w:r>
              <w:rPr>
                <w:rFonts w:ascii="Arial" w:cs="Arial" w:eastAsia="Arial" w:hAnsi="Arial"/>
                <w:sz w:val="18"/>
                <w:szCs w:val="18"/>
                <w:color w:val="auto"/>
                <w:w w:val="95"/>
              </w:rPr>
              <w:t>The Notes are a new issue of securities with no established trading market. The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5"/>
              </w:rPr>
              <w:t>Notes will not be listed on any securities exchange or quoted on any automated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1"/>
              </w:rPr>
              <w:t>dealer quotation system. Although certain of the underwriters have informed us that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1"/>
              </w:rPr>
              <w:t>they intend to make a market in the Notes, they are not obligated to do so, and may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5"/>
              </w:rPr>
              <w:t>discontinue any such market at any time without notice. Accordingly, we cannot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p>
        </w:tc>
        <w:tc>
          <w:tcPr>
            <w:tcW w:w="750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92"/>
              </w:rPr>
              <w:t>assure you that a liquid market for the Notes will develop or be maintained.</w:t>
            </w:r>
          </w:p>
        </w:tc>
        <w:tc>
          <w:tcPr>
            <w:tcW w:w="5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Use of Proceeds</w:t>
            </w:r>
          </w:p>
        </w:tc>
        <w:tc>
          <w:tcPr>
            <w:tcW w:w="7500" w:type="dxa"/>
            <w:vAlign w:val="bottom"/>
          </w:tcPr>
          <w:p>
            <w:pPr>
              <w:ind w:left="1980"/>
              <w:spacing w:after="0"/>
              <w:rPr>
                <w:sz w:val="20"/>
                <w:szCs w:val="20"/>
                <w:color w:val="auto"/>
              </w:rPr>
            </w:pPr>
            <w:r>
              <w:rPr>
                <w:rFonts w:ascii="Arial" w:cs="Arial" w:eastAsia="Arial" w:hAnsi="Arial"/>
                <w:sz w:val="18"/>
                <w:szCs w:val="18"/>
                <w:color w:val="auto"/>
                <w:w w:val="96"/>
              </w:rPr>
              <w:t>We intend to use the net proceeds we will receive from the sale of the $</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080" w:type="dxa"/>
            <w:vAlign w:val="bottom"/>
            <w:gridSpan w:val="3"/>
          </w:tcPr>
          <w:p>
            <w:pPr>
              <w:ind w:left="1980"/>
              <w:spacing w:after="0"/>
              <w:rPr>
                <w:sz w:val="20"/>
                <w:szCs w:val="20"/>
                <w:color w:val="auto"/>
              </w:rPr>
            </w:pPr>
            <w:r>
              <w:rPr>
                <w:rFonts w:ascii="Arial" w:cs="Arial" w:eastAsia="Arial" w:hAnsi="Arial"/>
                <w:sz w:val="18"/>
                <w:szCs w:val="18"/>
                <w:color w:val="auto"/>
                <w:w w:val="90"/>
              </w:rPr>
              <w:t>aggregate principal amount of the Notes to reduce outstanding obligations under our</w:t>
            </w:r>
          </w:p>
        </w:tc>
        <w:tc>
          <w:tcPr>
            <w:tcW w:w="0" w:type="dxa"/>
            <w:vAlign w:val="bottom"/>
          </w:tcPr>
          <w:p>
            <w:pPr>
              <w:spacing w:after="0"/>
              <w:rPr>
                <w:sz w:val="1"/>
                <w:szCs w:val="1"/>
                <w:color w:val="auto"/>
              </w:rPr>
            </w:pPr>
          </w:p>
        </w:tc>
      </w:tr>
    </w:tbl>
    <w:p>
      <w:pPr>
        <w:ind w:left="5180"/>
        <w:spacing w:after="0"/>
        <w:rPr>
          <w:sz w:val="20"/>
          <w:szCs w:val="20"/>
          <w:color w:val="auto"/>
        </w:rPr>
      </w:pPr>
      <w:r>
        <w:rPr>
          <w:rFonts w:ascii="Arial" w:cs="Arial" w:eastAsia="Arial" w:hAnsi="Arial"/>
          <w:sz w:val="17"/>
          <w:szCs w:val="17"/>
          <w:color w:val="auto"/>
        </w:rPr>
        <w:t>Credit Facility. See “Use of Proceeds” in this prospectus supplement for more</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information.</w:t>
      </w: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This prospectus supplement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7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prospectus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and foreign exchange rates on our business and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European sovereign debt issues.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set forth in this prospectus supplement and elsewhere in the accompanying prospectus entitled “Risk Factors.”</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that we may file with SEC including annual and quarterly reports on Form 10-K/Q and current reports on Form 8-K.</w:t>
      </w:r>
    </w:p>
    <w:p>
      <w:pPr>
        <w:spacing w:after="0" w:line="14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Before you invest in our Notes, you should be aware of various risks, including those described below. You should carefully consider these risk factors and the risk factors beginning on page 8 of the accompanying prospectus, together with all of the other information included in this prospectus supplement and the accompanying prospectus, before you decide whether to make an investment in our Notes. The risks set out below are not the only risks we face. Additional risks and uncertainties not currently known to us or that we currently deem to be immaterial also may have a material adverse effect our business, financial condition and/or operating results. If any of the following events occur, our business, financial condition and results of operations could be materially adversely affected. In such case, our NAV, the trading price, if any, of our Note, common stock and 2025 Notes, or any securities we may issue, may decline.</w:t>
      </w:r>
    </w:p>
    <w:p>
      <w:pPr>
        <w:spacing w:after="0" w:line="29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will not be secured by any of our assets or any of the assets of our subsidiaries. As a result, the Notes are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August 31, 2014, we had $452.2 million outstanding under the Credit Facility out of $545 million in commitments. The Credit Facility is secured by substantially all of the assets in our portfolio (other than assets held by our SBIC Funds), and the indebtedness under the Credit Facility is therefore effectively senior in right of payment to the Notes to the extent of the value of such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Notes are obligations exclusively of PennantPark Investment and not of any of our subsidiaries. None of our subsidiaries is or acts as a guarantor of the Notes and the Notes are not required to be guaranteed by any subsidiaries we may acquire or create in the future. A significant portion of the indebtedness required to be consolidated on our balance sheet is held through our SBIC Funds. For example, the secured indebtedness with respect to the SBA debentures is held through our wholly-owned SBIC funds. The assets of any such subsidiary are not directly available to satisfy the claims of our creditors, including holders of the Notes.</w:t>
      </w:r>
    </w:p>
    <w:p>
      <w:pPr>
        <w:spacing w:after="0" w:line="18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subsidiary and any subsidiaries that we may in the future acquire or establish as financing vehicles or otherwise. As of June 30, 2014 our consolidated subsidiary, SBIC LP, had $150.0 million of borrowings outstanding under the SBA debentures. Further, SBIC II, our consolidated subsidiary, may incur future indebtedness under its $75.0 million commitment from the SBA. All of such indebtedness would be structurally senior to the Notes. In addition, our subsidiaries may incur substantial additional indebtedness in the future, all of which would be structurally senior to the Notes.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There is no active trading market for the Notes. If an active trading market does not develop for the Notes you may not be able to sell them.</w:t>
      </w:r>
    </w:p>
    <w:p>
      <w:pPr>
        <w:spacing w:after="0" w:line="13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 discount to their initial offering price depending on prevailing interest rates, the market for similar securities, our credit ratings, our financial condition or other relevant factors.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28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will be rated by Standard &amp; Poor’s Ratings Services, or S&amp;P, and Fitch Ratings, or Fitch. There can be no assurance that their respective credit ratings will remain for any given period of time or that such credit ratings will not be lowered or withdrawn entirely by S&amp;P or Fitch if in either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 under which the Notes will be issued will contain limited protection for holders of the Notes.</w:t>
      </w:r>
    </w:p>
    <w:p>
      <w:pPr>
        <w:spacing w:after="0" w:line="12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900" w:right="60" w:hanging="325"/>
        <w:spacing w:after="0" w:line="25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97"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66"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and the Notes. See “Risk Factors—Risks Relating to Our Business and Structure” including “Risk Factors—Risks Relating to Our Business and Structure—Market developments may adversely affect our business and results of operations by reducing availability and/or triggering mandatory prepayment under our Credit Facility, the 2025 Notes and our SBA debentures” in the accompanying prospectus for more information.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repurchase the Notes upon a Change of Control Repurchase Event.</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may not be able to repurchase the Notes upon a Change of Control Repurchase Event because we may not have sufficient funds. Upon a Change of Control Repurchase Event, holders of the Notes may require us to repurchase for cash some or all of the Notes at a repurchase price equal to 100% of the aggregate principal amount of the Notes being repurchased, plus accrued and unpaid interest to, but not including, the repurchase date. Our failure to purchase such tendered Notes upon the occurrence of such Change of Control Repurchase Event would cause an event of default under the indenture governing the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See “Description of the Notes—Offer to Repurchase Upon a Change of Control Repurchase Event” in this prospectus supplement for more information.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default under the agreements governing our indebtedness, including a default under our Credit Facility or under the 2025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the required holders of the 2025 Notes, or other debt that we may incur in the future to avoid being in default. If we breach our covenants under our Credit Facility, 2025 Notes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and 2025 Notes have, and any future debt will likely have, customary cross-default provisions, if the indebtedness thereunder or under any future credit facility is accelerated, we may be unable to repay or finance the amounts due. See “Description of the Notes” in this prospectus supplement and “Description of Our Debt Securities” in the accompanying prospectus.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 may apply to payments to certain foreign entities.</w:t>
      </w:r>
    </w:p>
    <w:p>
      <w:pPr>
        <w:spacing w:after="0" w:line="12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Payments made under the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on the Notes as well as payments made upon maturity, redemption, or sale of the Notes, unless the foreign financial institution or non-financial foreign entity complies with certain information reporting, withholding, identification, certification and related requirements imposed by FATCA. You should consult your own tax advisors regarding FATCA and how it may affect your investment in the notes. See “Certain U.S. Federal Income Tax Considerations—FATCA Withholding on Payments to Certain Foreign Entities” in this prospectus supplement for more information.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Table of Contents</w:t>
              </w:r>
            </w:hyperlink>
          </w:p>
        </w:tc>
        <w:tc>
          <w:tcPr>
            <w:tcW w:w="418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9740" w:type="dxa"/>
            <w:vAlign w:val="bottom"/>
            <w:gridSpan w:val="2"/>
          </w:tcPr>
          <w:p>
            <w:pPr>
              <w:ind w:left="340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5660" w:type="dxa"/>
            <w:vAlign w:val="bottom"/>
            <w:gridSpan w:val="3"/>
          </w:tcPr>
          <w:p>
            <w:pPr>
              <w:ind w:left="460"/>
              <w:spacing w:after="0"/>
              <w:rPr>
                <w:sz w:val="20"/>
                <w:szCs w:val="20"/>
                <w:color w:val="auto"/>
              </w:rPr>
            </w:pPr>
            <w:r>
              <w:rPr>
                <w:rFonts w:ascii="Arial" w:cs="Arial" w:eastAsia="Arial" w:hAnsi="Arial"/>
                <w:sz w:val="18"/>
                <w:szCs w:val="18"/>
                <w:color w:val="auto"/>
                <w:w w:val="96"/>
              </w:rPr>
              <w:t>We estimate that net proceeds we will receive from the sale of the $</w:t>
            </w:r>
          </w:p>
        </w:tc>
        <w:tc>
          <w:tcPr>
            <w:tcW w:w="5560" w:type="dxa"/>
            <w:vAlign w:val="bottom"/>
          </w:tcPr>
          <w:p>
            <w:pPr>
              <w:ind w:left="80"/>
              <w:spacing w:after="0"/>
              <w:rPr>
                <w:sz w:val="20"/>
                <w:szCs w:val="20"/>
                <w:color w:val="auto"/>
              </w:rPr>
            </w:pPr>
            <w:r>
              <w:rPr>
                <w:rFonts w:ascii="Arial" w:cs="Arial" w:eastAsia="Arial" w:hAnsi="Arial"/>
                <w:sz w:val="18"/>
                <w:szCs w:val="18"/>
                <w:color w:val="auto"/>
                <w:w w:val="99"/>
              </w:rPr>
              <w:t>million aggregate principal amount of the Notes in this offering will be</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4180" w:type="dxa"/>
            <w:vAlign w:val="bottom"/>
          </w:tcPr>
          <w:p>
            <w:pPr>
              <w:ind w:left="100"/>
              <w:spacing w:after="0"/>
              <w:rPr>
                <w:sz w:val="20"/>
                <w:szCs w:val="20"/>
                <w:color w:val="auto"/>
              </w:rPr>
            </w:pPr>
            <w:r>
              <w:rPr>
                <w:rFonts w:ascii="Arial" w:cs="Arial" w:eastAsia="Arial" w:hAnsi="Arial"/>
                <w:sz w:val="18"/>
                <w:szCs w:val="18"/>
                <w:color w:val="auto"/>
                <w:w w:val="92"/>
              </w:rPr>
              <w:t>million, in each case based on a public offering price of</w:t>
            </w:r>
          </w:p>
        </w:tc>
        <w:tc>
          <w:tcPr>
            <w:tcW w:w="5560" w:type="dxa"/>
            <w:vAlign w:val="bottom"/>
          </w:tcPr>
          <w:p>
            <w:pPr>
              <w:ind w:left="340"/>
              <w:spacing w:after="0"/>
              <w:rPr>
                <w:sz w:val="20"/>
                <w:szCs w:val="20"/>
                <w:color w:val="auto"/>
              </w:rPr>
            </w:pPr>
            <w:r>
              <w:rPr>
                <w:rFonts w:ascii="Arial" w:cs="Arial" w:eastAsia="Arial" w:hAnsi="Arial"/>
                <w:sz w:val="18"/>
                <w:szCs w:val="18"/>
                <w:color w:val="auto"/>
                <w:w w:val="90"/>
              </w:rPr>
              <w:t>% of par, after deducting the underwriting discounts and commissions of</w:t>
            </w:r>
          </w:p>
        </w:tc>
      </w:tr>
      <w:tr>
        <w:trPr>
          <w:trHeight w:val="230"/>
        </w:trPr>
        <w:tc>
          <w:tcPr>
            <w:tcW w:w="148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9740" w:type="dxa"/>
            <w:vAlign w:val="bottom"/>
            <w:gridSpan w:val="2"/>
          </w:tcPr>
          <w:p>
            <w:pPr>
              <w:ind w:left="100"/>
              <w:spacing w:after="0"/>
              <w:rPr>
                <w:sz w:val="20"/>
                <w:szCs w:val="20"/>
                <w:color w:val="auto"/>
              </w:rPr>
            </w:pPr>
            <w:r>
              <w:rPr>
                <w:rFonts w:ascii="Arial" w:cs="Arial" w:eastAsia="Arial" w:hAnsi="Arial"/>
                <w:sz w:val="18"/>
                <w:szCs w:val="18"/>
                <w:color w:val="auto"/>
              </w:rPr>
              <w:t>million and estimated offering expenses of approximately $500,000 payable by 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firstLine="456"/>
        <w:spacing w:after="0" w:line="257" w:lineRule="auto"/>
        <w:rPr>
          <w:sz w:val="20"/>
          <w:szCs w:val="20"/>
          <w:color w:val="auto"/>
        </w:rPr>
      </w:pPr>
      <w:r>
        <w:rPr>
          <w:rFonts w:ascii="Arial" w:cs="Arial" w:eastAsia="Arial" w:hAnsi="Arial"/>
          <w:sz w:val="18"/>
          <w:szCs w:val="18"/>
          <w:color w:val="auto"/>
        </w:rPr>
        <w:t>We intend to use the net proceeds from selling securities pursuant to this prospectus supplement to reduce outstanding obligations under our Credit Facility. Amounts repaid under our Credit Facility remain available for future borrowings and we may use the proceeds of future borrowings under our Credit Facility to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June 30, 2014, we had $289.1 million of unused borrowing capacity, subject to maintenance of the applicable total assets to debt ratio, as set forth in the 1940 Act, and $255.9 million in outstanding borrowings under our $545.0 million Credit Facility. Borrowings under our Credit Facility bear interest at an annual rate equal to LIBOR plus 225 basis points per annum. At June 30, 2014, the weighted average interest rate on the Credit Facility was 2.52%. The Credit Facility is a revolving facility with a stated maturity date of June 25, 2019 and is secured by substantially all of the assets in our investment portfolio, excluding assets of our SBIC Funds. See “Management’s Discussion and Analysis of Financial Condition and Results of Operations” in this prospectus supplement and the accompanying prospectus for more information.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46"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capitalization on June 30, 2014 (1) on an actual basis and (2) on an as-adjusted basis to reflect the effects of</w:t>
      </w:r>
    </w:p>
    <w:p>
      <w:pPr>
        <w:spacing w:after="0" w:line="46" w:lineRule="exact"/>
        <w:rPr>
          <w:sz w:val="20"/>
          <w:szCs w:val="20"/>
          <w:color w:val="auto"/>
        </w:rPr>
      </w:pPr>
    </w:p>
    <w:p>
      <w:pPr>
        <w:spacing w:after="0"/>
        <w:tabs>
          <w:tab w:leader="none" w:pos="1260" w:val="left"/>
          <w:tab w:leader="none" w:pos="8500" w:val="left"/>
        </w:tabs>
        <w:rPr>
          <w:sz w:val="20"/>
          <w:szCs w:val="20"/>
          <w:color w:val="auto"/>
        </w:rPr>
      </w:pPr>
      <w:r>
        <w:rPr>
          <w:rFonts w:ascii="Arial" w:cs="Arial" w:eastAsia="Arial" w:hAnsi="Arial"/>
          <w:sz w:val="18"/>
          <w:szCs w:val="18"/>
          <w:color w:val="auto"/>
        </w:rPr>
        <w:t>the sale of $</w:t>
      </w:r>
      <w:r>
        <w:rPr>
          <w:sz w:val="20"/>
          <w:szCs w:val="20"/>
          <w:color w:val="auto"/>
        </w:rPr>
        <w:tab/>
      </w:r>
      <w:r>
        <w:rPr>
          <w:rFonts w:ascii="Arial" w:cs="Arial" w:eastAsia="Arial" w:hAnsi="Arial"/>
          <w:sz w:val="18"/>
          <w:szCs w:val="18"/>
          <w:color w:val="auto"/>
        </w:rPr>
        <w:t>million aggregate principal amount of Notes in this offering based on a public offering price of</w:t>
      </w:r>
      <w:r>
        <w:rPr>
          <w:sz w:val="20"/>
          <w:szCs w:val="20"/>
          <w:color w:val="auto"/>
        </w:rPr>
        <w:tab/>
      </w:r>
      <w:r>
        <w:rPr>
          <w:rFonts w:ascii="Arial" w:cs="Arial" w:eastAsia="Arial" w:hAnsi="Arial"/>
          <w:sz w:val="16"/>
          <w:szCs w:val="16"/>
          <w:color w:val="auto"/>
        </w:rPr>
        <w:t>% of par, after deducting the</w:t>
      </w:r>
    </w:p>
    <w:p>
      <w:pPr>
        <w:spacing w:after="0" w:line="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underwriting discounts and commissions of $ million and estimated offering expenses of approximately $500,000 payable by us. We intend to use the net proceeds from selling securities pursuant to this prospectus supplement to reduce outstanding obligations under our Credit Facility. The as-adjusted information is illustrative only; our capitalization following the completion of this offering is subject to further adjustments.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this prospectus supplement and in the accompanying prospectus for more information.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As of June 30, 2014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w w:val="97"/>
              </w:rPr>
              <w:t>As adjusted for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the offering</w:t>
            </w: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(cost—$64,349,609)</w:t>
            </w:r>
          </w:p>
        </w:tc>
        <w:tc>
          <w:tcPr>
            <w:tcW w:w="3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64,390,787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64,390,787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w w:val="96"/>
              </w:rPr>
              <w:t>Borrowings under the Credit Facility (cost—$255,898,700 and $</w:t>
            </w:r>
          </w:p>
        </w:tc>
        <w:tc>
          <w:tcPr>
            <w:tcW w:w="3160" w:type="dxa"/>
            <w:vAlign w:val="bottom"/>
          </w:tcPr>
          <w:p>
            <w:pPr>
              <w:jc w:val="right"/>
              <w:ind w:right="27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257,187,294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SBA debentures (cost—$150,000,000)</w:t>
            </w: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150,000,000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2025 Notes (cost—$71,250,000)</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72,532,500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72,532,500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Notes (cost—$</w:t>
            </w:r>
          </w:p>
        </w:tc>
        <w:tc>
          <w:tcPr>
            <w:tcW w:w="3420" w:type="dxa"/>
            <w:vAlign w:val="bottom"/>
            <w:shd w:val="clear" w:color="auto" w:fill="CCEEFF"/>
          </w:tcPr>
          <w:p>
            <w:pPr>
              <w:jc w:val="right"/>
              <w:ind w:right="3150"/>
              <w:spacing w:after="0"/>
              <w:rPr>
                <w:sz w:val="20"/>
                <w:szCs w:val="20"/>
                <w:color w:val="auto"/>
              </w:rPr>
            </w:pPr>
            <w:r>
              <w:rPr>
                <w:rFonts w:ascii="Arial" w:cs="Arial" w:eastAsia="Arial" w:hAnsi="Arial"/>
                <w:sz w:val="18"/>
                <w:szCs w:val="18"/>
                <w:color w:val="auto"/>
              </w:rPr>
              <w:t>)</w:t>
            </w: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66,569,036 shares are issued and outstanding. Par value is $0.001 per share and 100,000,000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gridSpan w:val="2"/>
            <w:shd w:val="clear" w:color="auto" w:fill="CCEEFF"/>
          </w:tcPr>
          <w:p>
            <w:pPr>
              <w:jc w:val="right"/>
              <w:ind w:right="3150"/>
              <w:spacing w:after="0"/>
              <w:rPr>
                <w:sz w:val="20"/>
                <w:szCs w:val="20"/>
                <w:color w:val="auto"/>
              </w:rPr>
            </w:pPr>
            <w:r>
              <w:rPr>
                <w:rFonts w:ascii="Arial" w:cs="Arial" w:eastAsia="Arial" w:hAnsi="Arial"/>
                <w:sz w:val="18"/>
                <w:szCs w:val="18"/>
                <w:color w:val="auto"/>
                <w:w w:val="95"/>
              </w:rPr>
              <w:t>shares are authorized</w:t>
            </w:r>
          </w:p>
        </w:tc>
        <w:tc>
          <w:tcPr>
            <w:tcW w:w="3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66,569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Paid in capital in excess of par value</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756,809,951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756,809,951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(9,406,519)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Accumulated net realized loss on investments</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(14,454,032)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(14,454,032)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24,027,916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24,027,916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Net unrealized appreciation on debt</w:t>
            </w: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(2,571,092)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(2,571,092)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4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754,472,793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754,472,793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99"/>
              </w:rPr>
              <w:t>Total capitalization</w:t>
            </w:r>
          </w:p>
        </w:tc>
        <w:tc>
          <w:tcPr>
            <w:tcW w:w="34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1,234,192,587</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1,234,192,587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right="6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Does not include any shares issued pursuant to our dividend reinvestment plan, the 8.5 million shares of our common stock sold in connection with our September 10, 2014 offering that resulted in net proceeds of $95.4 million or the underwriters’ option to purchase up to an additional 1.3 million shares of our common stock from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For the nine months ended June 30, 2014 and for the years ended September 30, 2013, 2012, 2011, 2010 and 2009, the ratios of earnings to fixed charges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For the Nine</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60" w:type="dxa"/>
            <w:vAlign w:val="bottom"/>
            <w:gridSpan w:val="10"/>
            <w:vMerge w:val="restart"/>
          </w:tcPr>
          <w:p>
            <w:pPr>
              <w:jc w:val="right"/>
              <w:ind w:right="320"/>
              <w:spacing w:after="0"/>
              <w:rPr>
                <w:sz w:val="20"/>
                <w:szCs w:val="20"/>
                <w:color w:val="auto"/>
              </w:rPr>
            </w:pPr>
            <w:r>
              <w:rPr>
                <w:rFonts w:ascii="Arial" w:cs="Arial" w:eastAsia="Arial" w:hAnsi="Arial"/>
                <w:sz w:val="14"/>
                <w:szCs w:val="14"/>
                <w:b w:val="1"/>
                <w:bCs w:val="1"/>
                <w:color w:val="auto"/>
                <w:w w:val="93"/>
              </w:rPr>
              <w:t>For the Fiscal Years Ended September 30,</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June 30, 2014</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10"/>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32"/>
              <w:spacing w:after="0" w:line="142" w:lineRule="exact"/>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 (Dollars in thousands)</w:t>
            </w:r>
            <w:r>
              <w:rPr>
                <w:rFonts w:ascii="Arial" w:cs="Arial" w:eastAsia="Arial" w:hAnsi="Arial"/>
                <w:sz w:val="15"/>
                <w:szCs w:val="15"/>
                <w:b w:val="1"/>
                <w:bCs w:val="1"/>
                <w:color w:val="auto"/>
              </w:rPr>
              <w:t>(1)</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Net investment income (after taxes)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51,180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$66,998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57,069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52,645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32,075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Net realized gain (losses) gains on investments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28,956</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(12,798)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(15,418)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340"/>
              <w:spacing w:after="0"/>
              <w:rPr>
                <w:sz w:val="20"/>
                <w:szCs w:val="20"/>
                <w:color w:val="auto"/>
              </w:rPr>
            </w:pPr>
            <w:r>
              <w:rPr>
                <w:rFonts w:ascii="Arial" w:cs="Arial" w:eastAsia="Arial" w:hAnsi="Arial"/>
                <w:sz w:val="18"/>
                <w:szCs w:val="18"/>
                <w:color w:val="auto"/>
              </w:rPr>
              <w:t>Add: Net change in unrealized appreciation (depreciation)</w:t>
            </w:r>
          </w:p>
        </w:tc>
        <w:tc>
          <w:tcPr>
            <w:tcW w:w="2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31,949</w:t>
            </w:r>
          </w:p>
        </w:tc>
        <w:tc>
          <w:tcPr>
            <w:tcW w:w="600" w:type="dxa"/>
            <w:vAlign w:val="bottom"/>
          </w:tcPr>
          <w:p>
            <w:pPr>
              <w:jc w:val="right"/>
              <w:spacing w:after="0"/>
              <w:rPr>
                <w:sz w:val="20"/>
                <w:szCs w:val="20"/>
                <w:color w:val="auto"/>
              </w:rPr>
            </w:pPr>
            <w:r>
              <w:rPr>
                <w:rFonts w:ascii="Arial" w:cs="Arial" w:eastAsia="Arial" w:hAnsi="Arial"/>
                <w:sz w:val="18"/>
                <w:szCs w:val="18"/>
                <w:color w:val="auto"/>
              </w:rPr>
              <w:t>7,093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19,082</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(58,641)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52,327</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112,085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$91,778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63,353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10,263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16,535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5"/>
                <w:szCs w:val="15"/>
                <w:b w:val="1"/>
                <w:bCs w:val="1"/>
                <w:color w:val="auto"/>
              </w:rPr>
              <w:t>(2)</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14,707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11,681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324"/>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2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46"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charges include interest and related expenses on our Credit Facility, which is indexed to LIBOR and fluctuate with changes in interest rates, the 2025 Notes, SBA debentures and amortization of debt issuance costs on our SBA debentures.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nine months ended June 30, 2014 are derived from our Consolidated Financial Statements which have been reviewed by McGladrey LLP, an independent registered public accounting firm.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 in both this prospectus supplement and the accompanying prospectus.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For the Nine Months</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8"/>
            <w:vMerge w:val="restart"/>
          </w:tcPr>
          <w:p>
            <w:pPr>
              <w:jc w:val="right"/>
              <w:ind w:right="560"/>
              <w:spacing w:after="0"/>
              <w:rPr>
                <w:sz w:val="20"/>
                <w:szCs w:val="20"/>
                <w:color w:val="auto"/>
              </w:rPr>
            </w:pPr>
            <w:r>
              <w:rPr>
                <w:rFonts w:ascii="Arial" w:cs="Arial" w:eastAsia="Arial" w:hAnsi="Arial"/>
                <w:sz w:val="14"/>
                <w:szCs w:val="14"/>
                <w:b w:val="1"/>
                <w:bCs w:val="1"/>
                <w:color w:val="auto"/>
                <w:w w:val="99"/>
              </w:rPr>
              <w:t>For the Years Ended September 30,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Ended June 30,</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980" w:type="dxa"/>
            <w:vAlign w:val="bottom"/>
            <w:tcBorders>
              <w:top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(Dollar amounts in thousands, except per share data)</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 income</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95"/>
              </w:rPr>
              <w:t>$  107,793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97,740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  129,187</w:t>
            </w: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5"/>
              </w:rPr>
              <w:t>$  113,392</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$ 91,738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$ 60,140</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$ 45,119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expenses</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56,612</w:t>
            </w:r>
          </w:p>
        </w:tc>
        <w:tc>
          <w:tcPr>
            <w:tcW w:w="840" w:type="dxa"/>
            <w:vAlign w:val="bottom"/>
          </w:tcPr>
          <w:p>
            <w:pPr>
              <w:jc w:val="right"/>
              <w:spacing w:after="0"/>
              <w:rPr>
                <w:sz w:val="20"/>
                <w:szCs w:val="20"/>
                <w:color w:val="auto"/>
              </w:rPr>
            </w:pPr>
            <w:r>
              <w:rPr>
                <w:rFonts w:ascii="Arial" w:cs="Arial" w:eastAsia="Arial" w:hAnsi="Arial"/>
                <w:sz w:val="16"/>
                <w:szCs w:val="16"/>
                <w:color w:val="auto"/>
              </w:rPr>
              <w:t>47,841</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62,189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56,323</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39,093</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28,065</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22,400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51,180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57,069</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52,645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32,075</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22,719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Net realized and unrealized gain (loss)</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60,905</w:t>
            </w:r>
          </w:p>
        </w:tc>
        <w:tc>
          <w:tcPr>
            <w:tcW w:w="840" w:type="dxa"/>
            <w:vAlign w:val="bottom"/>
          </w:tcPr>
          <w:p>
            <w:pPr>
              <w:jc w:val="right"/>
              <w:spacing w:after="0"/>
              <w:rPr>
                <w:sz w:val="20"/>
                <w:szCs w:val="20"/>
                <w:color w:val="auto"/>
              </w:rPr>
            </w:pPr>
            <w:r>
              <w:rPr>
                <w:rFonts w:ascii="Arial" w:cs="Arial" w:eastAsia="Arial" w:hAnsi="Arial"/>
                <w:sz w:val="16"/>
                <w:szCs w:val="16"/>
                <w:color w:val="auto"/>
              </w:rPr>
              <w:t>19,400</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24,780</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6,284</w:t>
            </w:r>
          </w:p>
        </w:tc>
        <w:tc>
          <w:tcPr>
            <w:tcW w:w="240" w:type="dxa"/>
            <w:vAlign w:val="bottom"/>
          </w:tcPr>
          <w:p>
            <w:pPr>
              <w:spacing w:after="0"/>
              <w:rPr>
                <w:sz w:val="17"/>
                <w:szCs w:val="17"/>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6"/>
                <w:szCs w:val="16"/>
                <w:color w:val="auto"/>
              </w:rPr>
              <w:t>(42,382)</w:t>
            </w:r>
          </w:p>
        </w:tc>
        <w:tc>
          <w:tcPr>
            <w:tcW w:w="920" w:type="dxa"/>
            <w:vAlign w:val="bottom"/>
            <w:gridSpan w:val="3"/>
          </w:tcPr>
          <w:p>
            <w:pPr>
              <w:jc w:val="right"/>
              <w:ind w:right="160"/>
              <w:spacing w:after="0"/>
              <w:rPr>
                <w:sz w:val="20"/>
                <w:szCs w:val="20"/>
                <w:color w:val="auto"/>
              </w:rPr>
            </w:pPr>
            <w:r>
              <w:rPr>
                <w:rFonts w:ascii="Arial" w:cs="Arial" w:eastAsia="Arial" w:hAnsi="Arial"/>
                <w:sz w:val="16"/>
                <w:szCs w:val="16"/>
                <w:color w:val="auto"/>
              </w:rPr>
              <w:t>(15,540)</w:t>
            </w: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13,083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Net increase in net assets resulting from operations</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112,085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69,299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91,778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63,353</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10,263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16,535</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35,802</w:t>
            </w:r>
          </w:p>
        </w:tc>
        <w:tc>
          <w:tcPr>
            <w:tcW w:w="0" w:type="dxa"/>
            <w:vAlign w:val="bottom"/>
          </w:tcPr>
          <w:p>
            <w:pPr>
              <w:spacing w:after="0"/>
              <w:rPr>
                <w:sz w:val="1"/>
                <w:szCs w:val="1"/>
                <w:color w:val="auto"/>
              </w:rPr>
            </w:pPr>
          </w:p>
        </w:tc>
      </w:tr>
      <w:tr>
        <w:trPr>
          <w:trHeight w:val="305"/>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Per share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NAV (at period end)</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11.33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10.13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23"/>
                <w:szCs w:val="23"/>
                <w:color w:val="auto"/>
                <w:vertAlign w:val="superscript"/>
              </w:rPr>
              <w:t>(1)</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0.77</w:t>
            </w:r>
          </w:p>
        </w:tc>
        <w:tc>
          <w:tcPr>
            <w:tcW w:w="840" w:type="dxa"/>
            <w:vAlign w:val="bottom"/>
          </w:tcPr>
          <w:p>
            <w:pPr>
              <w:jc w:val="right"/>
              <w:spacing w:after="0"/>
              <w:rPr>
                <w:sz w:val="20"/>
                <w:szCs w:val="20"/>
                <w:color w:val="auto"/>
              </w:rPr>
            </w:pPr>
            <w:r>
              <w:rPr>
                <w:rFonts w:ascii="Arial" w:cs="Arial" w:eastAsia="Arial" w:hAnsi="Arial"/>
                <w:sz w:val="16"/>
                <w:szCs w:val="16"/>
                <w:color w:val="auto"/>
              </w:rPr>
              <w:t>0.76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1.25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0.91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(1.01)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(0.53)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Net increase in net assets resulting from operations</w:t>
            </w:r>
            <w:r>
              <w:rPr>
                <w:rFonts w:ascii="Arial" w:cs="Arial" w:eastAsia="Arial" w:hAnsi="Arial"/>
                <w:sz w:val="23"/>
                <w:szCs w:val="23"/>
                <w:color w:val="auto"/>
                <w:vertAlign w:val="superscript"/>
              </w:rPr>
              <w:t>(1)</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1.68</w:t>
            </w: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1.39</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0.24</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0.56</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Distributions declared</w:t>
            </w:r>
            <w:r>
              <w:rPr>
                <w:rFonts w:ascii="Arial" w:cs="Arial" w:eastAsia="Arial" w:hAnsi="Arial"/>
                <w:sz w:val="23"/>
                <w:szCs w:val="23"/>
                <w:color w:val="auto"/>
                <w:vertAlign w:val="superscript"/>
              </w:rPr>
              <w:t>(1),(2)</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0.84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1.10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305"/>
        </w:trPr>
        <w:tc>
          <w:tcPr>
            <w:tcW w:w="43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 of Assets and Liabilities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1,290,175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1,101,994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1,153,327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1,018,968</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928,738</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711,494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512,381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investment portfolio</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1,198,408</w:t>
            </w:r>
          </w:p>
        </w:tc>
        <w:tc>
          <w:tcPr>
            <w:tcW w:w="840" w:type="dxa"/>
            <w:vAlign w:val="bottom"/>
          </w:tcPr>
          <w:p>
            <w:pPr>
              <w:jc w:val="right"/>
              <w:spacing w:after="0"/>
              <w:rPr>
                <w:sz w:val="20"/>
                <w:szCs w:val="20"/>
                <w:color w:val="auto"/>
              </w:rPr>
            </w:pPr>
            <w:r>
              <w:rPr>
                <w:rFonts w:ascii="Arial" w:cs="Arial" w:eastAsia="Arial" w:hAnsi="Arial"/>
                <w:sz w:val="16"/>
                <w:szCs w:val="16"/>
                <w:color w:val="auto"/>
              </w:rPr>
              <w:t>1,066,265</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1,078,176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990,480</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827,549</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664,724</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469,760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Borrowings outstanding</w:t>
            </w:r>
            <w:r>
              <w:rPr>
                <w:rFonts w:ascii="Arial" w:cs="Arial" w:eastAsia="Arial" w:hAnsi="Arial"/>
                <w:sz w:val="23"/>
                <w:szCs w:val="23"/>
                <w:color w:val="auto"/>
                <w:vertAlign w:val="superscript"/>
              </w:rPr>
              <w:t>(3)</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479,720</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335,750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363,900</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294,452</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388,792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233,641</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175,475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Total NAV</w:t>
            </w:r>
          </w:p>
        </w:tc>
        <w:tc>
          <w:tcPr>
            <w:tcW w:w="980" w:type="dxa"/>
            <w:vAlign w:val="bottom"/>
          </w:tcPr>
          <w:p>
            <w:pPr>
              <w:jc w:val="right"/>
              <w:ind w:right="160"/>
              <w:spacing w:after="0"/>
              <w:rPr>
                <w:sz w:val="20"/>
                <w:szCs w:val="20"/>
                <w:color w:val="auto"/>
              </w:rPr>
            </w:pPr>
            <w:r>
              <w:rPr>
                <w:rFonts w:ascii="Arial" w:cs="Arial" w:eastAsia="Arial" w:hAnsi="Arial"/>
                <w:sz w:val="16"/>
                <w:szCs w:val="16"/>
                <w:color w:val="auto"/>
              </w:rPr>
              <w:t>754,473</w:t>
            </w:r>
          </w:p>
        </w:tc>
        <w:tc>
          <w:tcPr>
            <w:tcW w:w="840" w:type="dxa"/>
            <w:vAlign w:val="bottom"/>
          </w:tcPr>
          <w:p>
            <w:pPr>
              <w:jc w:val="right"/>
              <w:spacing w:after="0"/>
              <w:rPr>
                <w:sz w:val="20"/>
                <w:szCs w:val="20"/>
                <w:color w:val="auto"/>
              </w:rPr>
            </w:pPr>
            <w:r>
              <w:rPr>
                <w:rFonts w:ascii="Arial" w:cs="Arial" w:eastAsia="Arial" w:hAnsi="Arial"/>
                <w:sz w:val="16"/>
                <w:szCs w:val="16"/>
                <w:color w:val="auto"/>
              </w:rPr>
              <w:t>693,103</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697,506</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669,717</w:t>
            </w:r>
          </w:p>
        </w:tc>
        <w:tc>
          <w:tcPr>
            <w:tcW w:w="240" w:type="dxa"/>
            <w:vAlign w:val="bottom"/>
          </w:tcPr>
          <w:p>
            <w:pPr>
              <w:spacing w:after="0"/>
              <w:rPr>
                <w:sz w:val="17"/>
                <w:szCs w:val="17"/>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6"/>
                <w:szCs w:val="16"/>
                <w:color w:val="auto"/>
              </w:rPr>
              <w:t>462,657</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386,575</w:t>
            </w:r>
          </w:p>
        </w:tc>
        <w:tc>
          <w:tcPr>
            <w:tcW w:w="220" w:type="dxa"/>
            <w:vAlign w:val="bottom"/>
          </w:tcPr>
          <w:p>
            <w:pPr>
              <w:spacing w:after="0"/>
              <w:rPr>
                <w:sz w:val="17"/>
                <w:szCs w:val="17"/>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6"/>
                <w:szCs w:val="16"/>
                <w:color w:val="auto"/>
              </w:rPr>
              <w:t>300,580</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data:</w:t>
            </w: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4"/>
                <w:szCs w:val="14"/>
                <w:color w:val="auto"/>
              </w:rPr>
              <w:t>Total return</w:t>
            </w:r>
            <w:r>
              <w:rPr>
                <w:rFonts w:ascii="Arial" w:cs="Arial" w:eastAsia="Arial" w:hAnsi="Arial"/>
                <w:sz w:val="23"/>
                <w:szCs w:val="23"/>
                <w:color w:val="auto"/>
                <w:vertAlign w:val="superscript"/>
              </w:rPr>
              <w:t>(4)</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9.30%</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12.20%</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17.37%</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28.71%</w:t>
            </w:r>
          </w:p>
        </w:tc>
        <w:tc>
          <w:tcPr>
            <w:tcW w:w="1020" w:type="dxa"/>
            <w:vAlign w:val="bottom"/>
            <w:gridSpan w:val="3"/>
          </w:tcPr>
          <w:p>
            <w:pPr>
              <w:jc w:val="right"/>
              <w:ind w:right="120"/>
              <w:spacing w:after="0"/>
              <w:rPr>
                <w:sz w:val="20"/>
                <w:szCs w:val="20"/>
                <w:color w:val="auto"/>
              </w:rPr>
            </w:pPr>
            <w:r>
              <w:rPr>
                <w:rFonts w:ascii="Arial" w:cs="Arial" w:eastAsia="Arial" w:hAnsi="Arial"/>
                <w:sz w:val="16"/>
                <w:szCs w:val="16"/>
                <w:color w:val="auto"/>
              </w:rPr>
              <w:t>(7.37)%</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44.79%</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Number of portfolio companies</w:t>
            </w:r>
            <w:r>
              <w:rPr>
                <w:rFonts w:ascii="Arial" w:cs="Arial" w:eastAsia="Arial" w:hAnsi="Arial"/>
                <w:sz w:val="23"/>
                <w:szCs w:val="23"/>
                <w:color w:val="auto"/>
                <w:vertAlign w:val="superscript"/>
              </w:rPr>
              <w:t>(5)</w:t>
            </w:r>
          </w:p>
        </w:tc>
        <w:tc>
          <w:tcPr>
            <w:tcW w:w="9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66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Yield on debt portfolio</w:t>
            </w:r>
            <w:r>
              <w:rPr>
                <w:rFonts w:ascii="Arial" w:cs="Arial" w:eastAsia="Arial" w:hAnsi="Arial"/>
                <w:sz w:val="27"/>
                <w:szCs w:val="27"/>
                <w:color w:val="auto"/>
                <w:vertAlign w:val="superscript"/>
              </w:rPr>
              <w:t>(5)</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12.3%</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13.1%</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13.0%</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13.2%</w:t>
            </w:r>
          </w:p>
        </w:tc>
        <w:tc>
          <w:tcPr>
            <w:tcW w:w="1020" w:type="dxa"/>
            <w:vAlign w:val="bottom"/>
            <w:gridSpan w:val="3"/>
          </w:tcPr>
          <w:p>
            <w:pPr>
              <w:jc w:val="right"/>
              <w:ind w:right="180"/>
              <w:spacing w:after="0"/>
              <w:rPr>
                <w:sz w:val="20"/>
                <w:szCs w:val="20"/>
                <w:color w:val="auto"/>
              </w:rPr>
            </w:pPr>
            <w:r>
              <w:rPr>
                <w:rFonts w:ascii="Arial" w:cs="Arial" w:eastAsia="Arial" w:hAnsi="Arial"/>
                <w:sz w:val="16"/>
                <w:szCs w:val="16"/>
                <w:color w:val="auto"/>
              </w:rPr>
              <w:t>13.3%</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12.7%</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the weighted average shares outstanding for the respective years.</w:t>
      </w:r>
    </w:p>
    <w:p>
      <w:pPr>
        <w:spacing w:after="0" w:line="22"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taxable income calculated in accordance with income tax regulations, which may differ from amounts determined under GAAP.</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fair value.</w:t>
      </w:r>
    </w:p>
    <w:p>
      <w:pPr>
        <w:spacing w:after="0" w:line="18" w:lineRule="exact"/>
        <w:rPr>
          <w:rFonts w:ascii="Arial" w:cs="Arial" w:eastAsia="Arial" w:hAnsi="Arial"/>
          <w:sz w:val="16"/>
          <w:szCs w:val="16"/>
          <w:color w:val="auto"/>
        </w:rPr>
      </w:pPr>
    </w:p>
    <w:p>
      <w:pPr>
        <w:ind w:left="340" w:right="340" w:hanging="332"/>
        <w:spacing w:after="0" w:line="264"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the change in market price per share during the periods and takes into account distributions, if any, reinvested in accordance with our dividend reinvestment plan.</w:t>
      </w: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Unaudited.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35,475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37,879</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20,029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17,955</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20,652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21,500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31,949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40,681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39,455</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r>
      <w:tr>
        <w:trPr>
          <w:trHeight w:val="365"/>
        </w:trPr>
        <w:tc>
          <w:tcPr>
            <w:tcW w:w="7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33,725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17,099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17,655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18,181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12,910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10,360</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22,479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26,972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28,541</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365"/>
        </w:trPr>
        <w:tc>
          <w:tcPr>
            <w:tcW w:w="7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29,385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16,742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9,759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14,997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17,690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3,420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26,397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15,846</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r>
      <w:tr>
        <w:trPr>
          <w:trHeight w:val="365"/>
        </w:trPr>
        <w:tc>
          <w:tcPr>
            <w:tcW w:w="78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82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22,908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15,095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13,220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(46,260)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14,351</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2,319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25,522</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NAV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65"/>
        </w:trPr>
        <w:tc>
          <w:tcPr>
            <w:tcW w:w="7880" w:type="dxa"/>
            <w:vAlign w:val="bottom"/>
          </w:tcPr>
          <w:p>
            <w:pPr>
              <w:ind w:left="5540"/>
              <w:spacing w:after="0"/>
              <w:rPr>
                <w:sz w:val="20"/>
                <w:szCs w:val="20"/>
                <w:color w:val="auto"/>
              </w:rPr>
            </w:pPr>
            <w:r>
              <w:rPr>
                <w:rFonts w:ascii="Arial" w:cs="Arial" w:eastAsia="Arial" w:hAnsi="Arial"/>
                <w:sz w:val="18"/>
                <w:szCs w:val="18"/>
                <w:color w:val="auto"/>
              </w:rPr>
              <w:t>S-20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administration agreements with us. Our board of directors, a majority of whom are independent of us, supervises our activities, and the Investment Adviser manages our day-to-day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payment-in-kind,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original issue discount, or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Our primary operating expenses include the payment of a base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and foreign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local and foreign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June 30, 2014, our portfolio totaled $1,198.4 million and consisted of $310.2 million of senior secured loans, $486.1 million of second lien secured debt, $282.4 million of subordinated debt and $119.7 million of preferred and common equity investments. Our debt portfolio consisted of 39% fixed-rate and 61% variable-rate investments (including 53% with a LIBOR or prime floor). Our overall portfolio consisted of 66 companies with an average investment size of $18.2 million, had a weighted average yield on debt investments of 12.3% and was invested 26% in senior secured loans, 40% in second lien secured debt, 24% in subordinated debt and 10% in preferred and common equity investments.</w:t>
      </w:r>
    </w:p>
    <w:p>
      <w:pPr>
        <w:spacing w:after="0" w:line="173"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the three months ended June 30, 2014, we invested $191.8 million in three new and nine existing portfolio companies with a weighted average yield on debt investments of 11.7%. Sales and repayments of investments for the three months ended June 30, 2014 totaled $273.6 million. For the nine months ended June 30, 2014, we invested $561.8 million in 16 new and 22 existing portfolio companies with a weighted average yield on debt investments of 12.1%. Sales and repayments of investments for the nine months ended June 30, 2014 totaled $534.4 million.</w:t>
      </w:r>
    </w:p>
    <w:p>
      <w:pPr>
        <w:spacing w:after="0" w:line="17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For the three months ended June 30, 2013, we invested $73.3 million in two new and five existing portfolio companies with a weighted average yield on debt investments of 12.9%. Sales and repayments of investments for the three months ended June 30, 2013 totaled $117.8 million. For the nine months ended June 30, 2013, we invested $317.2 million in eight new and 19 existing portfolio companies with a weighted average yield on debt investments of 12.9%. Sales and repayments of investments for the nine months ended June 30, 2013 totaled $271.2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Investments</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supplement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differences could be material.</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260" w:hanging="446"/>
        <w:spacing w:after="0" w:line="286"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160" w:hanging="1147"/>
        <w:spacing w:after="0" w:line="264" w:lineRule="auto"/>
        <w:tabs>
          <w:tab w:leader="none" w:pos="11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160" w:right="320" w:hanging="1147"/>
        <w:spacing w:after="0" w:line="277" w:lineRule="auto"/>
        <w:tabs>
          <w:tab w:leader="none" w:pos="11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for the three and nine months ended June 30, 2014.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 service to fair value our Credit Facility in a manner consistent with</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valuation process that the board of directors approves to value investments. Our 2025 Notes trade on the New York Stock Exchange, or NYSE, and we use the closing price on the exchange to determine their fair value.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 and Net Change in Unrealized Appreciation or Depreciation</w:t>
      </w:r>
    </w:p>
    <w:p>
      <w:pPr>
        <w:spacing w:after="0" w:line="12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sz w:val="20"/>
          <w:szCs w:val="20"/>
          <w:color w:val="auto"/>
        </w:rPr>
      </w:pPr>
    </w:p>
    <w:p>
      <w:pPr>
        <w:ind w:left="1480" w:hanging="567"/>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liabilities—at the exchange rates prevailing at the end of the applicable period; and</w:t>
      </w:r>
    </w:p>
    <w:p>
      <w:pPr>
        <w:spacing w:after="0" w:line="153" w:lineRule="exact"/>
        <w:rPr>
          <w:rFonts w:ascii="Arial" w:cs="Arial" w:eastAsia="Arial" w:hAnsi="Arial"/>
          <w:sz w:val="16"/>
          <w:szCs w:val="16"/>
          <w:color w:val="auto"/>
        </w:rPr>
      </w:pPr>
    </w:p>
    <w:p>
      <w:pPr>
        <w:ind w:left="1480" w:right="440" w:hanging="567"/>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expenses—at the exchange rates prevailing on the respective dates of such transactions.</w:t>
      </w:r>
    </w:p>
    <w:p>
      <w:pPr>
        <w:spacing w:after="0" w:line="170"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 or PIK</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7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nine months ended June 30, 2014 and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Investment income for the three and nine months ended June 30, 2014 was $35.5 million and $107.8 million, respectively, and was attributable to $9.8 million and $30.0 million from senior secured loans, $13.3 million and $39.9 million from second lien secured debt investments, $11.6 million and $35.7 million from subordinated debt investments, and $0.8 million and $2.2 million from equity investments, respectively. This compares to investment income for the three and nine months ended June 30, 2013, which was $33.7 million and $97.7 million, respectively, and was attributable to $11.6 million and $29.6 million from senior secured loans, $7.9 million and $22.9 million from second lien secured debt investments, $14.2 million and $43.9 million from subordinated debt investments, and zero and $1.3 million from equity investments, respectively. The increase in investment income compared with the same period in the prior year was primarily due to the growth of our portfolio.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Expenses for the three and nine months ended June 30, 2014 totaled $22.3 million and $56.6 million, respectively. Base management fee for the same periods totaled $6.1 million and $17.9 million, incentive fees totaled $5.4 million and $14.9 million (including $1.7 million on net realized gains accrued but not payable), debt related interest and expenses totaled $8.9 million and $18.6 million (including $3.9 million of Credit Facility debt issuance costs) and general and administrative expenses totaled $1.9 million and $5.2 million, respectively.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compares to expenses for the three and nine months ended June 30, 2013, which totaled $16.1 million and $47.8 million, respectively. Base management fee for the same periods totaled $5.4 million and $15.9 million, incentive fees totaled $4.4 million and $12.5 million, debt related interest and expenses (including the $0.3 million and $2.7 million of debt issuance costs associated with our 2025 Notes, respectively) totaled $4.6 million and $14.0 million and general and administrative expenses and excise tax totaled $1.7 million and $5.4 million, respectively. The increase in expenses was primarily due to both growing our portfolio and expanding our borrowing capacity under our Credit Facility.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Net investment income totaled $13.2 million and $51.2 million, or $0.20 and $0.77 per share, for the three and nine months ended June 30, 2014, respectively. Net investment income totaled $17.7 million and $49.9 million, or $0.27 and $0.76 per share, for the three and nine months ended June 30, 2013, respectively. The decrease in net investment income for the three months ended June 30, 2014 compared to the same period in the prior year was due to debt issuance costs that were not incurred in the comparable period. The increase in net investment income for the nine months ended June 30, 2014 was due to the growth of our portfolio offset by higher financing costs and debt issuance costs.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Sales and repayments of investments for the three and nine months ended June 30, 2014 totaled $273.6 million and $534.4 million, respectively, and realized gains totaled $23.3 million and $29.0 million, respectively. Sales and repayments of investments for the three and nine months ended June 30, 2013 totaled $117.8 million and $271.2 million, respectively, and realized gains totaled $15.7 million and $14.7 million, respectively. The increase in realized gains was driven by exits of portfolio companies.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Credit Facility and 2025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and nine months ended June 30, 2014, we reported net unrealized (depreciation) appreciation on investments of $(1.1) million and $37.4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respectively. For the three and nine months ended June 30, 2013, we reported a net unrealized (depreciation) appreciation on investments of $(20.0)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and $5.2 million, respectively. As of June 30, 2014 and September 30, 2013, our net unrealized appreciation (depreciation) on investments totaled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$24.0 million and $(13.3) million, respectively. Net change in unrealized (depreciation) appreciation on investments was a result of the overall variation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leveraged finance markets as well as the relevant unobservable inputs used in deriving our valuations.</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three and nine months ended June 30, 2014, we reported net unrealized (appreciation) on our Credit Facility and 2025 Notes of $(3.4) million and $(5.4) million, respectively. For the three and nine months ended June 30, 2013, we reported a net unrealized depreciation (appreciation) on our Credit Facility and 2025 Notes of $0.4 million and $(0.5) million, respectively. Net change in unrealized appreciation on the Credit Facility and 2025 Notes over the prior year was due to changes in the capital markets.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increase in net assets resulting from operations totaled $31.9 million and $112.1 million, or $0.48 and $1.68 per share, for the three and nine months ended June 30, 2014, respectively. This compares to a net increase in net assets resulting from operations of $13.8 million and $69.3 million, or $0.21 and $1.05 per share, for the three and nine months ended June 30, 2013, respectively. The increase compared to the prior year was due to realized gains, the continued growth of our portfolio and appreciation of our investments.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liquidity and capital resources are derived primarily from proceeds of securities offerings, debt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On June 25, 2014, we amended and restated our multi-currency Credit Facility to increase the amount available for borrowing from $445.0 million to $545.0 million, reduce the interest rate spread above LIBOR from 2.75% to 2.25%, reduce the undrawn commitment fee from 0.50% to 0.375% and extend the maturity date from February 21, 2016 to June 25, 2019. This multi-currency Credit Facility is with certain lenders and SunTrust Bank, acting as administrative agent, and JPMorgan Chase Bank, N.A., acting as syndication agent for the lenders. As of June 30, 2014 and September 30, 2013, there was $255.9 million and $145.5 million (including a temporary draw of $28.0 million), respectively, in outstanding borrowings under the Credit Facility, with a weighted average interest rate at the time of 2.52% and 3.33%, exclusive of the fee on undrawn commitments of 0.375% and 0.50%, respectively.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documents governing the Credit Facility contain affirmative and restrictive covenants, including: (a) periodic financial reporting requirements,</w:t>
      </w:r>
    </w:p>
    <w:p>
      <w:pPr>
        <w:spacing w:after="0" w:line="35" w:lineRule="exact"/>
        <w:rPr>
          <w:sz w:val="20"/>
          <w:szCs w:val="20"/>
          <w:color w:val="auto"/>
        </w:rPr>
      </w:pPr>
    </w:p>
    <w:p>
      <w:pPr>
        <w:jc w:val="both"/>
        <w:ind w:right="140" w:firstLine="8"/>
        <w:spacing w:after="0" w:line="281"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maintenance of a minimum stockholders’ equity of the sum of (1) $245.2 million plus (2) 25% of the net proceeds from the sale of equity interests in the Company and its subsidiaries after the effective date (other than proceeds from the sale of equity interests by and among the Company and its subsidiaries),</w:t>
      </w:r>
    </w:p>
    <w:p>
      <w:pPr>
        <w:spacing w:after="0" w:line="1" w:lineRule="exact"/>
        <w:rPr>
          <w:rFonts w:ascii="Arial" w:cs="Arial" w:eastAsia="Arial" w:hAnsi="Arial"/>
          <w:sz w:val="16"/>
          <w:szCs w:val="16"/>
          <w:color w:val="auto"/>
        </w:rPr>
      </w:pPr>
    </w:p>
    <w:p>
      <w:pPr>
        <w:ind w:firstLine="8"/>
        <w:spacing w:after="0" w:line="287" w:lineRule="auto"/>
        <w:tabs>
          <w:tab w:leader="none" w:pos="245"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maintenance of an asset coverage ratio of not less than 2.0:1.0, (d) maintenance of minimum liquidity standards, (e) limitations on the incurrence of additional indebtedness, (f) limitations on liens, (g) limitations on fundamental corporate changes, (h) limitations on investments, (i) limitations on payments and distributions, (j) limitations on transactions with affiliates, (k) limitations on engaging in business not contemplated by the Company’s investment objectives, (l) limitations on the creation or existence of agreements that prohibit liens on properties of the Company and its subsidiaries and (m) limitations on the ability to modify long-term indebtedness. In addition to the asset coverage ratio described in clause (c) of the preceding sentence, borrowings under the Credit Facility (and the incurrence of certain other permitted debt) will be subject to compliance with a borrowing base that will apply different advance rates to different types of assets in the Company’s portfolio. The Credit Facility also includes certain customary events of default, including the failure to make timely payments of principal and interest, the occurrence of a change in control and the failure by the Company to materially perform under the operative agreements governing the Credit Facility, which would permit the lenders to accelerate repayment under the Credit Facility.</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2025 Notes. Furthermore, our Credit Facility availability depends on various covenants and</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restrictions. The primary use of existing funds and any funds raised in the future is expected to be for repayment of indebtedness, investments in portfolio companies, cash distributions to our stockholders or for other general corporate or strategic purposes. For the nine months ended June 30, 2014, we did not issue shares of common stock in connection with an equity offering.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178"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As of June 30, 2014 and September 30, 2013, our SBIC Funds had $225.0 million and $150.0 million in debt commitments, respectively, and $150.0 million was drawn for each period. The SBA debentures’ upfront fees of 3.43% consist of a commitment fee of 1.00% and an issuance discount of 2.43%. Both fees will be amortized over the lives of the loans. Our fixed-rate SBA debentures as of June 30, 2014 and September 30, 2013 were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6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640" w:type="dxa"/>
            <w:vAlign w:val="bottom"/>
            <w:vMerge w:val="restart"/>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All-In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2600" w:type="dxa"/>
            <w:vAlign w:val="bottom"/>
            <w:tcBorders>
              <w:bottom w:val="single" w:sz="8" w:color="CCEEFF"/>
            </w:tcBorders>
            <w:vMerge w:val="continue"/>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Coupon Rate</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380" w:type="dxa"/>
            <w:vAlign w:val="bottom"/>
            <w:gridSpan w:val="3"/>
          </w:tcPr>
          <w:p>
            <w:pPr>
              <w:ind w:left="1380"/>
              <w:spacing w:after="0"/>
              <w:rPr>
                <w:sz w:val="20"/>
                <w:szCs w:val="20"/>
                <w:color w:val="auto"/>
              </w:rPr>
            </w:pPr>
            <w:r>
              <w:rPr>
                <w:rFonts w:ascii="Arial" w:cs="Arial" w:eastAsia="Arial" w:hAnsi="Arial"/>
                <w:sz w:val="18"/>
                <w:szCs w:val="18"/>
                <w:color w:val="auto"/>
              </w:rPr>
              <w:t>March 1, 2021</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380" w:type="dxa"/>
            <w:vAlign w:val="bottom"/>
            <w:gridSpan w:val="3"/>
            <w:shd w:val="clear" w:color="auto" w:fill="CCEEFF"/>
          </w:tcPr>
          <w:p>
            <w:pPr>
              <w:ind w:left="1380"/>
              <w:spacing w:after="0"/>
              <w:rPr>
                <w:sz w:val="20"/>
                <w:szCs w:val="20"/>
                <w:color w:val="auto"/>
              </w:rPr>
            </w:pPr>
            <w:r>
              <w:rPr>
                <w:rFonts w:ascii="Arial" w:cs="Arial" w:eastAsia="Arial" w:hAnsi="Arial"/>
                <w:sz w:val="18"/>
                <w:szCs w:val="18"/>
                <w:color w:val="auto"/>
              </w:rPr>
              <w:t>September 1, 2021</w:t>
            </w:r>
          </w:p>
        </w:tc>
        <w:tc>
          <w:tcPr>
            <w:tcW w:w="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5"/>
              </w:rPr>
              <w:t>3.38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Weighted Average Rate/Total</w:t>
            </w: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2014, our SBIC Funds were in compliance with their regulatory requirements.</w:t>
      </w:r>
    </w:p>
    <w:p>
      <w:pPr>
        <w:spacing w:after="0" w:line="17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June 30, 2014 and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June 30, 2014 and September 30, 2013, we had cash and cash equivalents of $64.4 million and $58.4 million, respectively, available for investing and general corporate purposes. We believe our liquidity and capital resources are sufficient to take advantage of market opportunities.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operating activities used cash of $48.4 million for the nine months ended June 30, 2014, primarily for net purchases of investments. Our financing activities provided cash of $54.5 million for the same period, primarily from net borrowings under our Credit Facility.</w:t>
      </w:r>
    </w:p>
    <w:p>
      <w:pPr>
        <w:spacing w:after="0" w:line="170"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Our operating activities provided cash of $11.1 million for the nine months ended June 30, 2013, primarily from operating income. Our financing activities used cash of $2.4 million for the same period, primarily to repay certain amounts outstanding under our Credit Facility.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June 30, 2014, including borrowings under our various debt facilities and other contractual obligations,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rPr>
              <w:t>Payments due by period (in millions)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0"/>
                <w:szCs w:val="10"/>
                <w:color w:val="auto"/>
              </w:rPr>
            </w:pPr>
          </w:p>
        </w:tc>
        <w:tc>
          <w:tcPr>
            <w:tcW w:w="11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1-3</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3-5</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years</w:t>
            </w:r>
          </w:p>
        </w:tc>
        <w:tc>
          <w:tcPr>
            <w:tcW w:w="240" w:type="dxa"/>
            <w:vAlign w:val="bottom"/>
          </w:tcPr>
          <w:p>
            <w:pPr>
              <w:spacing w:after="0"/>
              <w:rPr>
                <w:sz w:val="14"/>
                <w:szCs w:val="14"/>
                <w:color w:val="auto"/>
              </w:rPr>
            </w:pPr>
          </w:p>
        </w:tc>
        <w:tc>
          <w:tcPr>
            <w:tcW w:w="7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$255.9</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255.9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477.2</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255.9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(3)</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1.9</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497.6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1.9</w:t>
            </w:r>
          </w:p>
        </w:tc>
        <w:tc>
          <w:tcPr>
            <w:tcW w:w="5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borrowings denominated in British Pounds of £34.0 million, as of June 30, 2014.</w:t>
      </w:r>
    </w:p>
    <w:p>
      <w:pPr>
        <w:spacing w:after="0" w:line="23" w:lineRule="exact"/>
        <w:rPr>
          <w:rFonts w:ascii="Arial" w:cs="Arial" w:eastAsia="Arial" w:hAnsi="Arial"/>
          <w:sz w:val="18"/>
          <w:szCs w:val="18"/>
          <w:color w:val="auto"/>
        </w:rPr>
      </w:pPr>
    </w:p>
    <w:p>
      <w:pPr>
        <w:ind w:left="460" w:right="54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annualized weighted average cost of debt as of June 30, 2014, excluding debt issuance costs, was 3.94% inclusive of the fee on the undrawn commitment of 0.375% on the Credit Facility and 3.43% of upfront fees on SBA debentures.</w:t>
      </w:r>
    </w:p>
    <w:p>
      <w:pPr>
        <w:ind w:left="460" w:right="72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debt and equity investments described in the Consolidated Statement of Assets and Liabilities represent unfunded delayed draws on investments and/or revolving lines of credit.</w:t>
      </w:r>
    </w:p>
    <w:p>
      <w:pPr>
        <w:spacing w:after="0" w:line="18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2014,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base management fee equal to a percentage of the value of our average adjusted gross assets and (2) an incentive fee based on our performance.</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Under our Administration Agreement, which was most recently reapproved by our board of directors, including a majority of our directors who are not interested persons of us, in February 2014,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6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We, in the ordinary course of business, have guaranteed certain obligations of our controlled affiliate SuttonPark Holdings, Inc. and its subsidiaries, or SPH. The guaranties are only triggered if there were administrative errors in acquiring assets which SPH subsequently sold or securitized. As of June 30, 2014 and September 30, 2013, our maximum guaranty was $11.3 million and $13.0 million, respectively. Based on SPH’s and the industry’s historical loss rates we believe the risk of loss is remote, thus, we have not recorded a liability associated with the guaranties. The current guaranties will decline over time.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off-balance-sheet arrangements, including any risk management of commodity pricing or other hedging practices.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20" w:firstLine="8"/>
        <w:spacing w:after="0" w:line="254"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As a RIC, we are generally not subject to tax on income and have elected to retain a portion of our calendar year income.</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During the three and nine months ended June 30, 2014, we declared to stockholders distributions of $0.28 and $0.84 per share, respectively, for total distributions of $18.6 million and $55.9 million, respectively. For the same periods in the prior year, we declared distributions of $0.28 and $0.84 per share, respectively, for total distributions of $18.6 million and $55.8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From June 30, 2014 through August 31, 2014, we invested $217.6 million in three new and eight existing portfolio companies with a weighted average yield on debt investments of 13.2%. Sales and repayments of investments for the same period totaled $32.7 million. As of August 31, 2014, there was $452.2 million in outstanding borrowings under the Credit facility.</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September 10, 2014, we sold 8.5 million shares of our common stock resulting in net proceeds of $95.4 million. We also granted the underwriters in that offering an option to purchase up to an additional 1.3 million shares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to Determination of NAV—Determinations In Connection With Offerings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received the consent of the majority of our common stockholders to do so and the board decides such offering is in the best interests of our common stockholders.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Whenever we do not have current shareholder approval to issue shares of our common stock at a price per share below our then current NAV per share, the offering price per share (exclusive of any distributing commission or discount) will equal or exceed NAV per share, based on the value of our portfolio securities and other assets determined in good faith by our board of directors as of a time within 48 hours (excluding Sundays and holidays) of the sale. See “Sales of Common Stock below Net Asset Value” in the accompanying prospectus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June 30, 2014, our debt portfolio consisted of 39% fixed-rate investments and 61% variable-rate investments (including 53%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Change In Interest</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3820" w:type="dxa"/>
            <w:vAlign w:val="bottom"/>
          </w:tcPr>
          <w:p>
            <w:pPr>
              <w:spacing w:after="0"/>
              <w:rPr>
                <w:sz w:val="12"/>
                <w:szCs w:val="12"/>
                <w:color w:val="auto"/>
              </w:rPr>
            </w:pPr>
          </w:p>
        </w:tc>
        <w:tc>
          <w:tcPr>
            <w:tcW w:w="20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Income, Net Of Interest</w:t>
            </w:r>
          </w:p>
        </w:tc>
        <w:tc>
          <w:tcPr>
            <w:tcW w:w="12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5880" w:type="dxa"/>
            <w:vAlign w:val="bottom"/>
            <w:gridSpan w:val="4"/>
          </w:tcPr>
          <w:p>
            <w:pPr>
              <w:jc w:val="center"/>
              <w:ind w:left="3134"/>
              <w:spacing w:after="0"/>
              <w:rPr>
                <w:sz w:val="20"/>
                <w:szCs w:val="20"/>
                <w:color w:val="auto"/>
              </w:rPr>
            </w:pPr>
            <w:r>
              <w:rPr>
                <w:rFonts w:ascii="Arial" w:cs="Arial" w:eastAsia="Arial" w:hAnsi="Arial"/>
                <w:sz w:val="14"/>
                <w:szCs w:val="14"/>
                <w:b w:val="1"/>
                <w:bCs w:val="1"/>
                <w:color w:val="auto"/>
                <w:w w:val="92"/>
              </w:rPr>
              <w:t>Expense (In Thousands)</w:t>
            </w: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3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2,797</w:t>
            </w:r>
          </w:p>
        </w:tc>
        <w:tc>
          <w:tcPr>
            <w:tcW w:w="580" w:type="dxa"/>
            <w:vAlign w:val="bottom"/>
          </w:tcPr>
          <w:p>
            <w:pPr>
              <w:spacing w:after="0"/>
              <w:rPr>
                <w:sz w:val="18"/>
                <w:szCs w:val="18"/>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10,494</w:t>
            </w:r>
          </w:p>
        </w:tc>
        <w:tc>
          <w:tcPr>
            <w:tcW w:w="580" w:type="dxa"/>
            <w:vAlign w:val="bottom"/>
          </w:tcPr>
          <w:p>
            <w:pPr>
              <w:spacing w:after="0"/>
              <w:rPr>
                <w:sz w:val="20"/>
                <w:szCs w:val="20"/>
                <w:color w:val="auto"/>
              </w:rPr>
            </w:pP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supplement, we did not engage in interest rate hedging activities.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description of the particular terms of the % Notes due supplements and, to the extent inconsistent with, replaces the description of the general terms and provisions of the debt securities set forth in the accompanying prospectus.</w:t>
      </w:r>
    </w:p>
    <w:p>
      <w:pPr>
        <w:spacing w:after="0" w:line="17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will issue the Notes under a base indenture between us and American Stock Transfer &amp; Trust Company, LLC, as trustee, or the Trustee, as supplemented by a separate supplemental indenture, each to be dated as of the settlement date for the Notes. 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 You may request a copy of the indenture from us by making a written request to PennantPark Investment Corporation,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NY 10022, or by calling us collect at (212) 905-1000 or by visiting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The information on our website is not incorporated by reference into this prospectus supplement or the accompanying prospectus.</w:t>
      </w:r>
    </w:p>
    <w:p>
      <w:pPr>
        <w:spacing w:after="0" w:line="193"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For purposes of this description, references to “we,” “our” and “us” refer only to PennantPark Investment and not to any of our current or future subsidiaries and references to “subsidiaries” refer only to our consolidated subsidiaries and exclude any investments held by PennantPark Investment in the ordinary course of business which are not, under GAAP, consolidated on the financial statements of PennantPark Investment and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will be our general unsecured, senior obligations;</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4560" w:type="dxa"/>
            <w:vAlign w:val="bottom"/>
            <w:gridSpan w:val="3"/>
          </w:tcPr>
          <w:p>
            <w:pPr>
              <w:ind w:left="140"/>
              <w:spacing w:after="0"/>
              <w:rPr>
                <w:sz w:val="20"/>
                <w:szCs w:val="20"/>
                <w:color w:val="auto"/>
              </w:rPr>
            </w:pPr>
            <w:r>
              <w:rPr>
                <w:rFonts w:ascii="Arial" w:cs="Arial" w:eastAsia="Arial" w:hAnsi="Arial"/>
                <w:sz w:val="18"/>
                <w:szCs w:val="18"/>
                <w:color w:val="auto"/>
                <w:w w:val="93"/>
              </w:rPr>
              <w:t>will initially be issued in an aggregate principal amount of $</w:t>
            </w:r>
          </w:p>
        </w:tc>
        <w:tc>
          <w:tcPr>
            <w:tcW w:w="2740" w:type="dxa"/>
            <w:vAlign w:val="bottom"/>
          </w:tcPr>
          <w:p>
            <w:pPr>
              <w:jc w:val="right"/>
              <w:ind w:right="209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will mature on</w:t>
            </w:r>
          </w:p>
        </w:tc>
        <w:tc>
          <w:tcPr>
            <w:tcW w:w="8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484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unless earlier redeemed or repurchased, as discussed below;</w:t>
            </w: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3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ind w:left="140"/>
              <w:spacing w:after="0"/>
              <w:rPr>
                <w:sz w:val="20"/>
                <w:szCs w:val="20"/>
                <w:color w:val="auto"/>
              </w:rPr>
            </w:pPr>
            <w:r>
              <w:rPr>
                <w:rFonts w:ascii="Arial" w:cs="Arial" w:eastAsia="Arial" w:hAnsi="Arial"/>
                <w:sz w:val="18"/>
                <w:szCs w:val="18"/>
                <w:color w:val="auto"/>
              </w:rPr>
              <w:t>will bear cash interest from</w:t>
            </w:r>
          </w:p>
        </w:tc>
        <w:tc>
          <w:tcPr>
            <w:tcW w:w="2100" w:type="dxa"/>
            <w:vAlign w:val="bottom"/>
          </w:tcPr>
          <w:p>
            <w:pPr>
              <w:ind w:left="420"/>
              <w:spacing w:after="0"/>
              <w:rPr>
                <w:sz w:val="20"/>
                <w:szCs w:val="20"/>
                <w:color w:val="auto"/>
              </w:rPr>
            </w:pPr>
            <w:r>
              <w:rPr>
                <w:rFonts w:ascii="Arial" w:cs="Arial" w:eastAsia="Arial" w:hAnsi="Arial"/>
                <w:sz w:val="18"/>
                <w:szCs w:val="18"/>
                <w:color w:val="auto"/>
              </w:rPr>
              <w:t>at an annual rate of</w:t>
            </w:r>
          </w:p>
        </w:tc>
        <w:tc>
          <w:tcPr>
            <w:tcW w:w="2740" w:type="dxa"/>
            <w:vAlign w:val="bottom"/>
          </w:tcPr>
          <w:p>
            <w:pPr>
              <w:jc w:val="right"/>
              <w:ind w:right="510"/>
              <w:spacing w:after="0"/>
              <w:rPr>
                <w:sz w:val="20"/>
                <w:szCs w:val="20"/>
                <w:color w:val="auto"/>
              </w:rPr>
            </w:pPr>
            <w:r>
              <w:rPr>
                <w:rFonts w:ascii="Arial" w:cs="Arial" w:eastAsia="Arial" w:hAnsi="Arial"/>
                <w:sz w:val="18"/>
                <w:szCs w:val="18"/>
                <w:color w:val="auto"/>
                <w:w w:val="94"/>
              </w:rPr>
              <w:t>% payable semi-annually on</w:t>
            </w:r>
          </w:p>
        </w:tc>
        <w:tc>
          <w:tcPr>
            <w:tcW w:w="800" w:type="dxa"/>
            <w:vAlign w:val="bottom"/>
          </w:tcPr>
          <w:p>
            <w:pPr>
              <w:ind w:left="160"/>
              <w:spacing w:after="0"/>
              <w:rPr>
                <w:sz w:val="20"/>
                <w:szCs w:val="20"/>
                <w:color w:val="auto"/>
              </w:rPr>
            </w:pPr>
            <w:r>
              <w:rPr>
                <w:rFonts w:ascii="Arial" w:cs="Arial" w:eastAsia="Arial" w:hAnsi="Arial"/>
                <w:sz w:val="18"/>
                <w:szCs w:val="18"/>
                <w:color w:val="auto"/>
              </w:rPr>
              <w:t>and</w:t>
            </w:r>
          </w:p>
        </w:tc>
        <w:tc>
          <w:tcPr>
            <w:tcW w:w="2300" w:type="dxa"/>
            <w:vAlign w:val="bottom"/>
          </w:tcPr>
          <w:p>
            <w:pPr>
              <w:ind w:left="400"/>
              <w:spacing w:after="0"/>
              <w:rPr>
                <w:sz w:val="20"/>
                <w:szCs w:val="20"/>
                <w:color w:val="auto"/>
              </w:rPr>
            </w:pPr>
            <w:r>
              <w:rPr>
                <w:rFonts w:ascii="Arial" w:cs="Arial" w:eastAsia="Arial" w:hAnsi="Arial"/>
                <w:sz w:val="18"/>
                <w:szCs w:val="18"/>
                <w:color w:val="auto"/>
                <w:w w:val="88"/>
              </w:rPr>
              <w:t>of each year, beginning on</w:t>
            </w:r>
          </w:p>
        </w:tc>
      </w:tr>
    </w:tbl>
    <w:p>
      <w:pPr>
        <w:ind w:left="1700" w:hanging="81"/>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2015;</w:t>
      </w:r>
    </w:p>
    <w:p>
      <w:pPr>
        <w:spacing w:after="0" w:line="11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be subject to repurchase by us at the option of the holders following a Change of Control Repurchase Event (as defined below under “— Offer to Repurchase Upon a Change of Control Repurchase Event”), at a repurchase price equal to 100% of the principal amount of the Notes to be repurchased, plus accrued and unpaid interest to, but excluding, the date of repurchase;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thereof;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indenture does not limit the amount of debt that may be issued by PennantPark Investment or its subsidiaries under the indenture or otherwise. The indenture does not contain any financial covenants and does not restrict us from paying dividends or distributions or issuing or repurchasing our other securities. Other than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We may, without the consent of the holders, issue additional Notes under the indenture with the same terms as the Notes offered hereby in an unlimited aggregate principal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additional Notes are not fungible with the Notes offered hereby (or any other tranche of additional Notes) for U.S. federal income tax purposes, then such additional Notes will have different CUSIP numbers from the Notes offered hereby (and any such other tranche of additional Notes).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will pay the principal of, and interest on, Notes in global form registered in the name of or held by The Depositry Trust Company, or DTC, or its nominee in immediately available funds to DTC or its nominee, as the case may be, as the registered holder of such Global Note (as defined below).</w:t>
      </w:r>
    </w:p>
    <w:p>
      <w:pPr>
        <w:spacing w:after="0" w:line="124"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 xml:space="preserve">Payment of principal of (and premium, if any) and any such interest on the Notes will be made at the corporate trust office of the trustee in such coin or currency of the United States of America as at the time of payment is legal tender for payment of public and private debts;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our option payment of interest may be made by check mailed to the address of the person entitled thereto as such address shall appear in the security register.</w:t>
      </w:r>
    </w:p>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holder of Notes may transfer or exchange Notes at the office of the security registrar in accordance with the indenture. The security registrar and the trustee may require a holder, among other things, to furnish appropriate endorsements and transfer documents. No service charge will be imposed by us, the trustee or the security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w:t>
      </w:r>
    </w:p>
    <w:p>
      <w:pPr>
        <w:sectPr>
          <w:pgSz w:w="11900" w:h="16838" w:orient="portrait"/>
          <w:cols w:equalWidth="0" w:num="1">
            <w:col w:w="11380"/>
          </w:cols>
          <w:pgMar w:left="240" w:top="459" w:right="279" w:bottom="1440" w:gutter="0" w:footer="0" w:header="0"/>
        </w:sectPr>
      </w:pP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Notes will bear cash interest at a rate of % per year until maturity. Interest on the Notes will accrue from date on which interest has been paid or duly provided for. Interest will be payable semiannually in arrears on and on , 2015.</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80" w:hanging="195"/>
        <w:spacing w:after="0" w:line="342" w:lineRule="auto"/>
        <w:rPr>
          <w:sz w:val="20"/>
          <w:szCs w:val="20"/>
          <w:color w:val="auto"/>
        </w:rPr>
      </w:pPr>
      <w:r>
        <w:rPr>
          <w:rFonts w:ascii="Arial" w:cs="Arial" w:eastAsia="Arial" w:hAnsi="Arial"/>
          <w:sz w:val="16"/>
          <w:szCs w:val="16"/>
          <w:color w:val="auto"/>
        </w:rPr>
        <w:t>or from the most recent of each year, beginning</w:t>
      </w:r>
    </w:p>
    <w:p>
      <w:pPr>
        <w:spacing w:after="0" w:line="339" w:lineRule="exact"/>
        <w:rPr>
          <w:sz w:val="20"/>
          <w:szCs w:val="20"/>
          <w:color w:val="auto"/>
        </w:rPr>
      </w:pPr>
    </w:p>
    <w:p>
      <w:pPr>
        <w:sectPr>
          <w:pgSz w:w="11900" w:h="16838" w:orient="portrait"/>
          <w:cols w:equalWidth="0" w:num="2">
            <w:col w:w="8900" w:space="720"/>
            <w:col w:w="1760"/>
          </w:cols>
          <w:pgMar w:left="240" w:top="459" w:right="279" w:bottom="1440" w:gutter="0" w:footer="0" w:header="0"/>
          <w:type w:val="continuous"/>
        </w:sectPr>
      </w:pPr>
    </w:p>
    <w:p>
      <w:pPr>
        <w:ind w:left="460"/>
        <w:spacing w:after="0"/>
        <w:tabs>
          <w:tab w:leader="none" w:pos="10620" w:val="left"/>
        </w:tabs>
        <w:rPr>
          <w:sz w:val="20"/>
          <w:szCs w:val="20"/>
          <w:color w:val="auto"/>
        </w:rPr>
      </w:pPr>
      <w:r>
        <w:rPr>
          <w:rFonts w:ascii="Arial" w:cs="Arial" w:eastAsia="Arial" w:hAnsi="Arial"/>
          <w:sz w:val="17"/>
          <w:szCs w:val="17"/>
          <w:color w:val="auto"/>
        </w:rPr>
        <w:t>Interest will be paid to the person in whose name a Note is registered at 5:00 p.m. New York City time, or the close of business, on</w:t>
      </w:r>
      <w:r>
        <w:rPr>
          <w:sz w:val="20"/>
          <w:szCs w:val="20"/>
          <w:color w:val="auto"/>
        </w:rPr>
        <w:tab/>
      </w:r>
      <w:r>
        <w:rPr>
          <w:rFonts w:ascii="Arial" w:cs="Arial" w:eastAsia="Arial" w:hAnsi="Arial"/>
          <w:sz w:val="17"/>
          <w:szCs w:val="17"/>
          <w:color w:val="auto"/>
        </w:rPr>
        <w:t>or</w:t>
      </w:r>
    </w:p>
    <w:p>
      <w:pPr>
        <w:sectPr>
          <w:pgSz w:w="11900" w:h="16838" w:orient="portrait"/>
          <w:cols w:equalWidth="0" w:num="1">
            <w:col w:w="11380"/>
          </w:cols>
          <w:pgMar w:left="240" w:top="459" w:right="279" w:bottom="1440" w:gutter="0" w:footer="0" w:header="0"/>
          <w:type w:val="continuous"/>
        </w:sectPr>
      </w:pPr>
    </w:p>
    <w:p>
      <w:pPr>
        <w:spacing w:after="0" w:line="35" w:lineRule="exact"/>
        <w:rPr>
          <w:sz w:val="20"/>
          <w:szCs w:val="20"/>
          <w:color w:val="auto"/>
        </w:rPr>
      </w:pPr>
    </w:p>
    <w:p>
      <w:pPr>
        <w:ind w:right="700" w:firstLine="728"/>
        <w:spacing w:after="0" w:line="261" w:lineRule="auto"/>
        <w:tabs>
          <w:tab w:leader="none" w:pos="8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the case may be, immediately preceding the relevant interest payment date, or each, a regular record date. Interest on the Notes will be computed on the basis of a 360-day year composed of twelve 30-day months.</w:t>
      </w:r>
    </w:p>
    <w:p>
      <w:pPr>
        <w:spacing w:after="0" w:line="18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interest payment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are authorized or obligated by law or executive order to close.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380"/>
          </w:cols>
          <w:pgMar w:left="240" w:top="459" w:right="27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Notes will be our general unsecured obligations that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existing and future senior unsecured indebtedness, including our 2025 Notes. The Notes will rank senior to any of our future indebtedness that expressly states it is subordinated to the Notes and effectively subordinated to all of our existing and future secured indebtedness (including indebtedness that is initially unsecured, but to which we subsequently grant security), to the extent of the value of the assets securing such indebtedness, including approximately $452.2 million of borrowings outstanding as of August 31, 2014 under our Credit Facility to the extent of the value of the assets securing the Credit Facility. The Notes will rank structurally subordinated to all existing and future indebtedness and other obligations of any of our subsidiaries, financing vehicles or similar facilities, including SBIC LP’s SBA debentures of $150.0 million outstanding as of June 30, 2014 and any future indebtedness SBIC II may incur under its $75.0 million commitment from the SBA. 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900" w:right="140" w:hanging="325"/>
        <w:spacing w:after="0" w:line="29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w:t>
      </w:r>
    </w:p>
    <w:p>
      <w:pPr>
        <w:ind w:left="900"/>
        <w:spacing w:after="0"/>
        <w:tabs>
          <w:tab w:leader="none" w:pos="5700" w:val="left"/>
        </w:tabs>
        <w:rPr>
          <w:sz w:val="20"/>
          <w:szCs w:val="20"/>
          <w:color w:val="auto"/>
        </w:rPr>
      </w:pPr>
      <w:r>
        <w:rPr>
          <w:rFonts w:ascii="Arial" w:cs="Arial" w:eastAsia="Arial" w:hAnsi="Arial"/>
          <w:sz w:val="18"/>
          <w:szCs w:val="18"/>
          <w:color w:val="auto"/>
        </w:rPr>
        <w:t>twelve 30-day months) using the applicable Treasury Rate plus</w:t>
      </w:r>
      <w:r>
        <w:rPr>
          <w:sz w:val="20"/>
          <w:szCs w:val="20"/>
          <w:color w:val="auto"/>
        </w:rPr>
        <w:tab/>
      </w:r>
      <w:r>
        <w:rPr>
          <w:rFonts w:ascii="Arial" w:cs="Arial" w:eastAsia="Arial" w:hAnsi="Arial"/>
          <w:sz w:val="15"/>
          <w:szCs w:val="15"/>
          <w:color w:val="auto"/>
        </w:rPr>
        <w:t>basis points.</w:t>
      </w:r>
    </w:p>
    <w:p>
      <w:pPr>
        <w:spacing w:after="0" w:line="21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If we choose to redeem any Notes, we will deliver a notice of redemption to holders of the Notes not less than 30 nor more than 60 days before the redemption date. If we are redeeming less than all of the Notes, the particular Notes to be redeemed will be selected in accordance with the applicable procedures of the trustee and, so long as the Notes are registered to DTC or its nominee, DTC;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partial redemption shall reduce the portion of the principal amount of a Note not redeemed to less than $2,000. Unless we default in payment of the redemption price, on and after the redemption date, interest will cease to accrue on the Notes or portions of the Notes called for redemption.</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“Reference Treasury Dealer” means each of (1) J.P. Morgan Securities LLC, (2) Goldman, Sachs &amp; Co., and (3) Morgan Stanley &amp; Co. LLC, or their respective affiliates which are primary U.S.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or their affiliates shall cease to be a primary U.S. government securities dealer in the United States, or a Primary Treasury Dealer, we shall select another Primary Treasury Dealer.</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of that holder’s Notes at a repurchase price in cash equal to 100% of the aggregate principal amount of Notes repurchased plus any accrued and unpaid interest on the Notes repurchased to, but not including, the date of repurchase. Within 30 days following any Change of Control Repurchase Event or, at our option, prior to any Change of Control, but after the public announcement of the Change of Control, we will mail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We will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and the rules and regulations promulgated thereunder, we will, to the extent lawful:</w:t>
      </w:r>
    </w:p>
    <w:p>
      <w:pPr>
        <w:spacing w:after="0" w:line="7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aggregate purchase price in respect of all Notes or portions of Notes properly tendered; and</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certain of our and our subsidiaries’ financing facilities provide that certain change of control events will constitute an event of default thereunder entitling the lenders to accelerate any indebtedness outstanding under our financing facilities at that time and to terminate the financing facilities. See “Management’s Discussion and Analysis of Financial Condition and Results of Operations—Liquidity and Capital Resources” in this prospectus supplement and the accompanying prospectus for a general discussion of our and our subsidiaries’ indebtedness. Our and our subsidiaries’ future financing facilities may contain similar restrictions and provisions. If the holders of the Notes exercise their right to require us to repurchase Notes upon a Change of Control Repurchase Event, the financial effect of this repurchase could cause a default under our and our subsidiaries’ future financing facilities, even if the Change of Control Repurchase Event itself would not cause a default. It is possible that we will not have sufficient funds at the time of the Change of Control Repurchase Event to make the required repurchase of the Notes and/or our and our subsidiaries’ other debt. See “Risk Factors—We may not be able to repurchase the Notes upon a Change of Control Repurchase Event” in this prospectus supplement.</w:t>
      </w:r>
    </w:p>
    <w:p>
      <w:pPr>
        <w:spacing w:after="0" w:line="16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lease, transfer, conveyance or other disposition of “all or substantially all” of our assets and those of our Controlled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lease, transfer, conveyance or other disposition of less than all of our assets and the assets of our Controlled Subsidiaries taken as a whole to another person or group may be uncertain.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“Below Investment Grade Rating Event”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jc w:val="both"/>
        <w:ind w:left="900" w:right="340" w:hanging="325"/>
        <w:spacing w:after="0" w:line="31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direct or indirect sale, lease, transfer, conveyance or other disposition (other than by way of merger or consolidation) in one or a series of related transactions, of all or substantially all of the assets of PennantPark Investment and its Controlled Subsidiaries taken as a whole to any “person” or “group” (as those terms are used in Section 13(d)(3) of the Exchange Act), other than to any Permitted Holders;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7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the avoidance of doubt, a pledge of assets pursuant to any secured debt instrument of PennantPark Investment or its Controlled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shall not be deemed to be any such sale, lease, transfer, conveyance or disposition;</w:t>
      </w:r>
    </w:p>
    <w:p>
      <w:pPr>
        <w:spacing w:after="0" w:line="76" w:lineRule="exact"/>
        <w:rPr>
          <w:sz w:val="20"/>
          <w:szCs w:val="20"/>
          <w:color w:val="auto"/>
        </w:rPr>
      </w:pPr>
    </w:p>
    <w:p>
      <w:pPr>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PennantPark Investment, measured by voting power rather than number of shares; or</w:t>
      </w:r>
    </w:p>
    <w:p>
      <w:pPr>
        <w:spacing w:after="0" w:line="92"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by PennantPark Investment’s stockholders of any plan or proposal relating to the liquidation or dissolution of PennantPark Investment.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“Controlled Subsidiary” means any subsidiary of PennantPark Investment, 50% or more of the outstanding equity interests of which are owned by PennantPark Investment and its direct or indirect subsidiaries and of which PennantPark Investment possesses, directly or indirectly, the power to direct or cause the direction of the management or policies, whether through the ownership of voting equity interests, by agreement or otherwise.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“Fitch” means Fitch, Inc., also known as Fitch Ratings, or any successor thereto.</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“Investment Grade” means a rating of BBB- or better by Fitch (or its equivalent under any successor rating categories of Fitch) and BBB- or better by S&amp;P (or its equivalent under any successor rating categories of S&amp;P) (or, in each case, if such Rating Agency ceases to rate the Notes for reasons outside of our control, the equivalent investment grade credit rating from any Rating Agency selected by us as a replacement Rating Agency).</w:t>
      </w:r>
    </w:p>
    <w:p>
      <w:pPr>
        <w:spacing w:after="0" w:line="14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“Permitted Holders” means (i) us, (ii) one or more of our Controlled Subsidiaries and (iii) PennantPark Investment Advisers, any affiliate of PennantPark Investment Advisers or any entity that is managed by PennantPark Investment Advisers that is organized under the laws of a jurisdiction located in the United States of America and in the business of managing or advising clients.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Fitch and S&amp;P; and</w:t>
      </w:r>
    </w:p>
    <w:p>
      <w:pPr>
        <w:spacing w:after="0" w:line="130" w:lineRule="exact"/>
        <w:rPr>
          <w:rFonts w:ascii="Arial" w:cs="Arial" w:eastAsia="Arial" w:hAnsi="Arial"/>
          <w:sz w:val="18"/>
          <w:szCs w:val="18"/>
          <w:color w:val="auto"/>
        </w:rPr>
      </w:pPr>
    </w:p>
    <w:p>
      <w:pPr>
        <w:ind w:left="900" w:right="380" w:hanging="325"/>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either of Fitch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or S&amp;P, or both, as the case may be.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“S&amp;P” means Standard &amp; Poor’s Ratings Services, a division of McGraw-Hill, Inc., or any successor thereto.</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lien covenant included in the base indenture shall not apply to the Notes.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Consolidation or Sale of Assets</w:t>
      </w:r>
    </w:p>
    <w:p>
      <w:pPr>
        <w:spacing w:after="0" w:line="117" w:lineRule="exact"/>
        <w:rPr>
          <w:sz w:val="20"/>
          <w:szCs w:val="20"/>
          <w:color w:val="auto"/>
        </w:rPr>
      </w:pPr>
    </w:p>
    <w:p>
      <w:pPr>
        <w:ind w:right="88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25"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may be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78" w:lineRule="exact"/>
        <w:rPr>
          <w:sz w:val="20"/>
          <w:szCs w:val="20"/>
          <w:color w:val="auto"/>
        </w:rPr>
      </w:pPr>
    </w:p>
    <w:p>
      <w:pPr>
        <w:jc w:val="both"/>
        <w:ind w:right="680" w:firstLine="456"/>
        <w:spacing w:after="0" w:line="312"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Covenants</w:t>
      </w:r>
    </w:p>
    <w:p>
      <w:pPr>
        <w:spacing w:after="0" w:line="131"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agree that for the period of time during which the Notes are outstanding, we will not violate, whether or not we are subject to, Section 18(a)</w:t>
      </w:r>
    </w:p>
    <w:p>
      <w:pPr>
        <w:spacing w:after="0" w:line="46"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(1)(A) as modified by Section 61(a)(1) of the 1940 Act or any successor provisions.</w:t>
      </w:r>
    </w:p>
    <w:p>
      <w:pPr>
        <w:spacing w:after="0" w:line="116" w:lineRule="exact"/>
        <w:rPr>
          <w:rFonts w:ascii="Arial" w:cs="Arial" w:eastAsia="Arial" w:hAnsi="Arial"/>
          <w:sz w:val="16"/>
          <w:szCs w:val="16"/>
          <w:color w:val="auto"/>
        </w:rPr>
      </w:pPr>
    </w:p>
    <w:p>
      <w:pPr>
        <w:ind w:left="900" w:right="140" w:hanging="325"/>
        <w:spacing w:after="0" w:line="25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in the payment of interest upon any Note when due and payable and the default continues for a period of 30 days;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default in the payment of the principal (or premium, if any) of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900" w:right="260" w:hanging="325"/>
        <w:spacing w:after="0" w:line="308" w:lineRule="auto"/>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remain in breach of a covenant in respect of the Notes for 60 days after we receive a written notice of default stating we are in breach. The notice must be sent by either the trustee or holders of at least 25% of the principal amount of the outstanding Notes;</w:t>
      </w:r>
    </w:p>
    <w:p>
      <w:pPr>
        <w:spacing w:after="0" w:line="51" w:lineRule="exact"/>
        <w:rPr>
          <w:rFonts w:ascii="Arial" w:cs="Arial" w:eastAsia="Arial" w:hAnsi="Arial"/>
          <w:sz w:val="17"/>
          <w:szCs w:val="17"/>
          <w:color w:val="auto"/>
        </w:rPr>
      </w:pPr>
    </w:p>
    <w:p>
      <w:pPr>
        <w:ind w:left="900" w:hanging="325"/>
        <w:spacing w:after="0" w:line="289"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promulgated under the Exchange Act (but excluding any subsidiary which is (a) a non-recourse or limited recourse subsidiary, (b) a bankruptcy remote special purpose vehicle or (c) is not consolidated with PennantPark Investment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use by the trustee or to us and the trustee by the holders of at least 25% in aggregate principal amount of the Notes then outstanding; and</w:t>
      </w:r>
    </w:p>
    <w:p>
      <w:pPr>
        <w:spacing w:after="0" w:line="72"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certain events of bankruptcy, insolvency or reorganization involving us occur and remain undischarged or unstayed for a period of 60 days.</w:t>
      </w:r>
    </w:p>
    <w:p>
      <w:pPr>
        <w:spacing w:after="0" w:line="23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6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If an event of default has occurred and has not been cured or waived (other than an event of default specified in the last bullet point above), the trustee or the holders of not less than 25% in principal amount of the Notes may declare the entire principal amount of all the Notes of that series to be due and immediately payable. This is called a declaration of acceleration of maturity. A declaration of acceleration of maturity may be canceled by the holders of a majority in principal amount of the Notes if the default is cured or waived and certain other conditions are satisfied. Notwithstanding the foregoing, in the case of the events of bankruptcy, insolvency or reorganization described in the last bullet above, 100% of the principal of and accrued and unpaid interest on the Notes will automatically become due and payable.</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Before you are allowed to bypass the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holders of at least 25% in principal amount of the outstanding Notes must make a written request that the trustee take action because of the default and must offer reasonable indemnity to the trustee against the cost and other liabilities of taking that action;</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Notes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Notes, or else specifying any default.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may satisfy and discharge our obligations under the indenture by delivering to the security registrar for cancellation all outstanding Notes or by depositing with the trustee or delivering to the holders, as applicable, after the Notes have become due and payable, or otherwise, moneys sufficient to pay all of the outstanding Notes and paying all other sums payable under the indenture by us. Such discharge is subject to terms contained in the indenture.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Notes are subject to defeasance and covenant defeasance, in each case, in accordance with the terms of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Notes</w:t>
      </w:r>
    </w:p>
    <w:p>
      <w:pPr>
        <w:spacing w:after="0" w:line="117"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w:t>
      </w:r>
    </w:p>
    <w:p>
      <w:pPr>
        <w:spacing w:after="0" w:line="12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or the DTC participants, or persons who hold interests through DTC participants. We expect that under procedures established by DTC:</w:t>
      </w:r>
    </w:p>
    <w:p>
      <w:pPr>
        <w:spacing w:after="0" w:line="76" w:lineRule="exact"/>
        <w:rPr>
          <w:sz w:val="20"/>
          <w:szCs w:val="20"/>
          <w:color w:val="auto"/>
        </w:rPr>
      </w:pPr>
    </w:p>
    <w:p>
      <w:pPr>
        <w:ind w:left="900" w:right="12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Beneficial interests in Global Notes may not be exchanged for Notes in physical, certificated form except in the limited circumstances described below.</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Procedures for Global Notes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underwriters are responsible for those operations or procedures.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58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Certificated Notes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900" w:right="6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DTC ceases to be registered as a clearing agency under the Exchange Act and a successor depositary is not appointed within 90 days; or</w:t>
      </w:r>
    </w:p>
    <w:p>
      <w:pPr>
        <w:spacing w:after="0" w:line="142" w:lineRule="exact"/>
        <w:rPr>
          <w:rFonts w:ascii="Arial" w:cs="Arial" w:eastAsia="Arial" w:hAnsi="Arial"/>
          <w:sz w:val="17"/>
          <w:szCs w:val="17"/>
          <w:color w:val="auto"/>
        </w:rPr>
      </w:pPr>
    </w:p>
    <w:p>
      <w:pPr>
        <w:ind w:left="900" w:right="5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Information about our senior securities shown in the following table as of June 30, 2014 is from our Consolidated Financial Statements, which has been reviewed by McGladrey LLP, an independent registered public accounting firm for this period. Information about our senior securities shown in the following table as of September 30, 2013, 2012, 2011, 2010, 2009 and 2008 is from our Consolidated Financial Statements, which has been audited by KPMG LLP,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 this prospectus supplement and in the accompanying prospectus.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Amount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Coverage</w:t>
            </w: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320" w:type="dxa"/>
            <w:vAlign w:val="bottom"/>
            <w:vMerge w:val="restart"/>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532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Outstanding</w:t>
            </w:r>
            <w:r>
              <w:rPr>
                <w:rFonts w:ascii="Arial" w:cs="Arial" w:eastAsia="Arial" w:hAnsi="Arial"/>
                <w:sz w:val="12"/>
                <w:szCs w:val="12"/>
                <w:b w:val="1"/>
                <w:bCs w:val="1"/>
                <w:color w:val="auto"/>
                <w:w w:val="96"/>
              </w:rPr>
              <w:t>(1)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 SBA debentures and 2025 Notes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2014 (as of June 30, 2014)</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327,149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3,288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w:t>
            </w:r>
            <w:r>
              <w:rPr>
                <w:rFonts w:ascii="Arial" w:cs="Arial" w:eastAsia="Arial" w:hAnsi="Arial"/>
                <w:sz w:val="15"/>
                <w:szCs w:val="15"/>
                <w:color w:val="auto"/>
              </w:rPr>
              <w:t>(4)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216,750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145,000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5"/>
                <w:szCs w:val="15"/>
                <w:color w:val="auto"/>
              </w:rPr>
              <w:t>(4)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240,900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2010</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247,600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2009</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225,100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rPr>
              <w:t>Fiscal 2008</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202,000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2,043</w:t>
            </w: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w:t>
      </w:r>
    </w:p>
    <w:p>
      <w:pPr>
        <w:ind w:left="460" w:right="4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in June 2011.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discussion is a general summary of certain United States, or U.S., federal income tax considerations (and, in the case of a non-U.S. holder (as defined below), certain U.S. federal estate tax consequences) applicable to the ownership and disposition of the Notes. This summary does not purport to be a complete description of the income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You should consult your own tax advisor with respect to tax considerations that pertain to your ownership and disposition of our Notes.</w:t>
      </w:r>
    </w:p>
    <w:p>
      <w:pPr>
        <w:spacing w:after="0" w:line="19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7"/>
          <w:szCs w:val="17"/>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United States federal income tax purposes, (i) 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80"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i w:val="1"/>
          <w:iCs w:val="1"/>
          <w:u w:val="single" w:color="auto"/>
          <w:color w:val="auto"/>
        </w:rPr>
        <w:t>Taxation of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or accruals of interest on a Note generally will be taxable to a U.S. holder as ordinary interest income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they are received (actually or constructively) or accrued, in accordance with the U.S. holder’s regular method of tax accounting.</w:t>
      </w:r>
    </w:p>
    <w:p>
      <w:pPr>
        <w:spacing w:after="0" w:line="1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at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9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u w:val="single" w:color="auto"/>
          <w:color w:val="auto"/>
        </w:rPr>
        <w:t>Taxation of Non-U.S.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 non-U.S. holder generally will not be subject to United States federal income or withholding taxes on 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Internal Revenue Service, or IRS, Form W-8BEN or W-8BEN-E (or other applicable form) signed under penalties of perjury that includes its name and address and certifies that it is not a United States person in compliance with applicable requirements, or satisfies documentary evidence requirements for establishing that it is a non-U.S. holder.</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holder that is not exempt from tax under these rules generally will be subject to withholding of United States federal income tax on payments of interest 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66"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w:t>
      </w:r>
    </w:p>
    <w:p>
      <w:pPr>
        <w:spacing w:after="0" w:line="14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Generally, a non-U.S. holder will not be subject to United States federal income or withholding taxes on any amount that constitutes capital gain upon the sale, exchange, redemption or retirement of a Note, provided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 Note that is held by an individual who, at the time of death, is not a citizen or resident of the United States (as specially defined for United States federal estate tax purposes) generally will not be subject to the United States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United States trade or business.</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u w:val="single" w:color="auto"/>
          <w:color w:val="auto"/>
        </w:rPr>
        <w:t>Medicare Tax on Net Investment Income</w:t>
      </w:r>
      <w:r>
        <w:rPr>
          <w:rFonts w:ascii="Arial" w:cs="Arial" w:eastAsia="Arial" w:hAnsi="Arial"/>
          <w:sz w:val="18"/>
          <w:szCs w:val="18"/>
          <w:color w:val="auto"/>
        </w:rPr>
        <w:t>. A 3.8% tax is imposed under Section 1411 of the Code on the “net investment income” of certain U.S.</w:t>
      </w:r>
      <w:r>
        <w:rPr>
          <w:rFonts w:ascii="Arial" w:cs="Arial" w:eastAsia="Arial" w:hAnsi="Arial"/>
          <w:sz w:val="18"/>
          <w:szCs w:val="18"/>
          <w:i w:val="1"/>
          <w:iCs w:val="1"/>
          <w:color w:val="auto"/>
        </w:rPr>
        <w:t xml:space="preserve"> </w:t>
      </w:r>
      <w:r>
        <w:rPr>
          <w:rFonts w:ascii="Arial" w:cs="Arial" w:eastAsia="Arial" w:hAnsi="Arial"/>
          <w:sz w:val="18"/>
          <w:szCs w:val="18"/>
          <w:color w:val="auto"/>
        </w:rPr>
        <w:t>citizens and residents and on the undistributed net investment income of certain estates and trusts. Among other items, net investment income generally includes payments of interest on, and net gains recognized from the sale, exchange, redemption, retirement or other taxable disposition of Notes, less certain deductions. Prospective investors in the Notes should consult their own tax advisors regarding the effect, if any, of this tax on their ownership and disposition of the Notes.</w:t>
      </w:r>
    </w:p>
    <w:p>
      <w:pPr>
        <w:spacing w:after="0" w:line="188"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i w:val="1"/>
          <w:iCs w:val="1"/>
          <w:u w:val="single" w:color="auto"/>
          <w:color w:val="auto"/>
        </w:rPr>
        <w:t>Information Reporting and Backup Withholding</w:t>
      </w:r>
      <w:r>
        <w:rPr>
          <w:rFonts w:ascii="Arial" w:cs="Arial" w:eastAsia="Arial" w:hAnsi="Arial"/>
          <w:sz w:val="17"/>
          <w:szCs w:val="17"/>
          <w:i w:val="1"/>
          <w:iCs w:val="1"/>
          <w:color w:val="auto"/>
        </w:rPr>
        <w:t xml:space="preserve">. </w:t>
      </w:r>
      <w:r>
        <w:rPr>
          <w:rFonts w:ascii="Arial" w:cs="Arial" w:eastAsia="Arial" w:hAnsi="Arial"/>
          <w:sz w:val="17"/>
          <w:szCs w:val="17"/>
          <w:color w:val="auto"/>
        </w:rPr>
        <w:t>A U.S. holder (other than an “exempt recipient,” including a corporation and certain other persons</w:t>
      </w:r>
      <w:r>
        <w:rPr>
          <w:rFonts w:ascii="Arial" w:cs="Arial" w:eastAsia="Arial" w:hAnsi="Arial"/>
          <w:sz w:val="17"/>
          <w:szCs w:val="17"/>
          <w:i w:val="1"/>
          <w:iCs w:val="1"/>
          <w:color w:val="auto"/>
        </w:rPr>
        <w:t xml:space="preserve"> </w:t>
      </w:r>
      <w:r>
        <w:rPr>
          <w:rFonts w:ascii="Arial" w:cs="Arial" w:eastAsia="Arial" w:hAnsi="Arial"/>
          <w:sz w:val="17"/>
          <w:szCs w:val="17"/>
          <w:color w:val="auto"/>
        </w:rPr>
        <w:t>who, when required, demonstrate their exempt status) may be subject to backup withholding at a rate of 28%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8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87" w:lineRule="exact"/>
        <w:rPr>
          <w:sz w:val="20"/>
          <w:szCs w:val="20"/>
          <w:color w:val="auto"/>
        </w:rPr>
      </w:pPr>
    </w:p>
    <w:p>
      <w:pPr>
        <w:jc w:val="both"/>
        <w:ind w:right="160" w:firstLine="456"/>
        <w:spacing w:after="0" w:line="255"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Foreign Account Tax Compliance Act, or FATCA, and U.S. Treasury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IRS administrative guidance thereunder, when applicable, generally impose a U.S. federal withholding tax of 30% on interest on a debt obligation paid after June 30, 2014, and the gross proceeds from the disposition of a debt obligation paid after December 31, 2016, which, in each case, would include the Notes, to certain non-U.S. entities (including, in some circumstances, where such an entity is acting as an intermediary) that fail to comply with certain certification and information reporting requirements. Prospective investors in the Notes should consult their own tax advisors regarding the effect, if any, of the FATCA rules for them based on their particular circumstances.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offer the Notes through the underwriters named in the table below. J.P. Morgan Securities LLC, Goldman, Sachs &amp; Co., Morgan Stanley &amp; Co. LLC and SunTrust Robinson Humphrey, Inc. are acting as joint bookrunners and representatives of the several underwriters. Subject to the terms and conditions described in an underwriting agreement among us and the underwriters, we have agreed to sell to the underwriters, and each underwriter has severally and not jointly agreed to purchase from us, the aggregate principal amount of Notes set forth opposite the underwriter’s name.</w:t>
      </w:r>
    </w:p>
    <w:p>
      <w:pPr>
        <w:spacing w:after="0" w:line="16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480" w:type="dxa"/>
            <w:vAlign w:val="bottom"/>
          </w:tcPr>
          <w:p>
            <w:pPr>
              <w:jc w:val="center"/>
              <w:ind w:left="2768"/>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480" w:type="dxa"/>
            <w:vAlign w:val="bottom"/>
          </w:tcPr>
          <w:p>
            <w:pPr>
              <w:jc w:val="center"/>
              <w:ind w:left="2768"/>
              <w:spacing w:after="0" w:line="149" w:lineRule="exact"/>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9"/>
        </w:trPr>
        <w:tc>
          <w:tcPr>
            <w:tcW w:w="40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 Names</w:t>
            </w:r>
          </w:p>
        </w:tc>
        <w:tc>
          <w:tcPr>
            <w:tcW w:w="3480" w:type="dxa"/>
            <w:vAlign w:val="bottom"/>
          </w:tcPr>
          <w:p>
            <w:pPr>
              <w:jc w:val="center"/>
              <w:ind w:left="2768"/>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3"/>
        </w:trPr>
        <w:tc>
          <w:tcPr>
            <w:tcW w:w="4080" w:type="dxa"/>
            <w:vAlign w:val="bottom"/>
            <w:vMerge w:val="continue"/>
          </w:tcPr>
          <w:p>
            <w:pPr>
              <w:spacing w:after="0"/>
              <w:rPr>
                <w:sz w:val="15"/>
                <w:szCs w:val="15"/>
                <w:color w:val="auto"/>
              </w:rPr>
            </w:pPr>
          </w:p>
        </w:tc>
        <w:tc>
          <w:tcPr>
            <w:tcW w:w="3480" w:type="dxa"/>
            <w:vAlign w:val="bottom"/>
          </w:tcPr>
          <w:p>
            <w:pPr>
              <w:jc w:val="center"/>
              <w:ind w:left="2748"/>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J.P. Morgan Securities LLC</w:t>
      </w:r>
    </w:p>
    <w:p>
      <w:pPr>
        <w:spacing w:after="0" w:line="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SunTrust Robinson Humphrey,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5715</wp:posOffset>
            </wp:positionV>
            <wp:extent cx="6515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22520" cy="163195"/>
                    </a:xfrm>
                    <a:prstGeom prst="rect">
                      <a:avLst/>
                    </a:prstGeom>
                    <a:noFill/>
                  </pic:spPr>
                </pic:pic>
              </a:graphicData>
            </a:graphic>
          </wp:anchor>
        </w:drawing>
      </w:r>
    </w:p>
    <w:p>
      <w:pPr>
        <w:spacing w:after="0" w:line="25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Notes included in this offering, if they purchase any of the Notes. The underwriters reserve the right to withdraw, cancel or modify offers to the public and to reject orders in whole or in part.</w:t>
      </w:r>
    </w:p>
    <w:p>
      <w:pPr>
        <w:spacing w:after="0" w:line="154"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Commissions and Discounts</w:t>
            </w: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310"/>
        </w:trPr>
        <w:tc>
          <w:tcPr>
            <w:tcW w:w="11000" w:type="dxa"/>
            <w:vAlign w:val="bottom"/>
            <w:gridSpan w:val="9"/>
          </w:tcPr>
          <w:p>
            <w:pPr>
              <w:ind w:left="460"/>
              <w:spacing w:after="0"/>
              <w:rPr>
                <w:sz w:val="20"/>
                <w:szCs w:val="20"/>
                <w:color w:val="auto"/>
              </w:rPr>
            </w:pPr>
            <w:r>
              <w:rPr>
                <w:rFonts w:ascii="Arial" w:cs="Arial" w:eastAsia="Arial" w:hAnsi="Arial"/>
                <w:sz w:val="18"/>
                <w:szCs w:val="18"/>
                <w:color w:val="auto"/>
                <w:w w:val="92"/>
              </w:rPr>
              <w:t>The underwriters have advised us that they propose initially to offer the Notes to the public at the public offering price on the cover page of this</w:t>
            </w:r>
          </w:p>
        </w:tc>
        <w:tc>
          <w:tcPr>
            <w:tcW w:w="300" w:type="dxa"/>
            <w:vAlign w:val="bottom"/>
          </w:tcPr>
          <w:p>
            <w:pPr>
              <w:spacing w:after="0"/>
              <w:rPr>
                <w:sz w:val="24"/>
                <w:szCs w:val="24"/>
                <w:color w:val="auto"/>
              </w:rPr>
            </w:pPr>
          </w:p>
        </w:tc>
      </w:tr>
      <w:tr>
        <w:trPr>
          <w:trHeight w:val="216"/>
        </w:trPr>
        <w:tc>
          <w:tcPr>
            <w:tcW w:w="11000" w:type="dxa"/>
            <w:vAlign w:val="bottom"/>
            <w:gridSpan w:val="9"/>
          </w:tcPr>
          <w:p>
            <w:pPr>
              <w:spacing w:after="0"/>
              <w:rPr>
                <w:sz w:val="20"/>
                <w:szCs w:val="20"/>
                <w:color w:val="auto"/>
              </w:rPr>
            </w:pPr>
            <w:r>
              <w:rPr>
                <w:rFonts w:ascii="Arial" w:cs="Arial" w:eastAsia="Arial" w:hAnsi="Arial"/>
                <w:sz w:val="18"/>
                <w:szCs w:val="18"/>
                <w:color w:val="auto"/>
                <w:w w:val="92"/>
              </w:rPr>
              <w:t>prospectus supplement and to certain other Financial Industry Regulatory Authority (FINRA) members at that price less a concession not in excess of</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180" w:type="dxa"/>
            <w:vAlign w:val="bottom"/>
            <w:gridSpan w:val="6"/>
          </w:tcPr>
          <w:p>
            <w:pPr>
              <w:spacing w:after="0"/>
              <w:rPr>
                <w:sz w:val="20"/>
                <w:szCs w:val="20"/>
                <w:color w:val="auto"/>
              </w:rPr>
            </w:pPr>
            <w:r>
              <w:rPr>
                <w:rFonts w:ascii="Arial" w:cs="Arial" w:eastAsia="Arial" w:hAnsi="Arial"/>
                <w:sz w:val="18"/>
                <w:szCs w:val="18"/>
                <w:color w:val="auto"/>
                <w:w w:val="93"/>
              </w:rPr>
              <w:t>of the aggregate principal amount of the Notes. The underwriters may allow, and the dealers may again allow, a discount not in excess of</w:t>
            </w:r>
          </w:p>
        </w:tc>
        <w:tc>
          <w:tcPr>
            <w:tcW w:w="820" w:type="dxa"/>
            <w:vAlign w:val="bottom"/>
            <w:gridSpan w:val="3"/>
          </w:tcPr>
          <w:p>
            <w:pPr>
              <w:ind w:left="40"/>
              <w:spacing w:after="0"/>
              <w:rPr>
                <w:sz w:val="20"/>
                <w:szCs w:val="20"/>
                <w:color w:val="auto"/>
              </w:rPr>
            </w:pPr>
            <w:r>
              <w:rPr>
                <w:rFonts w:ascii="Arial" w:cs="Arial" w:eastAsia="Arial" w:hAnsi="Arial"/>
                <w:sz w:val="18"/>
                <w:szCs w:val="18"/>
                <w:color w:val="auto"/>
              </w:rPr>
              <w:t>% of the</w:t>
            </w:r>
          </w:p>
        </w:tc>
        <w:tc>
          <w:tcPr>
            <w:tcW w:w="300" w:type="dxa"/>
            <w:vAlign w:val="bottom"/>
          </w:tcPr>
          <w:p>
            <w:pPr>
              <w:spacing w:after="0"/>
              <w:rPr>
                <w:sz w:val="18"/>
                <w:szCs w:val="18"/>
                <w:color w:val="auto"/>
              </w:rPr>
            </w:pPr>
          </w:p>
        </w:tc>
      </w:tr>
      <w:tr>
        <w:trPr>
          <w:trHeight w:val="230"/>
        </w:trPr>
        <w:tc>
          <w:tcPr>
            <w:tcW w:w="11000" w:type="dxa"/>
            <w:vAlign w:val="bottom"/>
            <w:gridSpan w:val="9"/>
          </w:tcPr>
          <w:p>
            <w:pPr>
              <w:spacing w:after="0"/>
              <w:rPr>
                <w:sz w:val="20"/>
                <w:szCs w:val="20"/>
                <w:color w:val="auto"/>
              </w:rPr>
            </w:pPr>
            <w:r>
              <w:rPr>
                <w:rFonts w:ascii="Arial" w:cs="Arial" w:eastAsia="Arial" w:hAnsi="Arial"/>
                <w:sz w:val="18"/>
                <w:szCs w:val="18"/>
                <w:color w:val="auto"/>
                <w:w w:val="92"/>
              </w:rPr>
              <w:t>aggregate principal amount of the Notes to other dealers. After the public offering, the public offering price, concession and discount may be changed.</w:t>
            </w:r>
          </w:p>
        </w:tc>
        <w:tc>
          <w:tcPr>
            <w:tcW w:w="300" w:type="dxa"/>
            <w:vAlign w:val="bottom"/>
          </w:tcPr>
          <w:p>
            <w:pPr>
              <w:spacing w:after="0"/>
              <w:rPr>
                <w:sz w:val="20"/>
                <w:szCs w:val="20"/>
                <w:color w:val="auto"/>
              </w:rPr>
            </w:pPr>
          </w:p>
        </w:tc>
      </w:tr>
      <w:tr>
        <w:trPr>
          <w:trHeight w:val="432"/>
        </w:trPr>
        <w:tc>
          <w:tcPr>
            <w:tcW w:w="9440" w:type="dxa"/>
            <w:vAlign w:val="bottom"/>
            <w:gridSpan w:val="4"/>
          </w:tcPr>
          <w:p>
            <w:pPr>
              <w:ind w:left="460"/>
              <w:spacing w:after="0"/>
              <w:rPr>
                <w:sz w:val="20"/>
                <w:szCs w:val="20"/>
                <w:color w:val="auto"/>
              </w:rPr>
            </w:pPr>
            <w:r>
              <w:rPr>
                <w:rFonts w:ascii="Arial" w:cs="Arial" w:eastAsia="Arial" w:hAnsi="Arial"/>
                <w:sz w:val="18"/>
                <w:szCs w:val="18"/>
                <w:color w:val="auto"/>
                <w:w w:val="93"/>
              </w:rPr>
              <w:t>The following table shows the per Note and total underwriting discounts and commissions we will pay to the underwriters.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32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Per Note</w:t>
            </w:r>
          </w:p>
        </w:tc>
        <w:tc>
          <w:tcPr>
            <w:tcW w:w="1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Underwriting discount</w:t>
            </w:r>
          </w:p>
        </w:tc>
        <w:tc>
          <w:tcPr>
            <w:tcW w:w="132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1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Investment (before offering expenses of $500,000 )</w:t>
            </w:r>
          </w:p>
        </w:tc>
        <w:tc>
          <w:tcPr>
            <w:tcW w:w="132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Subject to certain exceptions, we have agreed not to sell, offer to sell, contract or agree to sell, hypothecate, pledge, grant any option to purchase or otherwise dispose of or agree to dispose of, directly or indirectly, 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debt securities issued or guaranteed by us or any securities convertible into or exercisable or exchangeable for debt securities issued or guaranteed by us or file or cause to be declared effective a registration statement under the Securities Act with respect to any of the foregoing, without the consent of the representatives, until the settlement date of this offering. This consent may be given at any time without public notice.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been advised by certain of the underwriters that certain of the underwriters presently intend to make a market in the Notes after completion of the offering as permitted by applicable laws and regulations. Such underwriters are not obligated, however, to make a market in the Notes and any such market-making may be discontinued at any time in the sole discretion of such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21"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Until the distribution of the Notes is completed, SEC rules may limit the underwriters from bidding for and purchasing the Notes. However, the underwriters may engage in transactions that stabilize the price of the Notes, such as bids or purchases to peg, fix or maintain that price.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underwriters create a short position in the Notes in connection with the offering (i.e., if they sell more Notes than are listed on the cover of this prospectus supplement), the underwriters may reduce that short position by purchasing Notes in the open market. The underwriters may also elect to reduce any short position by exercising all or part of the overallotment option as described above. In making this determination, the underwriters will consider, among other things, the price of Notes available for purchase in the open market compared to the price at which the underwriters may purchase Notes through the overallotment option. Purchases of the Notes to stabilize their price or to reduce a short position may cause the price of the Notes to be higher than it might be in the absence of such purchases.</w:t>
      </w:r>
    </w:p>
    <w:p>
      <w:pPr>
        <w:spacing w:after="0" w:line="193"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Neither we nor any of the underwriters make any representation or prediction as to the magnitude of any effect that the transactions described above may have on the price of the Notes. In addition, neither we nor any of the underwriters make any representation that the underwriters will engage in these transactions or that these transactions, once commenced, will not be discontinued without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Settlement Cycle</w:t>
      </w:r>
    </w:p>
    <w:p>
      <w:pPr>
        <w:spacing w:after="0" w:line="121" w:lineRule="exact"/>
        <w:rPr>
          <w:sz w:val="20"/>
          <w:szCs w:val="20"/>
          <w:color w:val="auto"/>
        </w:rPr>
      </w:pPr>
    </w:p>
    <w:p>
      <w:pPr>
        <w:ind w:left="460"/>
        <w:spacing w:after="0"/>
        <w:tabs>
          <w:tab w:leader="none" w:pos="7460" w:val="left"/>
        </w:tabs>
        <w:rPr>
          <w:sz w:val="20"/>
          <w:szCs w:val="20"/>
          <w:color w:val="auto"/>
        </w:rPr>
      </w:pPr>
      <w:r>
        <w:rPr>
          <w:rFonts w:ascii="Arial" w:cs="Arial" w:eastAsia="Arial" w:hAnsi="Arial"/>
          <w:sz w:val="18"/>
          <w:szCs w:val="18"/>
          <w:color w:val="auto"/>
        </w:rPr>
        <w:t>We expect that delivery of the Notes will be made against payment therefor on or about</w:t>
      </w:r>
      <w:r>
        <w:rPr>
          <w:sz w:val="20"/>
          <w:szCs w:val="20"/>
          <w:color w:val="auto"/>
        </w:rPr>
        <w:tab/>
      </w:r>
      <w:r>
        <w:rPr>
          <w:rFonts w:ascii="Arial" w:cs="Arial" w:eastAsia="Arial" w:hAnsi="Arial"/>
          <w:sz w:val="16"/>
          <w:szCs w:val="16"/>
          <w:color w:val="auto"/>
        </w:rPr>
        <w:t>, 2014, which will be the fifth business day following</w:t>
      </w:r>
    </w:p>
    <w:p>
      <w:pPr>
        <w:spacing w:after="0" w:line="2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date of the pricing of the Notes (such settlement being herein referred to as “T+5”). Under Rule 15c6-1 promulgated under the Exchange Act, trades in the secondary market generally are required to settle in three business days, unless the parties to any such trade expressly agree otherwise. Accordingly, purchasers who wish to trade the Notes prior to the date of delivery hereunder will be required, by virtue of the fact that the Notes initially will settle in T+5 business days, to specify an alternative settlement arrangement at the time of any such trade to prevent a failed settlement.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Notes for sale to their online brokerage customers.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PennantPark Investment and may provide from time to time in the future in the ordinary course of their business certain commercial banking, financial advisory, investment banking and other services to PennantPark Investment for which they will be entitled to receive customary fees and expenses. In particular, the underwriters or their affiliates may execute transactions with or on behalf of PennantPark Investment. In addition, the underwriters or their affiliates may act as arrangers, underwriters or placement agents for companies whose securities are sold to PennantPark Investment.</w:t>
      </w:r>
    </w:p>
    <w:p>
      <w:pPr>
        <w:spacing w:after="0" w:line="17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the ordinary course of their various business activities, the underwriters or their affiliates may also trade in our securities, securities of our portfolio companies or other related financial instruments for their own accounts or for the account of others and may extend loans or financing directly or through derivative transactions to PennantPark Investment or any of the portfolio companies. The underwriters and their respective affiliates may also make investment recommendations and/or publish or express independent research views in respect of such securities or instruments and may at the time hold, or recommend to clients that they acquire, long and/or short positions in such securities and instruments.</w:t>
      </w:r>
    </w:p>
    <w:p>
      <w:pPr>
        <w:spacing w:after="0" w:line="173"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Notes. In addition, after the offering period for the sale of our Notes, the underwriters or their affiliates may develop analyses or opinions related to PennantPark Investment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Investment to our stockholders.</w:t>
      </w:r>
    </w:p>
    <w:p>
      <w:pPr>
        <w:spacing w:after="0" w:line="18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 their affiliates were underwriters in connection with our initial public offerings and follow-on public offering for which they received customary fees. Affiliates of the underwriters may receive part of the proceeds of the offering by reason of the repayment of certain amounts outstanding under our Credit Facility.</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principal business addresses of the underwriters are: J.P. Morgan Securities LLC, 383 Madison Avenue, New York, NY 10179; Goldman, Sachs &amp; Co., 200 West Street, New York, NY 10282; Morgan Stanley &amp; Co. LLC, 180 Varick Street, 2nd Floor, New York, NY 10014 and SunTrust Robinson Humphrey, Inc., 3333 Peachtree Road, NE, Atlanta, GA 30326.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Notes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 relating to the offering and the distribution of this prospectus supplement. This prospectus supplement and the accompanying prospectus do not constitute an offer to sell or a solicitation of an offer to buy the Notes offered by this prospectus supplement and the accompanying prospectus in any jurisdiction in which such an offer or a solicitation is unlawful.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S-53</w:t>
      </w:r>
    </w:p>
    <w:p>
      <w:pPr>
        <w:sectPr>
          <w:pgSz w:w="11900" w:h="16838" w:orient="portrait"/>
          <w:cols w:equalWidth="0" w:num="1">
            <w:col w:w="11320"/>
          </w:cols>
          <w:pgMar w:left="24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Investment Corporation by Dechert LLP, Washington, D.C., and Venable LLP, Baltimore, Maryland. Dechert LLP has from time to time represented the underwriters, PennantPark Investment Corporation and the Investment Adviser on unrelated matters. Certain legal matters in connection with the offering will be passed upon for the underwriters by Fried, Frank, Harris, Shriver &amp; Jacobson LLP, New York, NY.</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S-54</w:t>
      </w:r>
    </w:p>
    <w:p>
      <w:pPr>
        <w:sectPr>
          <w:pgSz w:w="11900" w:h="16838" w:orient="portrait"/>
          <w:cols w:equalWidth="0" w:num="1">
            <w:col w:w="11140"/>
          </w:cols>
          <w:pgMar w:left="240" w:top="459" w:right="5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924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8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5820" w:type="dxa"/>
            <w:vAlign w:val="bottom"/>
            <w:gridSpan w:val="7"/>
          </w:tcPr>
          <w:p>
            <w:pPr>
              <w:jc w:val="center"/>
              <w:ind w:right="1220"/>
              <w:spacing w:after="0"/>
              <w:rPr>
                <w:sz w:val="20"/>
                <w:szCs w:val="20"/>
                <w:color w:val="auto"/>
              </w:rPr>
            </w:pPr>
            <w:r>
              <w:rPr>
                <w:rFonts w:ascii="Arial" w:cs="Arial" w:eastAsia="Arial" w:hAnsi="Arial"/>
                <w:sz w:val="18"/>
                <w:szCs w:val="18"/>
                <w:b w:val="1"/>
                <w:bCs w:val="1"/>
                <w:color w:val="auto"/>
              </w:rPr>
              <w:t>INDEX TO FINANCIAL STATEMENTS</w:t>
            </w:r>
          </w:p>
        </w:tc>
        <w:tc>
          <w:tcPr>
            <w:tcW w:w="2080" w:type="dxa"/>
            <w:vAlign w:val="bottom"/>
          </w:tcPr>
          <w:p>
            <w:pPr>
              <w:spacing w:after="0"/>
              <w:rPr>
                <w:sz w:val="24"/>
                <w:szCs w:val="24"/>
                <w:color w:val="auto"/>
              </w:rPr>
            </w:pPr>
          </w:p>
        </w:tc>
      </w:tr>
      <w:tr>
        <w:trPr>
          <w:trHeight w:val="234"/>
        </w:trPr>
        <w:tc>
          <w:tcPr>
            <w:tcW w:w="9240" w:type="dxa"/>
            <w:vAlign w:val="bottom"/>
            <w:gridSpan w:val="9"/>
          </w:tcPr>
          <w:p>
            <w:pPr>
              <w:spacing w:after="0"/>
              <w:rPr>
                <w:sz w:val="20"/>
                <w:szCs w:val="20"/>
                <w:color w:val="auto"/>
              </w:rPr>
            </w:pPr>
            <w:r>
              <w:rPr>
                <w:rFonts w:ascii="Arial" w:cs="Arial" w:eastAsia="Arial" w:hAnsi="Arial"/>
                <w:sz w:val="18"/>
                <w:szCs w:val="18"/>
                <w:b w:val="1"/>
                <w:bCs w:val="1"/>
                <w:color w:val="auto"/>
              </w:rPr>
              <w:t>Interim Financial Statements</w:t>
            </w:r>
          </w:p>
        </w:tc>
        <w:tc>
          <w:tcPr>
            <w:tcW w:w="2080" w:type="dxa"/>
            <w:vAlign w:val="bottom"/>
          </w:tcPr>
          <w:p>
            <w:pPr>
              <w:spacing w:after="0"/>
              <w:rPr>
                <w:sz w:val="20"/>
                <w:szCs w:val="20"/>
                <w:color w:val="auto"/>
              </w:rPr>
            </w:pPr>
          </w:p>
        </w:tc>
      </w:tr>
      <w:tr>
        <w:trPr>
          <w:trHeight w:val="419"/>
        </w:trPr>
        <w:tc>
          <w:tcPr>
            <w:tcW w:w="924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Assets and Liabilities as of June 30, 2014 and September 30,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Operations for the three and nine months ended June 30, 2014 and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Changes in Net Assets for the nine months ended June 30, 2014 and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Cash Flows for the nine months ended June 30, 2014 and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Schedules of Investments as of June 30, 2014 and September 30, 2013</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Borders>
              <w:top w:val="single" w:sz="8" w:color="0000EE"/>
            </w:tcBorders>
          </w:tcPr>
          <w:p>
            <w:pPr>
              <w:spacing w:after="0"/>
              <w:rPr>
                <w:sz w:val="20"/>
                <w:szCs w:val="20"/>
                <w:color w:val="auto"/>
              </w:rPr>
            </w:pPr>
          </w:p>
        </w:tc>
        <w:tc>
          <w:tcPr>
            <w:tcW w:w="1860" w:type="dxa"/>
            <w:vAlign w:val="bottom"/>
            <w:tcBorders>
              <w:top w:val="single" w:sz="8" w:color="0000EE"/>
            </w:tcBorders>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84"/>
        </w:trPr>
        <w:tc>
          <w:tcPr>
            <w:tcW w:w="924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the Consolidated Financial Statements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S-</w:t>
            </w:r>
          </w:p>
        </w:tc>
      </w:tr>
      <w:tr>
        <w:trPr>
          <w:trHeight w:val="237"/>
        </w:trPr>
        <w:tc>
          <w:tcPr>
            <w:tcW w:w="1360" w:type="dxa"/>
            <w:vAlign w:val="bottom"/>
            <w:tcBorders>
              <w:top w:val="single" w:sz="8" w:color="0000EE"/>
            </w:tcBorders>
          </w:tcPr>
          <w:p>
            <w:pPr>
              <w:spacing w:after="0"/>
              <w:rPr>
                <w:sz w:val="20"/>
                <w:szCs w:val="20"/>
                <w:color w:val="auto"/>
              </w:rPr>
            </w:pPr>
          </w:p>
        </w:tc>
        <w:tc>
          <w:tcPr>
            <w:tcW w:w="2060" w:type="dxa"/>
            <w:vAlign w:val="bottom"/>
            <w:tcBorders>
              <w:top w:val="single" w:sz="8" w:color="0000EE"/>
            </w:tcBorders>
          </w:tcPr>
          <w:p>
            <w:pPr>
              <w:spacing w:after="0"/>
              <w:rPr>
                <w:sz w:val="20"/>
                <w:szCs w:val="20"/>
                <w:color w:val="auto"/>
              </w:rPr>
            </w:pPr>
          </w:p>
        </w:tc>
        <w:tc>
          <w:tcPr>
            <w:tcW w:w="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65"/>
        </w:trPr>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20" w:type="dxa"/>
            <w:vAlign w:val="bottom"/>
            <w:gridSpan w:val="6"/>
          </w:tcPr>
          <w:p>
            <w:pPr>
              <w:jc w:val="center"/>
              <w:ind w:right="2040"/>
              <w:spacing w:after="0"/>
              <w:rPr>
                <w:sz w:val="20"/>
                <w:szCs w:val="20"/>
                <w:color w:val="auto"/>
              </w:rPr>
            </w:pPr>
            <w:r>
              <w:rPr>
                <w:rFonts w:ascii="Arial" w:cs="Arial" w:eastAsia="Arial" w:hAnsi="Arial"/>
                <w:sz w:val="18"/>
                <w:szCs w:val="18"/>
                <w:color w:val="auto"/>
                <w:w w:val="89"/>
              </w:rPr>
              <w:t>S-55</w:t>
            </w:r>
          </w:p>
        </w:tc>
        <w:tc>
          <w:tcPr>
            <w:tcW w:w="2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reviewed the accompanying consolidated statements of assets and liabilities of PennantPark Investment Corporation and its Subsidiaries (the “Company”), including the consolidated schedule of investments, as of June 30, 2014, the consolidated statements of operations for the three and nine months ended June 30, 2014, and the consolidated statements of changes in net assets, and cash flows for the nine months ended June 30, 2014. These consolidated financial statements are the responsibility of the Company’s management.</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814705"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470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5, 2014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June 30, 2014</w:t>
            </w:r>
          </w:p>
        </w:tc>
        <w:tc>
          <w:tcPr>
            <w:tcW w:w="180" w:type="dxa"/>
            <w:vAlign w:val="bottom"/>
          </w:tcPr>
          <w:p>
            <w:pPr>
              <w:spacing w:after="0"/>
              <w:rPr>
                <w:sz w:val="14"/>
                <w:szCs w:val="14"/>
                <w:color w:val="auto"/>
              </w:rPr>
            </w:pPr>
          </w:p>
        </w:tc>
        <w:tc>
          <w:tcPr>
            <w:tcW w:w="14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September 30, 2013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(cost—$1,028,125,032 and $928,078,589, respectively)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1,089,476,729</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968,471,042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ind w:left="340"/>
              <w:spacing w:after="0" w:line="201" w:lineRule="exact"/>
              <w:rPr>
                <w:sz w:val="20"/>
                <w:szCs w:val="20"/>
                <w:color w:val="auto"/>
              </w:rPr>
            </w:pPr>
            <w:r>
              <w:rPr>
                <w:rFonts w:ascii="Arial" w:cs="Arial" w:eastAsia="Arial" w:hAnsi="Arial"/>
                <w:sz w:val="18"/>
                <w:szCs w:val="18"/>
                <w:color w:val="auto"/>
              </w:rPr>
              <w:t>Non-controlled, affiliated investments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(cost—$108,188,540 and $99,021,141, respectively)</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71,939,735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76,735,800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Controlled, affiliated investments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(cost—$38,107,245 and $64,418,155, respectively)</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36,991,091</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32,968,711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Total of investments</w:t>
            </w: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Arial" w:cs="Arial" w:eastAsia="Arial" w:hAnsi="Arial"/>
                <w:sz w:val="18"/>
                <w:szCs w:val="18"/>
                <w:color w:val="auto"/>
              </w:rPr>
              <w:t>(cost—$1,174,420,817 and $1,091,517,885, respectively)</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1,198,407,555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1,078,175,553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(cost—$64,349,609 and $58,440,829, respectively) (See Note 8)</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64,390,787</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14,000,558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10,894,893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and other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13,375,704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5,815,817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1,290,174,604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1,153,327,092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Distributions payable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18,639,330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18,619,812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52,544,704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Unfunded investments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20,396,263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7,241,667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Credit Facility payable (cost—$255,898,700 and $145,500,000, respectively)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Notes 5 and 10)</w:t>
            </w: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257,187,294</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SBA debentures payable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(cost—$150,000,000) (See Notes 5 and 10)</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150,000,000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10)</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72,532,500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6,131,963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5,419,557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5,370,391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4,274,881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3,033,648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1,810,466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2,410,422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2,009,806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535,701,811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11)</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66,569,036 and 66,499,327 shares issued and outstanding, respectively.</w:t>
            </w: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66,569</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756,809,951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756,017,096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(9,406,519)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Accumulated net realized loss on investments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(14,454,032)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(43,409,847)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24,027,916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(13,342,332)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unrealized (appreciation) depreciation on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(2,571,092)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754,472,793</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697,506,199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1,290,174,604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1,153,327,092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11.33</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 from:</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29,949,064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26,693,069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90,772,466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80,520,256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1,463,884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3,941,167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6,314,911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9,184,121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affiliated investments: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1,456,621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2,140,854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4,174,234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4,471,618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Controlled, affiliated investments: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2,447,354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949,583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158,333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459,166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35,475,256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33,724,673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107,792,764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97,739,835</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6,131,963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5,412,461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17,906,316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15,869,172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5,370,391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4,413,711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14,866,434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12,518,209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 (See Note 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5,034,567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4,212,450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14,707,313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11,292,224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930,809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1,157,748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2,771,359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3,485,607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2,470,350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ind w:left="3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18,396,984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15,717,340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52,721,772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45,166,131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expense (benefit)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Debt issuance costs (See Note 5)</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2,757,500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22,278,984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16,069,840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56,612,320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47,841,235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13,196,272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17,654,833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51,180,444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49,898,600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23,267,131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15,682,708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28,955,815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14,723,076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(8,997,766)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(23,484,170)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21,000,422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8,805,377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Controlled and non-controlled, affiliated investments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7,860,989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16,369,826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(3,580,500)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340"/>
              <w:spacing w:after="0" w:line="201" w:lineRule="exact"/>
              <w:rPr>
                <w:sz w:val="20"/>
                <w:szCs w:val="20"/>
                <w:color w:val="auto"/>
              </w:rPr>
            </w:pPr>
            <w:r>
              <w:rPr>
                <w:rFonts w:ascii="Arial" w:cs="Arial" w:eastAsia="Arial" w:hAnsi="Arial"/>
                <w:sz w:val="18"/>
                <w:szCs w:val="18"/>
                <w:color w:val="auto"/>
              </w:rPr>
              <w:t>Debt (appreciation) depreciation</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520"/>
              <w:spacing w:after="0"/>
              <w:rPr>
                <w:sz w:val="20"/>
                <w:szCs w:val="20"/>
                <w:color w:val="auto"/>
              </w:rPr>
            </w:pPr>
            <w:r>
              <w:rPr>
                <w:rFonts w:ascii="Arial" w:cs="Arial" w:eastAsia="Arial" w:hAnsi="Arial"/>
                <w:sz w:val="18"/>
                <w:szCs w:val="18"/>
                <w:color w:val="auto"/>
              </w:rPr>
              <w:t>(See Notes 5 and 10)</w:t>
            </w:r>
          </w:p>
        </w:tc>
        <w:tc>
          <w:tcPr>
            <w:tcW w:w="8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(3,377,315)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427,500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(5,421,092)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(547,500)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8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b w:val="1"/>
                <w:bCs w:val="1"/>
                <w:color w:val="auto"/>
                <w:w w:val="98"/>
              </w:rPr>
              <w:t>Net change in unrealized (depreciation) appreciation on investments and</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8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debt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(4,514,092)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(19,552,009)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31,949,156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4,677,377</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18,753,039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(3,869,301)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60,904,971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19,400,453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31,949,311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13,785,532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112,085,415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69,299,053</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w w:val="96"/>
              </w:rPr>
              <w:t>Net increase in net assets resulting from operations per common share (See Note 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50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CHANGES IN NET ASSETS (Unaudited)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18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51,180,444</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49,898,600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on investments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28,955,815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14,723,076</w:t>
            </w: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Net change in unrealized appreciation on investments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37,370,248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5,224,877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debt appreciation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(5,421,092)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(547,500)</w:t>
            </w:r>
          </w:p>
        </w:tc>
      </w:tr>
      <w:tr>
        <w:trPr>
          <w:trHeight w:val="230"/>
        </w:trPr>
        <w:tc>
          <w:tcPr>
            <w:tcW w:w="20" w:type="dxa"/>
            <w:vAlign w:val="bottom"/>
          </w:tcPr>
          <w:p>
            <w:pPr>
              <w:spacing w:after="0"/>
              <w:rPr>
                <w:sz w:val="20"/>
                <w:szCs w:val="20"/>
                <w:color w:val="auto"/>
              </w:rPr>
            </w:pPr>
          </w:p>
        </w:tc>
        <w:tc>
          <w:tcPr>
            <w:tcW w:w="69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112,085,415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69,299,053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4"/>
              </w:rPr>
              <w:t>(55,911,746)</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(55,778,317)</w:t>
            </w:r>
          </w:p>
        </w:tc>
      </w:tr>
      <w:tr>
        <w:trPr>
          <w:trHeight w:val="223"/>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Capital transactions:</w:t>
            </w:r>
          </w:p>
        </w:tc>
        <w:tc>
          <w:tcPr>
            <w:tcW w:w="18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Public offering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(265,090)</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Reinvestment of distributions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18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792,925</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9,864,874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56,966,594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23,385,610</w:t>
            </w: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18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697,506,199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669,717,047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End of period</w:t>
            </w:r>
          </w:p>
        </w:tc>
        <w:tc>
          <w:tcPr>
            <w:tcW w:w="18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754,472,793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693,102,657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in excess of net investment income, at end of period</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(9,406,519)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(3,075,320)</w:t>
            </w:r>
          </w:p>
        </w:tc>
      </w:tr>
      <w:tr>
        <w:trPr>
          <w:trHeight w:val="331"/>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Capital share activity:</w:t>
            </w:r>
          </w:p>
        </w:tc>
        <w:tc>
          <w:tcPr>
            <w:tcW w:w="18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from public offering</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Shares issued from reinvestment of distributions</w:t>
            </w:r>
          </w:p>
        </w:tc>
        <w:tc>
          <w:tcPr>
            <w:tcW w:w="18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69,709</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235,614</w:t>
            </w:r>
          </w:p>
        </w:tc>
        <w:tc>
          <w:tcPr>
            <w:tcW w:w="12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CASH FLOWS (Unaudited)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112,085,415</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69,299,053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6"/>
              </w:rPr>
              <w:t>Adjustments to reconcile net increase in net assets resulting from operations to net cash (used) provided by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operating activities: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change in net unrealized appreciation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(37,370,248)</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(5,224,877)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unrealized appreciation on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5,421,092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Net realized gain on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97"/>
              </w:rPr>
              <w:t>(28,955,815)</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(14,723,076)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and amortization of premium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(6,629,854)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Purchases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(561,839,426)</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(317,161,225)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Payment-in-kind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(6,530,685)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Proceeds from dispositions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534,400,443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271,183,021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interest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(3,105,665)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deferred financing costs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(6,809,887)</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(247,289)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(Decrease) increase in payable for investments purchased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(52,544,704)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15,932,290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interest payable on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1,223,182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2,339,426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management fee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712,406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Increase in performance-based incentive fee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1,095,510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in accrued other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400,618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1060"/>
              <w:spacing w:after="0"/>
              <w:rPr>
                <w:sz w:val="20"/>
                <w:szCs w:val="20"/>
                <w:color w:val="auto"/>
              </w:rPr>
            </w:pPr>
            <w:r>
              <w:rPr>
                <w:rFonts w:ascii="Arial" w:cs="Arial" w:eastAsia="Arial" w:hAnsi="Arial"/>
                <w:sz w:val="18"/>
                <w:szCs w:val="18"/>
                <w:color w:val="auto"/>
              </w:rPr>
              <w:t>Net cash (used)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(48,447,618)</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11,144,521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Public offerings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Deferred financing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Distributions paid to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(55,099,303)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(50,440,381)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Proceeds from 2025 Notes issuance (See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Borrowings under Credit Facility (See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906,253,100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850,300,000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Repayments under Credit Facility (See Note 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w w:val="89"/>
              </w:rPr>
              <w:t>(795,854,400)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(880,800,000)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(used)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54,549,397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(2,381,471)</w:t>
            </w: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6,101,779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8,763,050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(151,821)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64,390,787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16,322,503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 and non-cash financing activity: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13,239,662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2,555,964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vMerge w:val="restart"/>
          </w:tcPr>
          <w:p>
            <w:pPr>
              <w:ind w:left="340"/>
              <w:spacing w:after="0"/>
              <w:rPr>
                <w:sz w:val="20"/>
                <w:szCs w:val="20"/>
                <w:color w:val="auto"/>
              </w:rPr>
            </w:pPr>
            <w:r>
              <w:rPr>
                <w:rFonts w:ascii="Arial" w:cs="Arial" w:eastAsia="Arial" w:hAnsi="Arial"/>
                <w:sz w:val="18"/>
                <w:szCs w:val="18"/>
                <w:color w:val="auto"/>
              </w:rPr>
              <w:t>Conversions and non-cash exchanges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59,126,053</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58,615,748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Basis Point</w:t>
            </w: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Par/</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Spread</w:t>
            </w:r>
          </w:p>
        </w:tc>
        <w:tc>
          <w:tcPr>
            <w:tcW w:w="104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8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Above</w:t>
            </w: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560" w:type="dxa"/>
            <w:vAlign w:val="bottom"/>
            <w:gridSpan w:val="3"/>
            <w:vMerge w:val="continue"/>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54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04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8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 Non-Controlled, Non-Affiliated Portfolio</w:t>
            </w: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78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70"/>
              </w:rPr>
              <w:t>Companies—144.3%</w:t>
            </w:r>
          </w:p>
        </w:tc>
        <w:tc>
          <w:tcPr>
            <w:tcW w:w="1360" w:type="dxa"/>
            <w:vAlign w:val="bottom"/>
            <w:shd w:val="clear" w:color="auto" w:fill="CCEEFF"/>
          </w:tcPr>
          <w:p>
            <w:pPr>
              <w:jc w:val="right"/>
              <w:ind w:right="708"/>
              <w:spacing w:after="0" w:line="129" w:lineRule="exact"/>
              <w:rPr>
                <w:sz w:val="20"/>
                <w:szCs w:val="20"/>
                <w:color w:val="auto"/>
              </w:rPr>
            </w:pPr>
            <w:r>
              <w:rPr>
                <w:rFonts w:ascii="Arial" w:cs="Arial" w:eastAsia="Arial" w:hAnsi="Arial"/>
                <w:sz w:val="12"/>
                <w:szCs w:val="12"/>
                <w:b w:val="1"/>
                <w:bCs w:val="1"/>
                <w:color w:val="auto"/>
              </w:rPr>
              <w:t>(1), (2)</w:t>
            </w:r>
          </w:p>
        </w:tc>
        <w:tc>
          <w:tcPr>
            <w:tcW w:w="18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Debt—37.0%</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06/21/2017</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L+975</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23,454,110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22,702,765</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24,626,815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AKA Diversified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04/02/2018</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11.90%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29,653,975</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28,996,434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30,252,196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AKA Diversified Holdings, Inc.</w:t>
            </w:r>
            <w:r>
              <w:rPr>
                <w:rFonts w:ascii="Arial" w:cs="Arial" w:eastAsia="Arial" w:hAnsi="Arial"/>
                <w:sz w:val="12"/>
                <w:szCs w:val="12"/>
                <w:color w:val="auto"/>
              </w:rPr>
              <w:t>(9)</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04/02/2018</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Retail</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AP Gaming I, LLC</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12/21/2020</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Hotels, Motels, Inns</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9.25%</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L+825</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5,223,750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5,076,593</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5,275,988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and Gaming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Fox US Bidco Corp.</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06/17/2019</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L+750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12,352,942</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12,229,592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12,229,412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Fox US Bidco Corp.</w:t>
            </w:r>
            <w:r>
              <w:rPr>
                <w:rFonts w:ascii="Arial" w:cs="Arial" w:eastAsia="Arial" w:hAnsi="Arial"/>
                <w:sz w:val="12"/>
                <w:szCs w:val="12"/>
                <w:color w:val="auto"/>
              </w:rPr>
              <w:t>(9)</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06/17/2019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2,647,058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2,647,058</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2,647,058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03/30/2017</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11,500,000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11,359,159</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12,678,750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9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11/30/2016</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13.07%</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P+982</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8,000,000</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8,000,000</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8,225,976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10/16/2017</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7,777,902</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7,777,902</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7,719,568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K2 Pure Solutions NoCal, L.P.</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08/19/2019</w:t>
            </w:r>
          </w:p>
        </w:tc>
        <w:tc>
          <w:tcPr>
            <w:tcW w:w="154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Chemicals, Plastics</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L+900</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6"/>
              </w:rPr>
              <w:t>22,342,352</w:t>
            </w: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21,947,354</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22,133,375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and Rubber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11/27/2018</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L+1,150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28,350,000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27,332,224</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28,633,500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tcPr>
          <w:p>
            <w:pPr>
              <w:spacing w:after="0" w:line="130" w:lineRule="exact"/>
              <w:rPr>
                <w:sz w:val="20"/>
                <w:szCs w:val="20"/>
                <w:color w:val="auto"/>
              </w:rPr>
            </w:pPr>
            <w:r>
              <w:rPr>
                <w:rFonts w:ascii="Arial" w:cs="Arial" w:eastAsia="Arial" w:hAnsi="Arial"/>
                <w:sz w:val="14"/>
                <w:szCs w:val="14"/>
                <w:color w:val="auto"/>
              </w:rPr>
              <w:t>Prince Mineral Holding Corp.</w:t>
            </w:r>
            <w:r>
              <w:rPr>
                <w:rFonts w:ascii="Arial" w:cs="Arial" w:eastAsia="Arial" w:hAnsi="Arial"/>
                <w:sz w:val="12"/>
                <w:szCs w:val="12"/>
                <w:color w:val="auto"/>
              </w:rPr>
              <w:t>(5)</w:t>
            </w:r>
          </w:p>
        </w:tc>
        <w:tc>
          <w:tcPr>
            <w:tcW w:w="9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12/16/2019</w:t>
            </w:r>
          </w:p>
        </w:tc>
        <w:tc>
          <w:tcPr>
            <w:tcW w:w="15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5"/>
              </w:rPr>
              <w:t>Mining, Steel, Iron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6"/>
              </w:rPr>
              <w:t>14,250,000</w:t>
            </w:r>
          </w:p>
        </w:tc>
        <w:tc>
          <w:tcPr>
            <w:tcW w:w="118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14,113,310</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16,066,875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Non-Precious Metals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04/30/2018</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L+1,050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24,389,911</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24,068,498</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24,389,911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r>
              <w:rPr>
                <w:rFonts w:ascii="Arial" w:cs="Arial" w:eastAsia="Arial" w:hAnsi="Arial"/>
                <w:sz w:val="12"/>
                <w:szCs w:val="12"/>
                <w:color w:val="auto"/>
              </w:rPr>
              <w:t>(9)</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1,000,000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985,000</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 Inns Limited</w:t>
            </w:r>
            <w:r>
              <w:rPr>
                <w:rFonts w:ascii="Arial" w:cs="Arial" w:eastAsia="Arial" w:hAnsi="Arial"/>
                <w:sz w:val="12"/>
                <w:szCs w:val="12"/>
                <w:color w:val="auto"/>
              </w:rPr>
              <w:t>(10),(12)</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02/12/2020</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Buildings and Real</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11.05%</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27,909,091</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43,963,551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47,581,867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0"/>
              </w:rPr>
              <w:t>Estate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U.S. Well Service,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05/02/2019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14,551,598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14,198,694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14,655,462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Well Service, LLC</w:t>
            </w:r>
            <w:r>
              <w:rPr>
                <w:rFonts w:ascii="Arial" w:cs="Arial" w:eastAsia="Arial" w:hAnsi="Arial"/>
                <w:sz w:val="12"/>
                <w:szCs w:val="12"/>
                <w:color w:val="auto"/>
              </w:rPr>
              <w:t>(9)</w:t>
            </w:r>
          </w:p>
        </w:tc>
        <w:tc>
          <w:tcPr>
            <w:tcW w:w="9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11/03/2014</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1,889,205</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1,889,205</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1,902,689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07/06/2017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11,528,792</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11,528,792</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11,759,368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266,316,131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279,278,810</w:t>
            </w: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Debt—63.2%</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09/01/2017</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Diversified Natural</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25,400,000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25,400,000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27,432,000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9"/>
              </w:rPr>
              <w:t>Resources, Precious</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4"/>
              </w:rPr>
              <w:t>Metals and Minerals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Arsloane Acquisition,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10/01/2020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11.75%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20,625,000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20,334,545</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20,831,250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Ascensus, Inc.</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12/02/2020</w:t>
            </w:r>
          </w:p>
        </w:tc>
        <w:tc>
          <w:tcPr>
            <w:tcW w:w="15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L+800</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15,500,000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15,288,541</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15,771,250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Bennu Oil &amp; Gas, LLC</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11/01/2018</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8.75%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19,799,984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19,705,318</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20,031,050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Carolina Beverage Group,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08/01/2018</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Beverage,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10.63%</w:t>
            </w:r>
          </w:p>
        </w:tc>
        <w:tc>
          <w:tcPr>
            <w:tcW w:w="104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13,125,000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13,125,000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14,142,187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Tobacco</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10/05/2020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9.25%</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L+800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14,000,000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13,814,375</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14,052,500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9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11/04/2021</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19,000,000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18,641,623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19,190,000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Foundation Building Materials,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04/30/2019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Building Materials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L+1,100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44,550,637</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45,077,918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Foundation Building Materials,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04/30/2019</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Building Materials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L+1,200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32,692,664</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32,083,193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32,749,272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(PIK 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06/14/2019</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7,224,810</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03/01/2017</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L+700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3,739,795</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3,739,797</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1,682,908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(PIK 11.00%)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J.A. Cosmetics Holdings,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07/31/2019</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L+1,000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34,000,000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33,352,914</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33,951,852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10/29/2019</w:t>
            </w:r>
          </w:p>
        </w:tc>
        <w:tc>
          <w:tcPr>
            <w:tcW w:w="154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4"/>
              </w:rPr>
              <w:t>Hotels, Motels, Inns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L+1,175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38,950,000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38,364,591</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39,339,500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and Gaming</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KIK Custom Products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10/29/2019</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L+825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9,500,000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9,364,479</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9,606,875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12/20/2016</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10.50%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L+875</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33,750,000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33,356,570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33,555,937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Linc USA GP and Linc Energy Finance (USA), Inc.</w:t>
            </w:r>
            <w:r>
              <w:rPr>
                <w:rFonts w:ascii="Arial" w:cs="Arial" w:eastAsia="Arial" w:hAnsi="Arial"/>
                <w:sz w:val="12"/>
                <w:szCs w:val="12"/>
                <w:color w:val="auto"/>
              </w:rPr>
              <w:t>(5)</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11,875,000</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11,570,211</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13,359,375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Gulf Resources, LLC</w:t>
            </w:r>
            <w:r>
              <w:rPr>
                <w:rFonts w:ascii="Arial" w:cs="Arial" w:eastAsia="Arial" w:hAnsi="Arial"/>
                <w:sz w:val="12"/>
                <w:szCs w:val="12"/>
                <w:color w:val="auto"/>
              </w:rPr>
              <w:t>(5)</w:t>
            </w:r>
          </w:p>
        </w:tc>
        <w:tc>
          <w:tcPr>
            <w:tcW w:w="9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05/15/2019</w:t>
            </w:r>
          </w:p>
        </w:tc>
        <w:tc>
          <w:tcPr>
            <w:tcW w:w="154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11.75%</w:t>
            </w:r>
          </w:p>
        </w:tc>
        <w:tc>
          <w:tcPr>
            <w:tcW w:w="10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45,000,000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44,595,002</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Penton Media, Inc.</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10/02/2020</w:t>
            </w:r>
          </w:p>
        </w:tc>
        <w:tc>
          <w:tcPr>
            <w:tcW w:w="15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L+775</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6"/>
              </w:rPr>
              <w:t>21,000,000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20,724,103</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21,140,070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07/01/2020</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9.75%</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L+850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6"/>
              </w:rPr>
              <w:t>56,750,000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55,992,623</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57,814,062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12/15/2014</w:t>
            </w: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P+550</w:t>
            </w:r>
          </w:p>
        </w:tc>
        <w:tc>
          <w:tcPr>
            <w:tcW w:w="10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2,179,297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2,179,297</w:t>
            </w:r>
          </w:p>
        </w:tc>
        <w:tc>
          <w:tcPr>
            <w:tcW w:w="2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2,179,297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9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12/15/2015</w:t>
            </w:r>
          </w:p>
        </w:tc>
        <w:tc>
          <w:tcPr>
            <w:tcW w:w="15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P+750</w:t>
            </w:r>
          </w:p>
        </w:tc>
        <w:tc>
          <w:tcPr>
            <w:tcW w:w="104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2,725,980</w:t>
            </w:r>
          </w:p>
        </w:tc>
        <w:tc>
          <w:tcPr>
            <w:tcW w:w="9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2,725,980</w:t>
            </w:r>
          </w:p>
        </w:tc>
        <w:tc>
          <w:tcPr>
            <w:tcW w:w="2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2,725,980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8"/>
              </w:rPr>
              <w:t>(PIK 11.50%)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466,133,609</w:t>
            </w:r>
          </w:p>
        </w:tc>
        <w:tc>
          <w:tcPr>
            <w:tcW w:w="260" w:type="dxa"/>
            <w:vAlign w:val="bottom"/>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476,983,283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Par/</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Expiration</w:t>
            </w:r>
          </w:p>
        </w:tc>
        <w:tc>
          <w:tcPr>
            <w:tcW w:w="1460" w:type="dxa"/>
            <w:vAlign w:val="bottom"/>
            <w:gridSpan w:val="2"/>
            <w:vMerge w:val="continue"/>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1"/>
              </w:rPr>
              <w:t>Subordinated</w:t>
            </w:r>
          </w:p>
        </w:tc>
        <w:tc>
          <w:tcPr>
            <w:tcW w:w="280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Debt/Corporate Notes—31.9%</w:t>
            </w: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Acentia,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10/02/2017</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19,000,000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18,677,529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18,236,200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r>
              <w:rPr>
                <w:rFonts w:ascii="Arial" w:cs="Arial" w:eastAsia="Arial" w:hAnsi="Arial"/>
                <w:sz w:val="12"/>
                <w:szCs w:val="12"/>
                <w:color w:val="auto"/>
              </w:rPr>
              <w:t>(5)</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09/14/2018</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14.50%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32,418,500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27,703,556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32,094,315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14.50%)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Affinion Investments LLC</w:t>
            </w:r>
            <w:r>
              <w:rPr>
                <w:rFonts w:ascii="Arial" w:cs="Arial" w:eastAsia="Arial" w:hAnsi="Arial"/>
                <w:sz w:val="12"/>
                <w:szCs w:val="12"/>
                <w:color w:val="auto"/>
              </w:rPr>
              <w:t>(5)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08/15/2018</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15,096,000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15,096,000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15,699,840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02/15/2019</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8,930,000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8,787,424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7,842,939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03/26/2018</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23,693,263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23,349,576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23,930,196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Credit Infonet,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10/26/2018</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Personal, Food and</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12.25%</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10,600,000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10,421,429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10,311,509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Miscellaneous</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JF Acquisition,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06/30/2017</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14.00%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19,781,463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19,427,752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19,781,463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MSPark,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06/15/2017</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11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14,744,082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New Gulf Resources, LLC</w:t>
            </w:r>
            <w:r>
              <w:rPr>
                <w:rFonts w:ascii="Arial" w:cs="Arial" w:eastAsia="Arial" w:hAnsi="Arial"/>
                <w:sz w:val="12"/>
                <w:szCs w:val="12"/>
                <w:color w:val="auto"/>
              </w:rPr>
              <w:t>(5)</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11/15/2019</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w w:val="94"/>
              </w:rPr>
              <w:t>13,500,000</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13,017,947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11,745,000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(PIK 12.00%)</w:t>
            </w: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Power Products, LLC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12/11/2020</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12.75%</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14,777,756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15,141,884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2.00%)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Randall-Reilly Publishing Company,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04/15/2019</w:t>
            </w: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12.50%</w:t>
            </w:r>
            <w:r>
              <w:rPr>
                <w:rFonts w:ascii="Arial" w:cs="Arial" w:eastAsia="Arial" w:hAnsi="Arial"/>
                <w:sz w:val="12"/>
                <w:szCs w:val="12"/>
                <w:color w:val="auto"/>
              </w:rPr>
              <w:t>(7)</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4"/>
              </w:rPr>
              <w:t>30,400,000</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29,838,372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30,604,892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International,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06/27/2019</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Printing and</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w w:val="94"/>
              </w:rPr>
              <w:t>39,892,933</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39,218,167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40,491,327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Publishing</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5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235,059,590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240,879,565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Equity/Partnership Interests—1.7%</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6.00%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7,505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318,896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Holdings Corp. (Alegeus</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949</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949,050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166,701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76,357</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765,307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1,762,472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38,179</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382,654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881,236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2,375</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2,375,000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2,737,419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J.A. Cosmetics US,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3,397</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3,397,484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3,912,260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(J.A. Cosmetics Holdings, Inc.)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Red Point, LLC</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3,591</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21,727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40,583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(f/k/a Hanley-Wood Holdings,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Ride Holdings, Inc.</w:t>
            </w:r>
          </w:p>
        </w:tc>
        <w:tc>
          <w:tcPr>
            <w:tcW w:w="96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0"/>
              </w:rPr>
              <w:t>Personal</w:t>
            </w:r>
          </w:p>
        </w:tc>
        <w:tc>
          <w:tcPr>
            <w:tcW w:w="11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1,966,667</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2,251,667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1,029,295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(f/k/a VRide Holdings, Inc.)</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Transportation</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 Series B</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1,312</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1,799,366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12,959,611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13,015,152</w:t>
            </w:r>
          </w:p>
        </w:tc>
        <w:tc>
          <w:tcPr>
            <w:tcW w:w="0" w:type="dxa"/>
            <w:vAlign w:val="bottom"/>
          </w:tcPr>
          <w:p>
            <w:pPr>
              <w:spacing w:after="0"/>
              <w:rPr>
                <w:sz w:val="1"/>
                <w:szCs w:val="1"/>
                <w:color w:val="auto"/>
              </w:rPr>
            </w:pPr>
          </w:p>
        </w:tc>
      </w:tr>
      <w:tr>
        <w:trPr>
          <w:trHeight w:val="156"/>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Common Equity/Partnership Interests/Warrants—10.5%</w:t>
            </w:r>
            <w:r>
              <w:rPr>
                <w:rFonts w:ascii="Arial" w:cs="Arial" w:eastAsia="Arial" w:hAnsi="Arial"/>
                <w:sz w:val="12"/>
                <w:szCs w:val="12"/>
                <w:b w:val="1"/>
                <w:bCs w:val="1"/>
                <w:color w:val="auto"/>
              </w:rPr>
              <w:t>(6)</w:t>
            </w: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 Class A Units</w:t>
            </w:r>
            <w:r>
              <w:rPr>
                <w:rFonts w:ascii="Arial" w:cs="Arial" w:eastAsia="Arial" w:hAnsi="Arial"/>
                <w:sz w:val="12"/>
                <w:szCs w:val="12"/>
                <w:color w:val="auto"/>
              </w:rPr>
              <w:t>(11)</w:t>
            </w:r>
          </w:p>
        </w:tc>
        <w:tc>
          <w:tcPr>
            <w:tcW w:w="96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1,998</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902,828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 Series A (Warrants)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12/12/2023</w:t>
            </w:r>
          </w:p>
        </w:tc>
        <w:tc>
          <w:tcPr>
            <w:tcW w:w="26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4,798,624</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10,265,972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12,716,355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 Series B (Warrants)</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12/12/2023</w:t>
            </w:r>
          </w:p>
        </w:tc>
        <w:tc>
          <w:tcPr>
            <w:tcW w:w="2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9,822,196</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196,444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AH Holdings, Inc. (Warrants)</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03/23/2021</w:t>
            </w:r>
          </w:p>
        </w:tc>
        <w:tc>
          <w:tcPr>
            <w:tcW w:w="260" w:type="dxa"/>
            <w:vAlign w:val="bottom"/>
          </w:tcPr>
          <w:p>
            <w:pPr>
              <w:spacing w:after="0"/>
              <w:rPr>
                <w:sz w:val="11"/>
                <w:szCs w:val="11"/>
                <w:color w:val="auto"/>
              </w:rPr>
            </w:pPr>
          </w:p>
        </w:tc>
        <w:tc>
          <w:tcPr>
            <w:tcW w:w="14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753</w:t>
            </w:r>
          </w:p>
        </w:tc>
        <w:tc>
          <w:tcPr>
            <w:tcW w:w="140" w:type="dxa"/>
            <w:vAlign w:val="bottom"/>
          </w:tcPr>
          <w:p>
            <w:pPr>
              <w:spacing w:after="0"/>
              <w:rPr>
                <w:sz w:val="11"/>
                <w:szCs w:val="11"/>
                <w:color w:val="auto"/>
              </w:rPr>
            </w:pPr>
          </w:p>
        </w:tc>
        <w:tc>
          <w:tcPr>
            <w:tcW w:w="9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w:t>
            </w:r>
          </w:p>
        </w:tc>
        <w:tc>
          <w:tcPr>
            <w:tcW w:w="96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4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11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950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gridSpan w:val="2"/>
          </w:tcPr>
          <w:p>
            <w:pPr>
              <w:spacing w:after="0" w:line="130" w:lineRule="exact"/>
              <w:rPr>
                <w:sz w:val="20"/>
                <w:szCs w:val="20"/>
                <w:color w:val="auto"/>
              </w:rPr>
            </w:pPr>
            <w:r>
              <w:rPr>
                <w:rFonts w:ascii="Arial" w:cs="Arial" w:eastAsia="Arial" w:hAnsi="Arial"/>
                <w:sz w:val="14"/>
                <w:szCs w:val="14"/>
                <w:color w:val="auto"/>
              </w:rPr>
              <w:t>ASP LCG Holdings, Inc. (f/k/a Learning Care Group (US)</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05/05/2026</w:t>
            </w:r>
          </w:p>
        </w:tc>
        <w:tc>
          <w:tcPr>
            <w:tcW w:w="260" w:type="dxa"/>
            <w:vAlign w:val="bottom"/>
          </w:tcPr>
          <w:p>
            <w:pPr>
              <w:spacing w:after="0"/>
              <w:rPr>
                <w:sz w:val="11"/>
                <w:szCs w:val="11"/>
                <w:color w:val="auto"/>
              </w:rPr>
            </w:pPr>
          </w:p>
        </w:tc>
        <w:tc>
          <w:tcPr>
            <w:tcW w:w="14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Education</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933</w:t>
            </w:r>
          </w:p>
        </w:tc>
        <w:tc>
          <w:tcPr>
            <w:tcW w:w="140" w:type="dxa"/>
            <w:vAlign w:val="bottom"/>
          </w:tcPr>
          <w:p>
            <w:pPr>
              <w:spacing w:after="0"/>
              <w:rPr>
                <w:sz w:val="11"/>
                <w:szCs w:val="11"/>
                <w:color w:val="auto"/>
              </w:rPr>
            </w:pPr>
          </w:p>
        </w:tc>
        <w:tc>
          <w:tcPr>
            <w:tcW w:w="9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586,975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545,114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color w:val="auto"/>
              </w:rPr>
              <w:t>Inc.) (Warrants)</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Par/</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90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gridSpan w:val="2"/>
            <w:vMerge w:val="continue"/>
          </w:tcPr>
          <w:p>
            <w:pPr>
              <w:spacing w:after="0"/>
              <w:rPr>
                <w:sz w:val="12"/>
                <w:szCs w:val="12"/>
                <w:color w:val="auto"/>
              </w:rPr>
            </w:pPr>
          </w:p>
        </w:tc>
        <w:tc>
          <w:tcPr>
            <w:tcW w:w="14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7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320" w:type="dxa"/>
            <w:vAlign w:val="bottom"/>
            <w:gridSpan w:val="3"/>
            <w:vMerge w:val="continue"/>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Expiration</w:t>
            </w:r>
          </w:p>
        </w:tc>
        <w:tc>
          <w:tcPr>
            <w:tcW w:w="1480" w:type="dxa"/>
            <w:vAlign w:val="bottom"/>
            <w:gridSpan w:val="2"/>
            <w:vMerge w:val="continue"/>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90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30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Autumn Games, LLC</w:t>
            </w:r>
          </w:p>
        </w:tc>
        <w:tc>
          <w:tcPr>
            <w:tcW w:w="68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0"/>
                <w:szCs w:val="10"/>
                <w:color w:val="auto"/>
              </w:rPr>
            </w:pPr>
          </w:p>
        </w:tc>
        <w:tc>
          <w:tcPr>
            <w:tcW w:w="128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1"/>
              </w:rPr>
              <w:t>Broadcasting and</w:t>
            </w:r>
          </w:p>
        </w:tc>
        <w:tc>
          <w:tcPr>
            <w:tcW w:w="200" w:type="dxa"/>
            <w:vAlign w:val="bottom"/>
            <w:vMerge w:val="continue"/>
            <w:shd w:val="clear" w:color="auto" w:fill="CCEEFF"/>
          </w:tcPr>
          <w:p>
            <w:pPr>
              <w:spacing w:after="0"/>
              <w:rPr>
                <w:sz w:val="10"/>
                <w:szCs w:val="10"/>
                <w:color w:val="auto"/>
              </w:rPr>
            </w:pPr>
          </w:p>
        </w:tc>
        <w:tc>
          <w:tcPr>
            <w:tcW w:w="500" w:type="dxa"/>
            <w:vAlign w:val="bottom"/>
            <w:shd w:val="clear" w:color="auto" w:fill="CCEEFF"/>
          </w:tcPr>
          <w:p>
            <w:pPr>
              <w:ind w:left="300"/>
              <w:spacing w:after="0" w:line="123" w:lineRule="exact"/>
              <w:rPr>
                <w:sz w:val="20"/>
                <w:szCs w:val="20"/>
                <w:color w:val="auto"/>
              </w:rPr>
            </w:pPr>
            <w:r>
              <w:rPr>
                <w:rFonts w:ascii="Arial" w:cs="Arial" w:eastAsia="Arial" w:hAnsi="Arial"/>
                <w:sz w:val="14"/>
                <w:szCs w:val="14"/>
                <w:color w:val="auto"/>
              </w:rPr>
              <w:t>—</w:t>
            </w:r>
          </w:p>
        </w:tc>
        <w:tc>
          <w:tcPr>
            <w:tcW w:w="28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ind w:left="460"/>
              <w:spacing w:after="0" w:line="123" w:lineRule="exact"/>
              <w:rPr>
                <w:sz w:val="20"/>
                <w:szCs w:val="20"/>
                <w:color w:val="auto"/>
              </w:rPr>
            </w:pPr>
            <w:r>
              <w:rPr>
                <w:rFonts w:ascii="Arial" w:cs="Arial" w:eastAsia="Arial" w:hAnsi="Arial"/>
                <w:sz w:val="14"/>
                <w:szCs w:val="14"/>
                <w:color w:val="auto"/>
              </w:rPr>
              <w:t>—</w:t>
            </w:r>
          </w:p>
        </w:tc>
        <w:tc>
          <w:tcPr>
            <w:tcW w:w="280" w:type="dxa"/>
            <w:vAlign w:val="bottom"/>
            <w:vMerge w:val="continue"/>
            <w:shd w:val="clear" w:color="auto" w:fill="CCEEFF"/>
          </w:tcPr>
          <w:p>
            <w:pPr>
              <w:spacing w:after="0"/>
              <w:rPr>
                <w:sz w:val="10"/>
                <w:szCs w:val="10"/>
                <w:color w:val="auto"/>
              </w:rPr>
            </w:pPr>
          </w:p>
        </w:tc>
        <w:tc>
          <w:tcPr>
            <w:tcW w:w="6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1,333,330</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3,000,000</w:t>
            </w:r>
          </w:p>
        </w:tc>
        <w:tc>
          <w:tcPr>
            <w:tcW w:w="280" w:type="dxa"/>
            <w:vAlign w:val="bottom"/>
            <w:vMerge w:val="continue"/>
            <w:shd w:val="clear" w:color="auto" w:fill="CCEEFF"/>
          </w:tcPr>
          <w:p>
            <w:pPr>
              <w:spacing w:after="0"/>
              <w:rPr>
                <w:sz w:val="10"/>
                <w:szCs w:val="10"/>
                <w:color w:val="auto"/>
              </w:rPr>
            </w:pPr>
          </w:p>
        </w:tc>
        <w:tc>
          <w:tcPr>
            <w:tcW w:w="880" w:type="dxa"/>
            <w:vAlign w:val="bottom"/>
            <w:shd w:val="clear" w:color="auto" w:fill="CCEEFF"/>
          </w:tcPr>
          <w:p>
            <w:pPr>
              <w:jc w:val="right"/>
              <w:ind w:right="8"/>
              <w:spacing w:after="0" w:line="123" w:lineRule="exact"/>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Entertainment</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CI (FBM) Holdings, LLC</w:t>
            </w:r>
            <w:r>
              <w:rPr>
                <w:rFonts w:ascii="Arial" w:cs="Arial" w:eastAsia="Arial" w:hAnsi="Arial"/>
                <w:sz w:val="12"/>
                <w:szCs w:val="12"/>
                <w:color w:val="auto"/>
              </w:rPr>
              <w:t>(11)</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7"/>
              </w:rPr>
              <w:t>Building Materials</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207,242</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2,250,000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2,608,001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tcPr>
          <w:p>
            <w:pPr>
              <w:ind w:left="140"/>
              <w:spacing w:after="0"/>
              <w:rPr>
                <w:sz w:val="20"/>
                <w:szCs w:val="20"/>
                <w:color w:val="auto"/>
              </w:rPr>
            </w:pPr>
            <w:r>
              <w:rPr>
                <w:rFonts w:ascii="Arial" w:cs="Arial" w:eastAsia="Arial" w:hAnsi="Arial"/>
                <w:sz w:val="14"/>
                <w:szCs w:val="14"/>
                <w:color w:val="auto"/>
              </w:rPr>
              <w:t>(Foundation Building Materials, LLC)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(FBM) Holdings, LLC</w:t>
            </w:r>
            <w:r>
              <w:rPr>
                <w:rFonts w:ascii="Arial" w:cs="Arial" w:eastAsia="Arial" w:hAnsi="Arial"/>
                <w:sz w:val="12"/>
                <w:szCs w:val="12"/>
                <w:color w:val="auto"/>
              </w:rPr>
              <w:t>(9),(11)</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7"/>
              </w:rPr>
              <w:t>Building Materials</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103,621</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1,125,000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1,304,001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(Foundation Building Materials, 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CI (Galls) Prime Investment Holdings, LLC</w:t>
            </w:r>
            <w:r>
              <w:rPr>
                <w:rFonts w:ascii="Arial" w:cs="Arial" w:eastAsia="Arial" w:hAnsi="Arial"/>
                <w:sz w:val="12"/>
                <w:szCs w:val="12"/>
                <w:color w:val="auto"/>
              </w:rPr>
              <w:t>(11)</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1,505,000</w:t>
            </w:r>
          </w:p>
        </w:tc>
        <w:tc>
          <w:tcPr>
            <w:tcW w:w="28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1,505,000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1,913,376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23,416</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234,693</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539,257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11,708</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117,346</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269,629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 Technologies</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Electronics</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2,375</w:t>
            </w:r>
          </w:p>
        </w:tc>
        <w:tc>
          <w:tcPr>
            <w:tcW w:w="116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686,666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CT Technologies Holdings, LLC</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5,556</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545,887</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4,210,946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tcPr>
          <w:p>
            <w:pPr>
              <w:ind w:left="140"/>
              <w:spacing w:after="0"/>
              <w:rPr>
                <w:sz w:val="20"/>
                <w:szCs w:val="20"/>
                <w:color w:val="auto"/>
              </w:rPr>
            </w:pPr>
            <w:r>
              <w:rPr>
                <w:rFonts w:ascii="Arial" w:cs="Arial" w:eastAsia="Arial" w:hAnsi="Arial"/>
                <w:sz w:val="14"/>
                <w:szCs w:val="14"/>
                <w:color w:val="auto"/>
              </w:rPr>
              <w:t>(CT Technologies Intermediate Holdings, Inc.)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 Cosmetics US, Inc.</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Consumer Products</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252</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2,516</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204,342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(J.A. Cosmetics Holdings, Inc.)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A</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1,079,920</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1,236,832</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10,056,948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1,079,920</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1,028,807</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Lariat ecoserv Co-Invest Holdings, LLC</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Environmental</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1,000,000</w:t>
            </w:r>
          </w:p>
        </w:tc>
        <w:tc>
          <w:tcPr>
            <w:tcW w:w="280" w:type="dxa"/>
            <w:vAlign w:val="bottom"/>
          </w:tcPr>
          <w:p>
            <w:pPr>
              <w:spacing w:after="0"/>
              <w:rPr>
                <w:sz w:val="11"/>
                <w:szCs w:val="11"/>
                <w:color w:val="auto"/>
              </w:rPr>
            </w:pP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1,000,000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Services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Magnum Hunter Resources Corporation (Warrants)</w:t>
            </w: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04/16/2016</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Oil and Gas</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122,192</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182,498</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277,379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MidOcean JF Holdings Corp. (JF Acquisitions, LLC)</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1,850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1,850,294</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881,603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Corp.</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Personal, Food and</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5,997,138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(Pre-Paid Legal Services, Inc.)</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Miscellaneous</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9"/>
              </w:rPr>
              <w:t>Services</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New Gulf Resources, LLC (Warrants)</w:t>
            </w:r>
          </w:p>
        </w:tc>
        <w:tc>
          <w:tcPr>
            <w:tcW w:w="680" w:type="dxa"/>
            <w:vAlign w:val="bottom"/>
          </w:tcPr>
          <w:p>
            <w:pPr>
              <w:spacing w:after="0" w:line="149" w:lineRule="exact"/>
              <w:rPr>
                <w:sz w:val="20"/>
                <w:szCs w:val="20"/>
                <w:color w:val="auto"/>
              </w:rPr>
            </w:pPr>
            <w:r>
              <w:rPr>
                <w:rFonts w:ascii="Arial" w:cs="Arial" w:eastAsia="Arial" w:hAnsi="Arial"/>
                <w:sz w:val="14"/>
                <w:szCs w:val="14"/>
                <w:color w:val="auto"/>
                <w:w w:val="94"/>
              </w:rPr>
              <w:t>05/09/2024</w:t>
            </w:r>
          </w:p>
        </w:tc>
        <w:tc>
          <w:tcPr>
            <w:tcW w:w="1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Oil and Gas</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13,500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495,000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1,687,355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Old Guard Risk Services, Inc. (Warrants)</w:t>
            </w: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11/27/2023</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Insurance</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35,490</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495,086</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876,364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Paradigm Acquisition Corp.</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20,000</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1,171,851</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2,817,200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Power Products Holdings, LLC, Class A Units</w:t>
            </w:r>
            <w:r>
              <w:rPr>
                <w:rFonts w:ascii="Arial" w:cs="Arial" w:eastAsia="Arial" w:hAnsi="Arial"/>
                <w:sz w:val="12"/>
                <w:szCs w:val="12"/>
                <w:color w:val="auto"/>
              </w:rPr>
              <w:t>(11)</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Electronics</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1,350,000</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1,350,000</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1,289,705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(Power Products, 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Power Products Holdings, LLC, Class B Units</w:t>
            </w:r>
            <w:r>
              <w:rPr>
                <w:rFonts w:ascii="Arial" w:cs="Arial" w:eastAsia="Arial" w:hAnsi="Arial"/>
                <w:sz w:val="12"/>
                <w:szCs w:val="12"/>
                <w:color w:val="auto"/>
              </w:rPr>
              <w:t>(11)</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Electronics</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150,000</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150,000</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143,301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tcPr>
          <w:p>
            <w:pPr>
              <w:ind w:left="140"/>
              <w:spacing w:after="0"/>
              <w:rPr>
                <w:sz w:val="20"/>
                <w:szCs w:val="20"/>
                <w:color w:val="auto"/>
              </w:rPr>
            </w:pPr>
            <w:r>
              <w:rPr>
                <w:rFonts w:ascii="Arial" w:cs="Arial" w:eastAsia="Arial" w:hAnsi="Arial"/>
                <w:sz w:val="14"/>
                <w:szCs w:val="14"/>
                <w:color w:val="auto"/>
              </w:rPr>
              <w:t>(Power Products, LLC)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A</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Other Media</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4,325</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1,306,167</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2,743,823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(Questex Media Group, 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QMG HoldCo, LLC, Class B</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Other Media</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rPr>
              <w:t>531</w:t>
            </w:r>
          </w:p>
        </w:tc>
        <w:tc>
          <w:tcPr>
            <w:tcW w:w="280" w:type="dxa"/>
            <w:vAlign w:val="bottom"/>
          </w:tcPr>
          <w:p>
            <w:pPr>
              <w:spacing w:after="0"/>
              <w:rPr>
                <w:sz w:val="11"/>
                <w:szCs w:val="11"/>
                <w:color w:val="auto"/>
              </w:rPr>
            </w:pPr>
          </w:p>
        </w:tc>
        <w:tc>
          <w:tcPr>
            <w:tcW w:w="1160" w:type="dxa"/>
            <w:vAlign w:val="bottom"/>
            <w:gridSpan w:val="2"/>
          </w:tcPr>
          <w:p>
            <w:pPr>
              <w:ind w:left="6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336,872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tcPr>
          <w:p>
            <w:pPr>
              <w:ind w:left="140"/>
              <w:spacing w:after="0"/>
              <w:rPr>
                <w:sz w:val="20"/>
                <w:szCs w:val="20"/>
                <w:color w:val="auto"/>
              </w:rPr>
            </w:pPr>
            <w:r>
              <w:rPr>
                <w:rFonts w:ascii="Arial" w:cs="Arial" w:eastAsia="Arial" w:hAnsi="Arial"/>
                <w:sz w:val="14"/>
                <w:szCs w:val="14"/>
                <w:color w:val="auto"/>
              </w:rPr>
              <w:t>(Questex Media Group, LLC)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 Point, LLC (f/k/a Hanley-Wood Holdings, LLC)</w:t>
            </w:r>
          </w:p>
        </w:tc>
        <w:tc>
          <w:tcPr>
            <w:tcW w:w="8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Other Media</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388,378</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1,629,791</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3,810,570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tcPr>
          <w:p>
            <w:pPr>
              <w:spacing w:after="0" w:line="130" w:lineRule="exact"/>
              <w:rPr>
                <w:sz w:val="20"/>
                <w:szCs w:val="20"/>
                <w:color w:val="auto"/>
              </w:rPr>
            </w:pPr>
            <w:r>
              <w:rPr>
                <w:rFonts w:ascii="Arial" w:cs="Arial" w:eastAsia="Arial" w:hAnsi="Arial"/>
                <w:sz w:val="14"/>
                <w:szCs w:val="14"/>
                <w:color w:val="auto"/>
              </w:rPr>
              <w:t>Ride Holdings, Inc. (f/k/a VRide Holdings, Inc.)</w:t>
            </w:r>
          </w:p>
        </w:tc>
        <w:tc>
          <w:tcPr>
            <w:tcW w:w="86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0"/>
              </w:rPr>
              <w:t>Personal</w:t>
            </w:r>
          </w:p>
        </w:tc>
        <w:tc>
          <w:tcPr>
            <w:tcW w:w="780" w:type="dxa"/>
            <w:vAlign w:val="bottom"/>
            <w:gridSpan w:val="2"/>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9,882</w:t>
            </w:r>
          </w:p>
        </w:tc>
        <w:tc>
          <w:tcPr>
            <w:tcW w:w="116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11,314</w:t>
            </w:r>
          </w:p>
        </w:tc>
        <w:tc>
          <w:tcPr>
            <w:tcW w:w="9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Transportation</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SPG Boyd Holdings Corp.</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Chemical, Plastic and</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3,000</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2,419,203</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8,115,035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80" w:type="dxa"/>
            <w:vAlign w:val="bottom"/>
          </w:tcPr>
          <w:p>
            <w:pPr>
              <w:spacing w:after="0" w:line="149" w:lineRule="exact"/>
              <w:rPr>
                <w:sz w:val="20"/>
                <w:szCs w:val="20"/>
                <w:color w:val="auto"/>
              </w:rPr>
            </w:pPr>
            <w:r>
              <w:rPr>
                <w:rFonts w:ascii="Arial" w:cs="Arial" w:eastAsia="Arial" w:hAnsi="Arial"/>
                <w:sz w:val="14"/>
                <w:szCs w:val="14"/>
                <w:color w:val="auto"/>
                <w:w w:val="94"/>
              </w:rPr>
              <w:t>12/29/2019</w:t>
            </w:r>
          </w:p>
        </w:tc>
        <w:tc>
          <w:tcPr>
            <w:tcW w:w="18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3,500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29,400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660,380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Transportation 100 Holdco, L.L.C.</w:t>
            </w:r>
            <w:r>
              <w:rPr>
                <w:rFonts w:ascii="Arial" w:cs="Arial" w:eastAsia="Arial" w:hAnsi="Arial"/>
                <w:sz w:val="12"/>
                <w:szCs w:val="12"/>
                <w:color w:val="auto"/>
              </w:rPr>
              <w:t>(11)</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137,923</w:t>
            </w: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2,111,588</w:t>
            </w:r>
          </w:p>
        </w:tc>
        <w:tc>
          <w:tcPr>
            <w:tcW w:w="9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(Intermediate Transportation 100, L.L.C.)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TZ Holdings, L.P.</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Insurance</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80" w:type="dxa"/>
            <w:vAlign w:val="bottom"/>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9,567</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486,865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 (Vestcom International, Inc.)</w:t>
            </w:r>
          </w:p>
        </w:tc>
        <w:tc>
          <w:tcPr>
            <w:tcW w:w="86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Printing and</w:t>
            </w:r>
          </w:p>
        </w:tc>
        <w:tc>
          <w:tcPr>
            <w:tcW w:w="7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211,797</w:t>
            </w:r>
          </w:p>
        </w:tc>
        <w:tc>
          <w:tcPr>
            <w:tcW w:w="2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2,325,555</w:t>
            </w:r>
          </w:p>
        </w:tc>
        <w:tc>
          <w:tcPr>
            <w:tcW w:w="96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5,878,900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5"/>
              </w:rPr>
              <w:t>Publishing</w:t>
            </w:r>
          </w:p>
        </w:tc>
        <w:tc>
          <w:tcPr>
            <w:tcW w:w="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35,526</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4,050,000</w:t>
            </w: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4,897,658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 Wireless Holdings, Inc. (Warrants)</w:t>
            </w:r>
          </w:p>
        </w:tc>
        <w:tc>
          <w:tcPr>
            <w:tcW w:w="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10/21/2021</w:t>
            </w:r>
          </w:p>
        </w:tc>
        <w:tc>
          <w:tcPr>
            <w:tcW w:w="18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Retail</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1,736</w:t>
            </w: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168,799</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236,890</w:t>
            </w:r>
          </w:p>
        </w:tc>
        <w:tc>
          <w:tcPr>
            <w:tcW w:w="0" w:type="dxa"/>
            <w:vAlign w:val="bottom"/>
          </w:tcPr>
          <w:p>
            <w:pPr>
              <w:spacing w:after="0"/>
              <w:rPr>
                <w:sz w:val="1"/>
                <w:szCs w:val="1"/>
                <w:color w:val="auto"/>
              </w:rPr>
            </w:pPr>
          </w:p>
        </w:tc>
      </w:tr>
      <w:tr>
        <w:trPr>
          <w:trHeight w:val="163"/>
        </w:trPr>
        <w:tc>
          <w:tcPr>
            <w:tcW w:w="43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Interests/Warrants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47,656,091</w:t>
            </w:r>
          </w:p>
        </w:tc>
        <w:tc>
          <w:tcPr>
            <w:tcW w:w="28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79,319,919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1,028,125,032</w:t>
            </w:r>
          </w:p>
        </w:tc>
        <w:tc>
          <w:tcPr>
            <w:tcW w:w="2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1,089,476,729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Basis Point</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Par/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Spread</w:t>
            </w: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gridSpan w:val="2"/>
            <w:vMerge w:val="continue"/>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80" w:type="dxa"/>
            <w:vAlign w:val="bottom"/>
            <w:gridSpan w:val="2"/>
            <w:vMerge w:val="continue"/>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Above</w:t>
            </w: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w:t>
            </w:r>
          </w:p>
        </w:tc>
        <w:tc>
          <w:tcPr>
            <w:tcW w:w="1580" w:type="dxa"/>
            <w:vAlign w:val="bottom"/>
            <w:gridSpan w:val="2"/>
            <w:vMerge w:val="continue"/>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08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Non-Controlled, Affiliated Portfolio Companies—9.5%</w:t>
            </w:r>
            <w:r>
              <w:rPr>
                <w:rFonts w:ascii="Arial" w:cs="Arial" w:eastAsia="Arial" w:hAnsi="Arial"/>
                <w:sz w:val="12"/>
                <w:szCs w:val="12"/>
                <w:b w:val="1"/>
                <w:bCs w:val="1"/>
                <w:color w:val="auto"/>
              </w:rPr>
              <w:t>(1),(2)</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Debt—1.2%</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Real Property Holdings,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12/26/2017</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Environmental Services</w:t>
            </w: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9.00%</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L+800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9,409,740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9,154,475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9,127,448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Notes—5.2%</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6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11/05/2019</w:t>
            </w:r>
          </w:p>
        </w:tc>
        <w:tc>
          <w:tcPr>
            <w:tcW w:w="180" w:type="dxa"/>
            <w:vAlign w:val="bottom"/>
            <w:shd w:val="clear" w:color="auto" w:fill="CCEEFF"/>
          </w:tcPr>
          <w:p>
            <w:pPr>
              <w:spacing w:after="0"/>
              <w:rPr>
                <w:sz w:val="11"/>
                <w:szCs w:val="11"/>
                <w:color w:val="auto"/>
              </w:rPr>
            </w:pPr>
          </w:p>
        </w:tc>
        <w:tc>
          <w:tcPr>
            <w:tcW w:w="15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4"/>
              </w:rPr>
              <w:t>11,293,336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11,293,337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11,293,336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(PIK 12.00%)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10/02/2017</w:t>
            </w:r>
          </w:p>
        </w:tc>
        <w:tc>
          <w:tcPr>
            <w:tcW w:w="180" w:type="dxa"/>
            <w:vAlign w:val="bottom"/>
          </w:tcPr>
          <w:p>
            <w:pPr>
              <w:spacing w:after="0"/>
              <w:rPr>
                <w:sz w:val="13"/>
                <w:szCs w:val="13"/>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Auto Sector</w:t>
            </w: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4"/>
              </w:rPr>
              <w:t>28,000,000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27,553,644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28,280,000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38,846,981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39,573,336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Equity—0.1%</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Aerospace and Defense</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53,071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20,059,340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806,679</w:t>
            </w: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7"/>
              </w:rPr>
              <w:t>Common Equity/Partnership Interest/Warrants—3.0%</w:t>
            </w:r>
            <w:r>
              <w:rPr>
                <w:rFonts w:ascii="Arial" w:cs="Arial" w:eastAsia="Arial" w:hAnsi="Arial"/>
                <w:sz w:val="12"/>
                <w:szCs w:val="12"/>
                <w:b w:val="1"/>
                <w:bCs w:val="1"/>
                <w:color w:val="auto"/>
                <w:w w:val="97"/>
              </w:rPr>
              <w:t>(6)</w:t>
            </w: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8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104,719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21,492,822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1,275,305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11/05/2022</w:t>
            </w:r>
          </w:p>
        </w:tc>
        <w:tc>
          <w:tcPr>
            <w:tcW w:w="18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Consumer Products</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15,486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188,439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86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11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143,668</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11,960,702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15,435,690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(EnviroSolutions Real Property Holdings, Inc.)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 L.P.</w:t>
            </w:r>
          </w:p>
        </w:tc>
        <w:tc>
          <w:tcPr>
            <w:tcW w:w="86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Leisure, Amusement,</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375,000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3,750,000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157,518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Motion Pictures and</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Entertainment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New Service Champ Holdings, Inc.</w:t>
            </w:r>
          </w:p>
        </w:tc>
        <w:tc>
          <w:tcPr>
            <w:tcW w:w="860" w:type="dxa"/>
            <w:vAlign w:val="bottom"/>
            <w:gridSpan w:val="2"/>
            <w:shd w:val="clear" w:color="auto" w:fill="CCEEFF"/>
          </w:tcPr>
          <w:p>
            <w:pPr>
              <w:ind w:left="24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5"/>
              </w:rPr>
              <w:t>Auto Sector</w:t>
            </w:r>
          </w:p>
        </w:tc>
        <w:tc>
          <w:tcPr>
            <w:tcW w:w="1180" w:type="dxa"/>
            <w:vAlign w:val="bottom"/>
            <w:gridSpan w:val="2"/>
            <w:shd w:val="clear" w:color="auto" w:fill="CCEEFF"/>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16,800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2,721,600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5,375,320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 Champ, Inc.)</w:t>
            </w: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Aerospace and Defense</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53,071</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Interest/Warrants</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40,127,744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22,432,272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4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9"/>
              </w:rPr>
              <w:t>Total Investments in Non-Controlled, Affiliated Portfolio Companies</w:t>
            </w: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108,188,540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71,939,735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Investments in Controlled, Affiliated Portfolio Companies—5.0%</w:t>
            </w:r>
            <w:r>
              <w:rPr>
                <w:rFonts w:ascii="Arial" w:cs="Arial" w:eastAsia="Arial" w:hAnsi="Arial"/>
                <w:sz w:val="12"/>
                <w:szCs w:val="12"/>
                <w:b w:val="1"/>
                <w:bCs w:val="1"/>
                <w:color w:val="auto"/>
                <w:w w:val="96"/>
              </w:rPr>
              <w:t>(1),(2)</w:t>
            </w: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Superior Digital Displays, LLC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Media</w:t>
            </w: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13.50%</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L+1,250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19,250,000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17,236,708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16,461,023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LLC</w:t>
            </w:r>
            <w:r>
              <w:rPr>
                <w:rFonts w:ascii="Arial" w:cs="Arial" w:eastAsia="Arial" w:hAnsi="Arial"/>
                <w:sz w:val="12"/>
                <w:szCs w:val="12"/>
                <w:color w:val="auto"/>
              </w:rPr>
              <w:t>(9)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12/31/2018</w:t>
            </w:r>
          </w:p>
        </w:tc>
        <w:tc>
          <w:tcPr>
            <w:tcW w:w="180" w:type="dxa"/>
            <w:vAlign w:val="bottom"/>
          </w:tcPr>
          <w:p>
            <w:pPr>
              <w:spacing w:after="0"/>
              <w:rPr>
                <w:sz w:val="12"/>
                <w:szCs w:val="12"/>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Media</w:t>
            </w:r>
          </w:p>
        </w:tc>
        <w:tc>
          <w:tcPr>
            <w:tcW w:w="118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5,750,000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5,159,437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4,916,929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9,250,000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9,250,000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9,534,077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31,646,145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30,912,029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80" w:type="dxa"/>
            <w:vAlign w:val="bottom"/>
          </w:tcPr>
          <w:p>
            <w:pPr>
              <w:spacing w:after="0"/>
              <w:rPr>
                <w:sz w:val="13"/>
                <w:szCs w:val="13"/>
                <w:color w:val="auto"/>
              </w:rPr>
            </w:pP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2,250,000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1,979,975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Equity—0.3%</w:t>
            </w:r>
            <w:r>
              <w:rPr>
                <w:rFonts w:ascii="Arial" w:cs="Arial" w:eastAsia="Arial" w:hAnsi="Arial"/>
                <w:sz w:val="12"/>
                <w:szCs w:val="12"/>
                <w:b w:val="1"/>
                <w:bCs w:val="1"/>
                <w:color w:val="auto"/>
              </w:rPr>
              <w:t>(6)</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1,985,947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Equity—0.3%</w:t>
            </w:r>
            <w:r>
              <w:rPr>
                <w:rFonts w:ascii="Arial" w:cs="Arial" w:eastAsia="Arial" w:hAnsi="Arial"/>
                <w:sz w:val="12"/>
                <w:szCs w:val="12"/>
                <w:b w:val="1"/>
                <w:bCs w:val="1"/>
                <w:color w:val="auto"/>
              </w:rPr>
              <w:t>(6)</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Superior Digital Displays Holdings, Inc.</w:t>
            </w:r>
          </w:p>
        </w:tc>
        <w:tc>
          <w:tcPr>
            <w:tcW w:w="860" w:type="dxa"/>
            <w:vAlign w:val="bottom"/>
            <w:gridSpan w:val="2"/>
          </w:tcPr>
          <w:p>
            <w:pPr>
              <w:ind w:left="24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Media</w:t>
            </w:r>
          </w:p>
        </w:tc>
        <w:tc>
          <w:tcPr>
            <w:tcW w:w="1180" w:type="dxa"/>
            <w:vAlign w:val="bottom"/>
            <w:gridSpan w:val="2"/>
          </w:tcPr>
          <w:p>
            <w:pPr>
              <w:jc w:val="right"/>
              <w:ind w:right="56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4,750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2,211,000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2,113,140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(Superior Digital Displays, LLC)</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2,211,100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2,113,140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38,107,245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36,991,091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Investments—158.8%</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1,174,420,817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1,198,407,555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Equivalents—8.6%</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BlackRock Liquidity Funds, Temp Cash, Institutional</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1,186,186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1,186,186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Shares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 and Cash</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63,163,423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63,204,601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64,349,609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64,390,787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Equivalents—167.4%</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1,238,770,426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1,262,798,342</w:t>
            </w:r>
          </w:p>
        </w:tc>
        <w:tc>
          <w:tcPr>
            <w:tcW w:w="0" w:type="dxa"/>
            <w:vAlign w:val="bottom"/>
          </w:tcPr>
          <w:p>
            <w:pPr>
              <w:spacing w:after="0"/>
              <w:rPr>
                <w:sz w:val="1"/>
                <w:szCs w:val="1"/>
                <w:color w:val="auto"/>
              </w:rPr>
            </w:pPr>
          </w:p>
        </w:tc>
      </w:tr>
      <w:tr>
        <w:trPr>
          <w:trHeight w:val="20"/>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Assets—(67.4%)</w:t>
            </w: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20" w:type="dxa"/>
            <w:vAlign w:val="bottom"/>
            <w:gridSpan w:val="3"/>
            <w:vMerge w:val="continue"/>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4"/>
              </w:rPr>
              <w:t>(508,325,549)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754,472,793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40" w:hanging="332"/>
        <w:spacing w:after="0" w:line="248" w:lineRule="auto"/>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8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8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or “P” rate. The spread provided includes payment-in-kind, or PIK, interest and other fee rates, if any.</w:t>
      </w:r>
    </w:p>
    <w:p>
      <w:pPr>
        <w:ind w:left="340" w:right="32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ind w:left="340" w:right="20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or a revolving line of credit that is currently an unfunded investment. This security does not earn a basis point spread above an index while it is unfunded.</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Investment is held through a consolidated taxable subsidiary (See Note 1).</w:t>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Par amount is denominated in British Pound.</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S-65</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Spread</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Par /</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2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Industry</w:t>
            </w: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Above</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120" w:type="dxa"/>
            <w:vAlign w:val="bottom"/>
            <w:gridSpan w:val="3"/>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Coupon</w:t>
            </w: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30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 Non-Controlled, Non-Affiliated Portfolio Companies—138.9%</w:t>
            </w:r>
            <w:r>
              <w:rPr>
                <w:rFonts w:ascii="Arial" w:cs="Arial" w:eastAsia="Arial" w:hAnsi="Arial"/>
                <w:sz w:val="12"/>
                <w:szCs w:val="12"/>
                <w:b w:val="1"/>
                <w:bCs w:val="1"/>
                <w:color w:val="auto"/>
              </w:rPr>
              <w:t>(1), (2)</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06/21/2017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5"/>
              </w:rPr>
              <w:t>Communications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11.25%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23,912,894</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23,012,057</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25,347,668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12/21/2016</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rPr>
              <w:t>Retail</w:t>
            </w:r>
          </w:p>
        </w:tc>
        <w:tc>
          <w:tcPr>
            <w:tcW w:w="10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12.50%</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(PIK 1.50%)</w:t>
            </w: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L+1,225</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14,550,084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14,310,552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10/01/2016</w:t>
            </w:r>
          </w:p>
        </w:tc>
        <w:tc>
          <w:tcPr>
            <w:tcW w:w="21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Cargo Transport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7,385,251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Columbus International, Inc.</w:t>
            </w:r>
            <w:r>
              <w:rPr>
                <w:rFonts w:ascii="Arial" w:cs="Arial" w:eastAsia="Arial" w:hAnsi="Arial"/>
                <w:sz w:val="12"/>
                <w:szCs w:val="12"/>
                <w:color w:val="auto"/>
              </w:rPr>
              <w:t>(5),(10)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11/20/2014</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Communications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06/12/2017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9.75%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L+725</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7,342,967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Good Sam Enterprises, LLC</w:t>
            </w:r>
            <w:r>
              <w:rPr>
                <w:rFonts w:ascii="Arial" w:cs="Arial" w:eastAsia="Arial" w:hAnsi="Arial"/>
                <w:sz w:val="12"/>
                <w:szCs w:val="12"/>
                <w:color w:val="auto"/>
              </w:rPr>
              <w:t>(5)</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12/01/2016</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Consumer Products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11,835,907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IDQ Holdings, Inc.</w:t>
            </w:r>
            <w:r>
              <w:rPr>
                <w:rFonts w:ascii="Arial" w:cs="Arial" w:eastAsia="Arial" w:hAnsi="Arial"/>
                <w:sz w:val="12"/>
                <w:szCs w:val="12"/>
                <w:color w:val="auto"/>
              </w:rPr>
              <w:t>(5)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03/30/2017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2"/>
              </w:rPr>
              <w:t>Auto Sector</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11,500,000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11,326,110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11/30/2016</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 and</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Childcare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11.95%</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P+625</w:t>
            </w:r>
            <w:r>
              <w:rPr>
                <w:rFonts w:ascii="Arial" w:cs="Arial" w:eastAsia="Arial" w:hAnsi="Arial"/>
                <w:sz w:val="12"/>
                <w:szCs w:val="12"/>
                <w:color w:val="auto"/>
              </w:rPr>
              <w:t>(8)</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11,600,000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11,600,000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08/07/2014</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Printing and Publishing</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14.50%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23,934,268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23,788,980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08/07/2014</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Printing and Publishing</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3.55%</w:t>
            </w: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L+338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18,199,679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13,917,288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10/04/2016</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 and</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Childcare</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18,050,000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17,770,705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10/16/2017</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Services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rPr>
              <w:t>8,355,469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8,349,704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08/19/2019</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2"/>
              </w:rPr>
              <w:t>Chemicals, Plastics and Rubber</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L+900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22,342,352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21,899,258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08/01/2014</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Other Media</w:t>
            </w:r>
          </w:p>
        </w:tc>
        <w:tc>
          <w:tcPr>
            <w:tcW w:w="10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6.00%</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(PIK 2.00%)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L+500</w:t>
            </w:r>
            <w:r>
              <w:rPr>
                <w:rFonts w:ascii="Arial" w:cs="Arial" w:eastAsia="Arial" w:hAnsi="Arial"/>
                <w:sz w:val="12"/>
                <w:szCs w:val="12"/>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37,950,152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36,110,124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Prince Mineral Holding Corp.</w:t>
            </w:r>
            <w:r>
              <w:rPr>
                <w:rFonts w:ascii="Arial" w:cs="Arial" w:eastAsia="Arial" w:hAnsi="Arial"/>
                <w:sz w:val="12"/>
                <w:szCs w:val="12"/>
                <w:color w:val="auto"/>
              </w:rPr>
              <w:t>(5)</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12/16/2019</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6"/>
              </w:rPr>
              <w:t>Mining, Steel, Iron and Non-</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Precious Metals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11.50%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14,250,000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14,096,169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04/30/2018</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34,270,800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33,766,321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07/06/2017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12,451,096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12,451,096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3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278,962,489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288,043,239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09/01/2017</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Diversified Natural Resources,</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Precious Metals and Minerals</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25,400,000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25,400,000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10/01/2020</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11.75%</w:t>
            </w: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18,750,000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18,375,000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10/23/2019</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Energy / Utilities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42,278,570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41,471,524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Carolina Beverage Group,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08/01/2018</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Beverage, Food and Tobacco</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10.63%</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13,125,000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13,125,000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11/04/2021</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Healthcare, Education and</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Childcare</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9.75%</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19,000,000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18,620,000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08/16/2018</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8"/>
              </w:rPr>
              <w:t>Energy / Utilities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12.50%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45,000,000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44,599,796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06/14/2019</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11.50%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03/01/2017</w:t>
            </w:r>
          </w:p>
        </w:tc>
        <w:tc>
          <w:tcPr>
            <w:tcW w:w="21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Cargo Transport</w:t>
            </w:r>
          </w:p>
        </w:tc>
        <w:tc>
          <w:tcPr>
            <w:tcW w:w="10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11.00%</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(PIK 11.00%)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3,544,833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3,544,836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Jacobs Entertainment, Inc.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10/29/2019</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Hotels, Motels, Inns and Gaming</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13.00%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38,950,000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38,287,499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12/20/2016</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10.50%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33,750,000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33,265,829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Linc USA GP and Linc Energy Finance (USA),</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10/31/2017</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100" w:type="dxa"/>
            <w:vAlign w:val="bottom"/>
            <w:gridSpan w:val="2"/>
          </w:tcPr>
          <w:p>
            <w:pPr>
              <w:ind w:left="140"/>
              <w:spacing w:after="0"/>
              <w:rPr>
                <w:sz w:val="20"/>
                <w:szCs w:val="20"/>
                <w:color w:val="auto"/>
              </w:rPr>
            </w:pPr>
            <w:r>
              <w:rPr>
                <w:rFonts w:ascii="Arial" w:cs="Arial" w:eastAsia="Arial" w:hAnsi="Arial"/>
                <w:sz w:val="14"/>
                <w:szCs w:val="14"/>
                <w:color w:val="auto"/>
              </w:rPr>
              <w:t>Inc.</w:t>
            </w:r>
            <w:r>
              <w:rPr>
                <w:rFonts w:ascii="Arial" w:cs="Arial" w:eastAsia="Arial" w:hAnsi="Arial"/>
                <w:sz w:val="12"/>
                <w:szCs w:val="12"/>
                <w:color w:val="auto"/>
              </w:rPr>
              <w:t>(5)</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12.50%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11,875,000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11,511,878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07/01/2020</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Personal, Food and Miscellaneous</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1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9"/>
              </w:rPr>
              <w:t>Services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9.75%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56,750,000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55,923,621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12/15/2014</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Other Media</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9.50%</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L+550</w:t>
            </w:r>
            <w:r>
              <w:rPr>
                <w:rFonts w:ascii="Arial" w:cs="Arial" w:eastAsia="Arial" w:hAnsi="Arial"/>
                <w:sz w:val="12"/>
                <w:szCs w:val="12"/>
                <w:color w:val="auto"/>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2,395,378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2,395,378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9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w w:val="96"/>
              </w:rPr>
              <w:t>12/15/2015</w:t>
            </w:r>
          </w:p>
        </w:tc>
        <w:tc>
          <w:tcPr>
            <w:tcW w:w="21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Other Media</w:t>
            </w:r>
          </w:p>
        </w:tc>
        <w:tc>
          <w:tcPr>
            <w:tcW w:w="106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11.50%</w:t>
            </w:r>
          </w:p>
        </w:tc>
        <w:tc>
          <w:tcPr>
            <w:tcW w:w="7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(PIK 11.50%)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P+750</w:t>
            </w:r>
            <w:r>
              <w:rPr>
                <w:rFonts w:ascii="Arial" w:cs="Arial" w:eastAsia="Arial" w:hAnsi="Arial"/>
                <w:sz w:val="12"/>
                <w:szCs w:val="12"/>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2,502,333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2,502,333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08/31/2018</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Hotels, Motels, Inns and Gaming</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12.13%</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16,000,000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15,785,252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17,720,000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332,007,946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341,093,728</w:t>
            </w:r>
          </w:p>
        </w:tc>
        <w:tc>
          <w:tcPr>
            <w:tcW w:w="0" w:type="dxa"/>
            <w:vAlign w:val="bottom"/>
          </w:tcPr>
          <w:p>
            <w:pPr>
              <w:spacing w:after="0"/>
              <w:rPr>
                <w:sz w:val="1"/>
                <w:szCs w:val="1"/>
                <w:color w:val="auto"/>
              </w:rPr>
            </w:pPr>
          </w:p>
        </w:tc>
      </w:tr>
      <w:tr>
        <w:trPr>
          <w:trHeight w:val="156"/>
        </w:trPr>
        <w:tc>
          <w:tcPr>
            <w:tcW w:w="31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Notes—37.4%</w:t>
            </w: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10/02/2017</w:t>
            </w:r>
          </w:p>
        </w:tc>
        <w:tc>
          <w:tcPr>
            <w:tcW w:w="218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13.75%</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18,629,082</w:t>
            </w: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18,879,139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6"/>
              </w:rPr>
              <w:t>11/15/2015</w:t>
            </w:r>
          </w:p>
        </w:tc>
        <w:tc>
          <w:tcPr>
            <w:tcW w:w="21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Consumer Products</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11.63%</w:t>
            </w:r>
          </w:p>
        </w:tc>
        <w:tc>
          <w:tcPr>
            <w:tcW w:w="10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35,552,000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34,570,664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6"/>
              </w:rPr>
              <w:t>02/15/2019</w:t>
            </w:r>
          </w:p>
        </w:tc>
        <w:tc>
          <w:tcPr>
            <w:tcW w:w="21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Financial Services</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12.00%</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8,930,000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8,773,751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10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w w:val="96"/>
              </w:rPr>
              <w:t>03/26/2018</w:t>
            </w:r>
          </w:p>
        </w:tc>
        <w:tc>
          <w:tcPr>
            <w:tcW w:w="21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Electronics</w:t>
            </w:r>
          </w:p>
        </w:tc>
        <w:tc>
          <w:tcPr>
            <w:tcW w:w="1060" w:type="dxa"/>
            <w:vAlign w:val="bottom"/>
            <w:gridSpan w:val="2"/>
          </w:tcPr>
          <w:p>
            <w:pPr>
              <w:jc w:val="right"/>
              <w:ind w:right="260"/>
              <w:spacing w:after="0" w:line="130" w:lineRule="exact"/>
              <w:rPr>
                <w:sz w:val="20"/>
                <w:szCs w:val="20"/>
                <w:color w:val="auto"/>
              </w:rPr>
            </w:pPr>
            <w:r>
              <w:rPr>
                <w:rFonts w:ascii="Arial" w:cs="Arial" w:eastAsia="Arial" w:hAnsi="Arial"/>
                <w:sz w:val="14"/>
                <w:szCs w:val="14"/>
                <w:color w:val="auto"/>
              </w:rPr>
              <w:t>12.00%</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(PIK 1.00%)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6"/>
              </w:rPr>
              <w:t>23,514,494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23,114,286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Par /</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Maturity</w:t>
            </w:r>
          </w:p>
        </w:tc>
        <w:tc>
          <w:tcPr>
            <w:tcW w:w="23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118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102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04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18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4"/>
              </w:rPr>
              <w:t>Credit Infonet,</w:t>
            </w:r>
          </w:p>
        </w:tc>
        <w:tc>
          <w:tcPr>
            <w:tcW w:w="2220" w:type="dxa"/>
            <w:vAlign w:val="bottom"/>
            <w:tcBorders>
              <w:top w:val="single" w:sz="8" w:color="CCEEFF"/>
            </w:tcBorders>
            <w:shd w:val="clear" w:color="auto" w:fill="CCEEFF"/>
          </w:tcPr>
          <w:p>
            <w:pPr>
              <w:ind w:left="120"/>
              <w:spacing w:after="0" w:line="123" w:lineRule="exact"/>
              <w:rPr>
                <w:sz w:val="20"/>
                <w:szCs w:val="20"/>
                <w:color w:val="auto"/>
              </w:rPr>
            </w:pPr>
            <w:r>
              <w:rPr>
                <w:rFonts w:ascii="Arial" w:cs="Arial" w:eastAsia="Arial" w:hAnsi="Arial"/>
                <w:sz w:val="14"/>
                <w:szCs w:val="14"/>
                <w:color w:val="auto"/>
              </w:rPr>
              <w:t>Inc.</w:t>
            </w:r>
          </w:p>
        </w:tc>
        <w:tc>
          <w:tcPr>
            <w:tcW w:w="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21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89"/>
              </w:rPr>
              <w:t>Personal, Food and</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12.25</w:t>
            </w:r>
          </w:p>
        </w:tc>
        <w:tc>
          <w:tcPr>
            <w:tcW w:w="500" w:type="dxa"/>
            <w:vAlign w:val="bottom"/>
            <w:tcBorders>
              <w:top w:val="single" w:sz="8" w:color="CCEEFF"/>
            </w:tcBorders>
            <w:shd w:val="clear" w:color="auto" w:fill="CCEEFF"/>
          </w:tcPr>
          <w:p>
            <w:pPr>
              <w:jc w:val="right"/>
              <w:ind w:right="308"/>
              <w:spacing w:after="0" w:line="123" w:lineRule="exact"/>
              <w:rPr>
                <w:sz w:val="20"/>
                <w:szCs w:val="20"/>
                <w:color w:val="auto"/>
              </w:rPr>
            </w:pPr>
            <w:r>
              <w:rPr>
                <w:rFonts w:ascii="Arial" w:cs="Arial" w:eastAsia="Arial" w:hAnsi="Arial"/>
                <w:sz w:val="14"/>
                <w:szCs w:val="14"/>
                <w:color w:val="auto"/>
                <w:w w:val="79"/>
              </w:rPr>
              <w:t>%</w:t>
            </w:r>
          </w:p>
        </w:tc>
        <w:tc>
          <w:tcPr>
            <w:tcW w:w="680" w:type="dxa"/>
            <w:vAlign w:val="bottom"/>
            <w:tcBorders>
              <w:top w:val="single" w:sz="8" w:color="auto"/>
            </w:tcBorders>
            <w:shd w:val="clear" w:color="auto" w:fill="CCEEFF"/>
          </w:tcPr>
          <w:p>
            <w:pPr>
              <w:ind w:left="460"/>
              <w:spacing w:after="0" w:line="123"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10,600,000</w:t>
            </w:r>
          </w:p>
        </w:tc>
        <w:tc>
          <w:tcPr>
            <w:tcW w:w="3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10,399,101</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10,653,423</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10/26/2018</w:t>
            </w:r>
          </w:p>
        </w:tc>
        <w:tc>
          <w:tcPr>
            <w:tcW w:w="23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Escort, Inc.</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308"/>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25,965,563</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25,579,621</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06/01/2016</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Electronics</w:t>
            </w:r>
          </w:p>
        </w:tc>
        <w:tc>
          <w:tcPr>
            <w:tcW w:w="1180" w:type="dxa"/>
            <w:vAlign w:val="bottom"/>
            <w:gridSpan w:val="2"/>
          </w:tcPr>
          <w:p>
            <w:pPr>
              <w:jc w:val="right"/>
              <w:ind w:right="248"/>
              <w:spacing w:after="0"/>
              <w:rPr>
                <w:sz w:val="20"/>
                <w:szCs w:val="20"/>
                <w:color w:val="auto"/>
              </w:rPr>
            </w:pPr>
            <w:r>
              <w:rPr>
                <w:rFonts w:ascii="Arial" w:cs="Arial" w:eastAsia="Arial" w:hAnsi="Arial"/>
                <w:sz w:val="14"/>
                <w:szCs w:val="14"/>
                <w:color w:val="auto"/>
              </w:rPr>
              <w:t>(PIK 2.75%)</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JF Acquisition, LLC</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17,517,386</w:t>
            </w:r>
          </w:p>
        </w:tc>
        <w:tc>
          <w:tcPr>
            <w:tcW w:w="3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17,160,955</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1"/>
              </w:rPr>
              <w:t>06/30/2017</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11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(PIK 2.00%)</w:t>
            </w: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Learning Care Group (US) Inc.</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308"/>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7,215,989</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6,754,246</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05/08/2020</w:t>
            </w:r>
          </w:p>
        </w:tc>
        <w:tc>
          <w:tcPr>
            <w:tcW w:w="23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Education</w:t>
            </w:r>
          </w:p>
        </w:tc>
        <w:tc>
          <w:tcPr>
            <w:tcW w:w="1180" w:type="dxa"/>
            <w:vAlign w:val="bottom"/>
            <w:gridSpan w:val="2"/>
          </w:tcPr>
          <w:p>
            <w:pPr>
              <w:jc w:val="right"/>
              <w:ind w:right="248"/>
              <w:spacing w:after="0"/>
              <w:rPr>
                <w:sz w:val="20"/>
                <w:szCs w:val="20"/>
                <w:color w:val="auto"/>
              </w:rPr>
            </w:pPr>
            <w:r>
              <w:rPr>
                <w:rFonts w:ascii="Arial" w:cs="Arial" w:eastAsia="Arial" w:hAnsi="Arial"/>
                <w:sz w:val="14"/>
                <w:szCs w:val="14"/>
                <w:color w:val="auto"/>
              </w:rPr>
              <w:t>(PIK 15.00%)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LTI Flexible Products, Inc.</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01/19/2019</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Chemicals, Plastics and Rubber</w:t>
            </w:r>
          </w:p>
        </w:tc>
        <w:tc>
          <w:tcPr>
            <w:tcW w:w="11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12.50%</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30,000,000</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30,000,000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01/11/2014</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Chemicals, Plastics and Rubber</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4,825,000</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MSPark, Inc.</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06/15/2017</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Printing and Publishing</w:t>
            </w:r>
          </w:p>
        </w:tc>
        <w:tc>
          <w:tcPr>
            <w:tcW w:w="11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15,000,000</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14,691,342</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Varel International Energy Mezzanine Funding</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308"/>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37,070,637</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36,441,726</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Corp.</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1"/>
              </w:rPr>
              <w:t>01/15/2018</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Oil and Gas</w:t>
            </w:r>
          </w:p>
        </w:tc>
        <w:tc>
          <w:tcPr>
            <w:tcW w:w="1180" w:type="dxa"/>
            <w:vAlign w:val="bottom"/>
            <w:gridSpan w:val="2"/>
          </w:tcPr>
          <w:p>
            <w:pPr>
              <w:jc w:val="right"/>
              <w:ind w:right="248"/>
              <w:spacing w:after="0"/>
              <w:rPr>
                <w:sz w:val="20"/>
                <w:szCs w:val="20"/>
                <w:color w:val="auto"/>
              </w:rPr>
            </w:pPr>
            <w:r>
              <w:rPr>
                <w:rFonts w:ascii="Arial" w:cs="Arial" w:eastAsia="Arial" w:hAnsi="Arial"/>
                <w:sz w:val="14"/>
                <w:szCs w:val="14"/>
                <w:color w:val="auto"/>
              </w:rPr>
              <w:t>(PIK 4.00%)</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06/27/2019</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4"/>
              </w:rPr>
              <w:t>Printing and Publishing</w:t>
            </w:r>
          </w:p>
        </w:tc>
        <w:tc>
          <w:tcPr>
            <w:tcW w:w="11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39,892,933</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39,147,926</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163"/>
        </w:trPr>
        <w:tc>
          <w:tcPr>
            <w:tcW w:w="304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270,087,700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260,809,374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Preferred Equity/Partnership Interests—1.2%</w:t>
            </w:r>
            <w:r>
              <w:rPr>
                <w:rFonts w:ascii="Arial" w:cs="Arial" w:eastAsia="Arial" w:hAnsi="Arial"/>
                <w:sz w:val="12"/>
                <w:szCs w:val="12"/>
                <w:b w:val="1"/>
                <w:bCs w:val="1"/>
                <w:color w:val="auto"/>
                <w:w w:val="95"/>
              </w:rPr>
              <w:t>(6)</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AH Holdings, Inc.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6.00%</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211</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318,896</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Alegeus Technologies Holdings Corp., Series A</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949</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949,050</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(Alegeus Technologies, LLC)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Financial Services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 (Interactive</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765,307</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Health Solutions, Inc.)</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Healthcare, Education and Childcare</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382,654</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(Interactive Health Solutions, Inc.)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 and Childcare</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30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2,375,000</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(Convergint Technologies LLC)</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Electronics</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9.00%</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326,215</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24,177</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 Series A</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B</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1"/>
              </w:rPr>
              <w:t>Insurance</w:t>
            </w:r>
          </w:p>
        </w:tc>
        <w:tc>
          <w:tcPr>
            <w:tcW w:w="1180" w:type="dxa"/>
            <w:vAlign w:val="bottom"/>
            <w:gridSpan w:val="2"/>
            <w:shd w:val="clear" w:color="auto" w:fill="CCEEFF"/>
          </w:tcPr>
          <w:p>
            <w:pPr>
              <w:jc w:val="right"/>
              <w:ind w:right="308"/>
              <w:spacing w:after="0" w:line="149" w:lineRule="exact"/>
              <w:rPr>
                <w:sz w:val="20"/>
                <w:szCs w:val="20"/>
                <w:color w:val="auto"/>
              </w:rPr>
            </w:pPr>
            <w:r>
              <w:rPr>
                <w:rFonts w:ascii="Arial" w:cs="Arial" w:eastAsia="Arial" w:hAnsi="Arial"/>
                <w:sz w:val="14"/>
                <w:szCs w:val="14"/>
                <w:color w:val="auto"/>
              </w:rPr>
              <w:t>6.50%</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1,312</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1,312,006</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VRide Holdings, Inc.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Personal Transportation</w:t>
            </w:r>
          </w:p>
        </w:tc>
        <w:tc>
          <w:tcPr>
            <w:tcW w:w="118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1,824,167</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1,824,167</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Equity/Partnership Interests</w:t>
            </w: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9,463,292</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8,051,870</w:t>
            </w:r>
          </w:p>
        </w:tc>
        <w:tc>
          <w:tcPr>
            <w:tcW w:w="0" w:type="dxa"/>
            <w:vAlign w:val="bottom"/>
          </w:tcPr>
          <w:p>
            <w:pPr>
              <w:spacing w:after="0"/>
              <w:rPr>
                <w:sz w:val="1"/>
                <w:szCs w:val="1"/>
                <w:color w:val="auto"/>
              </w:rPr>
            </w:pPr>
          </w:p>
        </w:tc>
      </w:tr>
      <w:tr>
        <w:trPr>
          <w:trHeight w:val="156"/>
        </w:trPr>
        <w:tc>
          <w:tcPr>
            <w:tcW w:w="3960" w:type="dxa"/>
            <w:vAlign w:val="bottom"/>
            <w:gridSpan w:val="6"/>
          </w:tcPr>
          <w:p>
            <w:pPr>
              <w:spacing w:after="0" w:line="155" w:lineRule="exact"/>
              <w:rPr>
                <w:sz w:val="20"/>
                <w:szCs w:val="20"/>
                <w:color w:val="auto"/>
              </w:rPr>
            </w:pPr>
            <w:r>
              <w:rPr>
                <w:rFonts w:ascii="Arial" w:cs="Arial" w:eastAsia="Arial" w:hAnsi="Arial"/>
                <w:sz w:val="14"/>
                <w:szCs w:val="14"/>
                <w:b w:val="1"/>
                <w:bCs w:val="1"/>
                <w:color w:val="auto"/>
              </w:rPr>
              <w:t>Common Equity/Warrants/Partnership Interests—10.1%</w:t>
            </w:r>
            <w:r>
              <w:rPr>
                <w:rFonts w:ascii="Arial" w:cs="Arial" w:eastAsia="Arial" w:hAnsi="Arial"/>
                <w:sz w:val="12"/>
                <w:szCs w:val="12"/>
                <w:b w:val="1"/>
                <w:bCs w:val="1"/>
                <w:color w:val="auto"/>
              </w:rPr>
              <w:t>(6)</w:t>
            </w: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Acentia, LLC, Class A Units</w:t>
            </w:r>
            <w:r>
              <w:rPr>
                <w:rFonts w:ascii="Arial" w:cs="Arial" w:eastAsia="Arial" w:hAnsi="Arial"/>
                <w:sz w:val="12"/>
                <w:szCs w:val="12"/>
                <w:color w:val="auto"/>
              </w:rPr>
              <w:t>(12)</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Electronics</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1,998</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2,000,000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  1,572,603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AH Holdings, Inc. (Warrants)</w:t>
            </w:r>
          </w:p>
        </w:tc>
        <w:tc>
          <w:tcPr>
            <w:tcW w:w="9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1"/>
              </w:rPr>
              <w:t>03/23/2021</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753</w:t>
            </w:r>
          </w:p>
        </w:tc>
        <w:tc>
          <w:tcPr>
            <w:tcW w:w="32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950</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Financial Services</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Autumn Games, LLC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Broadcasting and Entertainment</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1,333,330</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3,000,000</w:t>
            </w:r>
          </w:p>
        </w:tc>
        <w:tc>
          <w:tcPr>
            <w:tcW w:w="12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 (Galls) Prime Investment Holdings, LLC</w:t>
            </w:r>
            <w:r>
              <w:rPr>
                <w:rFonts w:ascii="Arial" w:cs="Arial" w:eastAsia="Arial" w:hAnsi="Arial"/>
                <w:sz w:val="12"/>
                <w:szCs w:val="12"/>
                <w:color w:val="auto"/>
              </w:rPr>
              <w:t>(11)</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9"/>
              </w:rPr>
              <w:t>Distribution</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1,505,000</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1,505,000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CI (IHS) Investment Holdings, LLC (Interactive</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23,416</w:t>
            </w: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234,693</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Health Solutions, Inc.)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Healthcare, Education and Childcare</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r>
              <w:rPr>
                <w:rFonts w:ascii="Arial" w:cs="Arial" w:eastAsia="Arial" w:hAnsi="Arial"/>
                <w:sz w:val="12"/>
                <w:szCs w:val="12"/>
                <w:color w:val="auto"/>
              </w:rPr>
              <w:t>(9)</w:t>
            </w:r>
          </w:p>
        </w:tc>
        <w:tc>
          <w:tcPr>
            <w:tcW w:w="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11,708</w:t>
            </w:r>
          </w:p>
        </w:tc>
        <w:tc>
          <w:tcPr>
            <w:tcW w:w="9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117,346</w:t>
            </w:r>
          </w:p>
        </w:tc>
        <w:tc>
          <w:tcPr>
            <w:tcW w:w="108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(Interactive Health Solutions, Inc.)</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Healthcare, Education and Childcare</w:t>
            </w:r>
          </w:p>
        </w:tc>
        <w:tc>
          <w:tcPr>
            <w:tcW w:w="6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94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(Convergint Technologies LLC)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Electronics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5,556</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1,918,346</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HW Topco, Inc.</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386,770</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2,697,835</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Kadmon Holdings, LLC, Class A</w:t>
            </w:r>
          </w:p>
        </w:tc>
        <w:tc>
          <w:tcPr>
            <w:tcW w:w="9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1,079,920</w:t>
            </w:r>
          </w:p>
        </w:tc>
        <w:tc>
          <w:tcPr>
            <w:tcW w:w="3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1,236,832</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11,085,403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tcPr>
          <w:p>
            <w:pPr>
              <w:spacing w:after="0" w:line="149" w:lineRule="exact"/>
              <w:rPr>
                <w:sz w:val="20"/>
                <w:szCs w:val="20"/>
                <w:color w:val="auto"/>
              </w:rPr>
            </w:pPr>
            <w:r>
              <w:rPr>
                <w:rFonts w:ascii="Arial" w:cs="Arial" w:eastAsia="Arial" w:hAnsi="Arial"/>
                <w:sz w:val="14"/>
                <w:szCs w:val="14"/>
                <w:color w:val="auto"/>
              </w:rPr>
              <w:t>Kadmon Holdings, LLC, Class D</w:t>
            </w:r>
          </w:p>
        </w:tc>
        <w:tc>
          <w:tcPr>
            <w:tcW w:w="9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Healthcare, Education and Childcare</w:t>
            </w:r>
          </w:p>
        </w:tc>
        <w:tc>
          <w:tcPr>
            <w:tcW w:w="1180" w:type="dxa"/>
            <w:vAlign w:val="bottom"/>
            <w:gridSpan w:val="2"/>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1,079,920</w:t>
            </w:r>
          </w:p>
        </w:tc>
        <w:tc>
          <w:tcPr>
            <w:tcW w:w="3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1,028,807</w:t>
            </w:r>
          </w:p>
        </w:tc>
        <w:tc>
          <w:tcPr>
            <w:tcW w:w="10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1"/>
              </w:rPr>
              <w:t>04/27/2020</w:t>
            </w:r>
          </w:p>
        </w:tc>
        <w:tc>
          <w:tcPr>
            <w:tcW w:w="230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1180" w:type="dxa"/>
            <w:vAlign w:val="bottom"/>
            <w:gridSpan w:val="2"/>
            <w:shd w:val="clear" w:color="auto" w:fill="CCEEFF"/>
          </w:tcPr>
          <w:p>
            <w:pPr>
              <w:jc w:val="right"/>
              <w:ind w:right="48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6,649</w:t>
            </w: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779,920</w:t>
            </w:r>
          </w:p>
        </w:tc>
        <w:tc>
          <w:tcPr>
            <w:tcW w:w="10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gridSpan w:val="3"/>
          </w:tcPr>
          <w:p>
            <w:pPr>
              <w:spacing w:after="0" w:line="130" w:lineRule="exact"/>
              <w:rPr>
                <w:sz w:val="20"/>
                <w:szCs w:val="20"/>
                <w:color w:val="auto"/>
              </w:rPr>
            </w:pPr>
            <w:r>
              <w:rPr>
                <w:rFonts w:ascii="Arial" w:cs="Arial" w:eastAsia="Arial" w:hAnsi="Arial"/>
                <w:sz w:val="14"/>
                <w:szCs w:val="14"/>
                <w:color w:val="auto"/>
                <w:w w:val="99"/>
              </w:rPr>
              <w:t>Magnum Hunter Resources Corporation (Eureka</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right"/>
              <w:ind w:right="48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rPr>
              <w:t>1,221,932</w:t>
            </w:r>
          </w:p>
        </w:tc>
        <w:tc>
          <w:tcPr>
            <w:tcW w:w="320" w:type="dxa"/>
            <w:vAlign w:val="bottom"/>
          </w:tcPr>
          <w:p>
            <w:pPr>
              <w:spacing w:after="0"/>
              <w:rPr>
                <w:sz w:val="11"/>
                <w:szCs w:val="11"/>
                <w:color w:val="auto"/>
              </w:rPr>
            </w:pPr>
          </w:p>
        </w:tc>
        <w:tc>
          <w:tcPr>
            <w:tcW w:w="94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3,057,500</w:t>
            </w:r>
          </w:p>
        </w:tc>
        <w:tc>
          <w:tcPr>
            <w:tcW w:w="1080" w:type="dxa"/>
            <w:vAlign w:val="bottom"/>
            <w:gridSpan w:val="3"/>
          </w:tcPr>
          <w:p>
            <w:pPr>
              <w:jc w:val="right"/>
              <w:ind w:right="140"/>
              <w:spacing w:after="0" w:line="130" w:lineRule="exact"/>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gridSpan w:val="3"/>
          </w:tcPr>
          <w:p>
            <w:pPr>
              <w:ind w:left="140"/>
              <w:spacing w:after="0"/>
              <w:rPr>
                <w:sz w:val="20"/>
                <w:szCs w:val="20"/>
                <w:color w:val="auto"/>
              </w:rPr>
            </w:pPr>
            <w:r>
              <w:rPr>
                <w:rFonts w:ascii="Arial" w:cs="Arial" w:eastAsia="Arial" w:hAnsi="Arial"/>
                <w:sz w:val="14"/>
                <w:szCs w:val="14"/>
                <w:color w:val="auto"/>
              </w:rPr>
              <w:t>Hunter Pipeline, LLC)</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Oil and Gas</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Current</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Spread</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Par /</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Maturity</w:t>
            </w: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Industry</w:t>
            </w:r>
          </w:p>
        </w:tc>
        <w:tc>
          <w:tcPr>
            <w:tcW w:w="1080" w:type="dxa"/>
            <w:vAlign w:val="bottom"/>
            <w:gridSpan w:val="2"/>
            <w:vMerge w:val="continue"/>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Above</w:t>
            </w:r>
          </w:p>
        </w:tc>
        <w:tc>
          <w:tcPr>
            <w:tcW w:w="1020" w:type="dxa"/>
            <w:vAlign w:val="bottom"/>
            <w:gridSpan w:val="2"/>
            <w:vMerge w:val="continue"/>
          </w:tcPr>
          <w:p>
            <w:pPr>
              <w:spacing w:after="0"/>
              <w:rPr>
                <w:sz w:val="12"/>
                <w:szCs w:val="12"/>
                <w:color w:val="auto"/>
              </w:rPr>
            </w:pPr>
          </w:p>
        </w:tc>
        <w:tc>
          <w:tcPr>
            <w:tcW w:w="8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920" w:type="dxa"/>
            <w:vAlign w:val="bottom"/>
            <w:gridSpan w:val="3"/>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Coupon</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Index</w:t>
            </w:r>
            <w:r>
              <w:rPr>
                <w:rFonts w:ascii="Arial" w:cs="Arial" w:eastAsia="Arial" w:hAnsi="Arial"/>
                <w:sz w:val="12"/>
                <w:szCs w:val="12"/>
                <w:b w:val="1"/>
                <w:bCs w:val="1"/>
                <w:color w:val="auto"/>
                <w:w w:val="93"/>
              </w:rPr>
              <w:t>(4)</w:t>
            </w: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390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Magnum Hunter Resources Corporation (Warrants)</w:t>
            </w:r>
          </w:p>
        </w:tc>
        <w:tc>
          <w:tcPr>
            <w:tcW w:w="7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2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(Eureka Hunter Pipeline, LLC)</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w w:val="96"/>
              </w:rPr>
              <w:t>10/14/2013</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122,193</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105,697</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(Warrants)</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tcPr>
          <w:p>
            <w:pPr>
              <w:ind w:left="140"/>
              <w:spacing w:after="0"/>
              <w:rPr>
                <w:sz w:val="20"/>
                <w:szCs w:val="20"/>
                <w:color w:val="auto"/>
              </w:rPr>
            </w:pPr>
            <w:r>
              <w:rPr>
                <w:rFonts w:ascii="Arial" w:cs="Arial" w:eastAsia="Arial" w:hAnsi="Arial"/>
                <w:sz w:val="14"/>
                <w:szCs w:val="14"/>
                <w:color w:val="auto"/>
              </w:rPr>
              <w:t>(Eureka Hunter Pipeline, LLC)</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w w:val="96"/>
              </w:rPr>
              <w:t>04/16/2016</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122,193</w:t>
            </w:r>
          </w:p>
        </w:tc>
        <w:tc>
          <w:tcPr>
            <w:tcW w:w="820" w:type="dxa"/>
            <w:vAlign w:val="bottom"/>
          </w:tcPr>
          <w:p>
            <w:pPr>
              <w:jc w:val="right"/>
              <w:spacing w:after="0"/>
              <w:rPr>
                <w:sz w:val="20"/>
                <w:szCs w:val="20"/>
                <w:color w:val="auto"/>
              </w:rPr>
            </w:pPr>
            <w:r>
              <w:rPr>
                <w:rFonts w:ascii="Arial" w:cs="Arial" w:eastAsia="Arial" w:hAnsi="Arial"/>
                <w:sz w:val="14"/>
                <w:szCs w:val="14"/>
                <w:color w:val="auto"/>
              </w:rPr>
              <w:t>182,499</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(JF Acquisition, LLC)</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7"/>
              </w:rPr>
              <w:t>Distribution</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1,850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1,850,294</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MidOcean PPL Holdings, Corp.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Personal, Food and</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(Pre-Paid Legal Services, Inc.)</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Miscellaneous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Services</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3,000</w:t>
            </w: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Healthcare,</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Education</w:t>
            </w: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2"/>
              </w:rPr>
              <w:t>and Childcare</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20,000</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QMG HoldCo, LLC, Class A</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tcPr>
          <w:p>
            <w:pPr>
              <w:ind w:left="140"/>
              <w:spacing w:after="0"/>
              <w:rPr>
                <w:sz w:val="20"/>
                <w:szCs w:val="20"/>
                <w:color w:val="auto"/>
              </w:rPr>
            </w:pPr>
            <w:r>
              <w:rPr>
                <w:rFonts w:ascii="Arial" w:cs="Arial" w:eastAsia="Arial" w:hAnsi="Arial"/>
                <w:sz w:val="14"/>
                <w:szCs w:val="14"/>
                <w:color w:val="auto"/>
              </w:rPr>
              <w:t>(Questex Media Group, LLC)</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Other Media</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4,325</w:t>
            </w:r>
          </w:p>
        </w:tc>
        <w:tc>
          <w:tcPr>
            <w:tcW w:w="820" w:type="dxa"/>
            <w:vAlign w:val="bottom"/>
          </w:tcPr>
          <w:p>
            <w:pPr>
              <w:jc w:val="right"/>
              <w:spacing w:after="0"/>
              <w:rPr>
                <w:sz w:val="20"/>
                <w:szCs w:val="20"/>
                <w:color w:val="auto"/>
              </w:rPr>
            </w:pPr>
            <w:r>
              <w:rPr>
                <w:rFonts w:ascii="Arial" w:cs="Arial" w:eastAsia="Arial" w:hAnsi="Arial"/>
                <w:sz w:val="14"/>
                <w:szCs w:val="14"/>
                <w:color w:val="auto"/>
              </w:rPr>
              <w:t>1,306,167</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B</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(Questex Media Group, LLC)</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3"/>
              </w:rPr>
              <w:t>Other Media</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32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3"/>
              </w:rPr>
              <w:t>Chemical, Plastic</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(LTI Flexible Products, Inc.)</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and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Rubber</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300,000</w:t>
            </w: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12/29/2019</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3,500</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Transportation 100 Holdco, L.L.C.</w:t>
            </w:r>
            <w:r>
              <w:rPr>
                <w:rFonts w:ascii="Arial" w:cs="Arial" w:eastAsia="Arial" w:hAnsi="Arial"/>
                <w:sz w:val="12"/>
                <w:szCs w:val="12"/>
                <w:color w:val="auto"/>
              </w:rPr>
              <w:t>(13)</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00" w:type="dxa"/>
            <w:vAlign w:val="bottom"/>
            <w:gridSpan w:val="2"/>
          </w:tcPr>
          <w:p>
            <w:pPr>
              <w:ind w:left="140"/>
              <w:spacing w:after="0"/>
              <w:rPr>
                <w:sz w:val="20"/>
                <w:szCs w:val="20"/>
                <w:color w:val="auto"/>
              </w:rPr>
            </w:pPr>
            <w:r>
              <w:rPr>
                <w:rFonts w:ascii="Arial" w:cs="Arial" w:eastAsia="Arial" w:hAnsi="Arial"/>
                <w:sz w:val="14"/>
                <w:szCs w:val="14"/>
                <w:color w:val="auto"/>
              </w:rPr>
              <w:t>(Intermediate Transportation 100, L.L.C.)</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137,923</w:t>
            </w:r>
          </w:p>
        </w:tc>
        <w:tc>
          <w:tcPr>
            <w:tcW w:w="820" w:type="dxa"/>
            <w:vAlign w:val="bottom"/>
          </w:tcPr>
          <w:p>
            <w:pPr>
              <w:jc w:val="right"/>
              <w:spacing w:after="0"/>
              <w:rPr>
                <w:sz w:val="20"/>
                <w:szCs w:val="20"/>
                <w:color w:val="auto"/>
              </w:rPr>
            </w:pPr>
            <w:r>
              <w:rPr>
                <w:rFonts w:ascii="Arial" w:cs="Arial" w:eastAsia="Arial" w:hAnsi="Arial"/>
                <w:sz w:val="14"/>
                <w:szCs w:val="14"/>
                <w:color w:val="auto"/>
              </w:rPr>
              <w:t>2,111,588</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9,567</w:t>
            </w: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Vestcom Parent Holdings, Inc. (Vestcom International,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6"/>
              </w:rPr>
              <w:t>Printing and</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Publishing</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211,797</w:t>
            </w:r>
          </w:p>
        </w:tc>
        <w:tc>
          <w:tcPr>
            <w:tcW w:w="820" w:type="dxa"/>
            <w:vAlign w:val="bottom"/>
          </w:tcPr>
          <w:p>
            <w:pPr>
              <w:jc w:val="right"/>
              <w:spacing w:after="0"/>
              <w:rPr>
                <w:sz w:val="20"/>
                <w:szCs w:val="20"/>
                <w:color w:val="auto"/>
              </w:rPr>
            </w:pPr>
            <w:r>
              <w:rPr>
                <w:rFonts w:ascii="Arial" w:cs="Arial" w:eastAsia="Arial" w:hAnsi="Arial"/>
                <w:sz w:val="14"/>
                <w:szCs w:val="14"/>
                <w:color w:val="auto"/>
              </w:rPr>
              <w:t>2,325,555</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VRide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6"/>
              </w:rPr>
              <w:t>Personal</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3"/>
              </w:rPr>
              <w:t>Transportation</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9,166</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9,166</w:t>
            </w: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35,526</w:t>
            </w: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5,966,074</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37,557,162</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63"/>
        </w:trPr>
        <w:tc>
          <w:tcPr>
            <w:tcW w:w="49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928,078,589</w:t>
            </w:r>
          </w:p>
        </w:tc>
        <w:tc>
          <w:tcPr>
            <w:tcW w:w="2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968,471,042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8"/>
              </w:rPr>
              <w:t>Investments in Non-Controlled, Affiliated Portfolio Companies—11.0%</w:t>
            </w:r>
            <w:r>
              <w:rPr>
                <w:rFonts w:ascii="Arial" w:cs="Arial" w:eastAsia="Arial" w:hAnsi="Arial"/>
                <w:sz w:val="12"/>
                <w:szCs w:val="12"/>
                <w:b w:val="1"/>
                <w:bCs w:val="1"/>
                <w:color w:val="auto"/>
                <w:w w:val="98"/>
              </w:rPr>
              <w:t>(1), (2)</w:t>
            </w: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360"/>
              <w:spacing w:after="0" w:line="130" w:lineRule="exact"/>
              <w:rPr>
                <w:sz w:val="20"/>
                <w:szCs w:val="20"/>
                <w:color w:val="auto"/>
              </w:rPr>
            </w:pPr>
            <w:r>
              <w:rPr>
                <w:rFonts w:ascii="Arial" w:cs="Arial" w:eastAsia="Arial" w:hAnsi="Arial"/>
                <w:sz w:val="14"/>
                <w:szCs w:val="14"/>
                <w:color w:val="auto"/>
              </w:rPr>
              <w:t>12.00%</w:t>
            </w: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11/05/2019</w:t>
            </w:r>
          </w:p>
        </w:tc>
        <w:tc>
          <w:tcPr>
            <w:tcW w:w="3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(PIK 12.00%)</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11,428,224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11,428,224</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  11,428,224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340" w:type="dxa"/>
            <w:vAlign w:val="bottom"/>
          </w:tcPr>
          <w:p>
            <w:pPr>
              <w:spacing w:after="0"/>
              <w:rPr>
                <w:sz w:val="13"/>
                <w:szCs w:val="13"/>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12.50%</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28,000,000</w:t>
            </w:r>
          </w:p>
        </w:tc>
        <w:tc>
          <w:tcPr>
            <w:tcW w:w="32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38,902,937</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3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 – 0.2%</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Aerospace</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0"/>
              </w:rPr>
              <w:t>and Defense</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53,071</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20,059,340</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56"/>
        </w:trPr>
        <w:tc>
          <w:tcPr>
            <w:tcW w:w="39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Equity/Partnership Interest—5.1%</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10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104,719</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4"/>
              </w:rPr>
              <w:t>11/05/2022</w:t>
            </w: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15,486</w:t>
            </w: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w:t>
            </w: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89"/>
              </w:rPr>
              <w:t>Services</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142,684</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11,891,822</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 L.P.</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6"/>
              </w:rPr>
              <w:t>Leisure,</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Amusement,</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Motion Pictures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and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Entertainment</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375,000</w:t>
            </w:r>
          </w:p>
        </w:tc>
        <w:tc>
          <w:tcPr>
            <w:tcW w:w="820" w:type="dxa"/>
            <w:vAlign w:val="bottom"/>
          </w:tcPr>
          <w:p>
            <w:pPr>
              <w:jc w:val="right"/>
              <w:spacing w:after="0"/>
              <w:rPr>
                <w:sz w:val="20"/>
                <w:szCs w:val="20"/>
                <w:color w:val="auto"/>
              </w:rPr>
            </w:pPr>
            <w:r>
              <w:rPr>
                <w:rFonts w:ascii="Arial" w:cs="Arial" w:eastAsia="Arial" w:hAnsi="Arial"/>
                <w:sz w:val="14"/>
                <w:szCs w:val="14"/>
                <w:color w:val="auto"/>
              </w:rPr>
              <w:t>3,750,000</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10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16,800</w:t>
            </w: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2,721,600</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00" w:type="dxa"/>
            <w:vAlign w:val="bottom"/>
            <w:gridSpan w:val="2"/>
          </w:tcPr>
          <w:p>
            <w:pPr>
              <w:spacing w:after="0" w:line="130" w:lineRule="exact"/>
              <w:rPr>
                <w:sz w:val="20"/>
                <w:szCs w:val="20"/>
                <w:color w:val="auto"/>
              </w:rPr>
            </w:pPr>
            <w:r>
              <w:rPr>
                <w:rFonts w:ascii="Arial" w:cs="Arial" w:eastAsia="Arial" w:hAnsi="Arial"/>
                <w:sz w:val="14"/>
                <w:szCs w:val="14"/>
                <w:color w:val="auto"/>
              </w:rPr>
              <w:t>PAS International Holdings, Inc.</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89"/>
              </w:rPr>
              <w:t>Aerospace and</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0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Defense</w:t>
            </w:r>
          </w:p>
        </w:tc>
        <w:tc>
          <w:tcPr>
            <w:tcW w:w="108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rPr>
              <w:t>53,071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202,620</w:t>
            </w:r>
          </w:p>
        </w:tc>
        <w:tc>
          <w:tcPr>
            <w:tcW w:w="240" w:type="dxa"/>
            <w:vAlign w:val="bottom"/>
          </w:tcPr>
          <w:p>
            <w:pPr>
              <w:spacing w:after="0"/>
              <w:rPr>
                <w:sz w:val="15"/>
                <w:szCs w:val="15"/>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12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35,365,237</w:t>
            </w:r>
          </w:p>
        </w:tc>
        <w:tc>
          <w:tcPr>
            <w:tcW w:w="0" w:type="dxa"/>
            <w:vAlign w:val="bottom"/>
          </w:tcPr>
          <w:p>
            <w:pPr>
              <w:spacing w:after="0"/>
              <w:rPr>
                <w:sz w:val="1"/>
                <w:szCs w:val="1"/>
                <w:color w:val="auto"/>
              </w:rPr>
            </w:pPr>
          </w:p>
        </w:tc>
      </w:tr>
      <w:tr>
        <w:trPr>
          <w:trHeight w:val="156"/>
        </w:trPr>
        <w:tc>
          <w:tcPr>
            <w:tcW w:w="49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99,021,141</w:t>
            </w:r>
          </w:p>
        </w:tc>
        <w:tc>
          <w:tcPr>
            <w:tcW w:w="2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76,735,800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Basis Point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Spread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 /</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Maturity</w:t>
            </w:r>
          </w:p>
        </w:tc>
        <w:tc>
          <w:tcPr>
            <w:tcW w:w="7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Above</w:t>
            </w: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2"/>
                <w:szCs w:val="12"/>
                <w:color w:val="auto"/>
              </w:rPr>
            </w:pPr>
          </w:p>
        </w:tc>
        <w:tc>
          <w:tcPr>
            <w:tcW w:w="10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Index</w:t>
            </w:r>
            <w:r>
              <w:rPr>
                <w:rFonts w:ascii="Arial" w:cs="Arial" w:eastAsia="Arial" w:hAnsi="Arial"/>
                <w:sz w:val="12"/>
                <w:szCs w:val="12"/>
                <w:b w:val="1"/>
                <w:bCs w:val="1"/>
                <w:color w:val="auto"/>
                <w:w w:val="97"/>
              </w:rPr>
              <w:t>(4)</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36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5"/>
              </w:rPr>
              <w:t>in Controlled, Affiliated Portfolio Companies—4.7%</w:t>
            </w:r>
            <w:r>
              <w:rPr>
                <w:rFonts w:ascii="Arial" w:cs="Arial" w:eastAsia="Arial" w:hAnsi="Arial"/>
                <w:sz w:val="12"/>
                <w:szCs w:val="12"/>
                <w:b w:val="1"/>
                <w:bCs w:val="1"/>
                <w:color w:val="auto"/>
                <w:w w:val="95"/>
              </w:rPr>
              <w:t>(1),(2)</w:t>
            </w:r>
          </w:p>
        </w:tc>
        <w:tc>
          <w:tcPr>
            <w:tcW w:w="7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7"/>
              </w:rPr>
              <w:t>Business</w:t>
            </w: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06/30/2020</w:t>
            </w:r>
          </w:p>
        </w:tc>
        <w:tc>
          <w:tcPr>
            <w:tcW w:w="3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Services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9,250,000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9,250,000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9,556,385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LLC</w:t>
            </w:r>
            <w:r>
              <w:rPr>
                <w:rFonts w:ascii="Arial" w:cs="Arial" w:eastAsia="Arial" w:hAnsi="Arial"/>
                <w:sz w:val="12"/>
                <w:szCs w:val="12"/>
                <w:color w:val="auto"/>
              </w:rPr>
              <w:t>(9)</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Oil and</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4"/>
              </w:rPr>
              <w:t>12/31/2015</w:t>
            </w:r>
          </w:p>
        </w:tc>
        <w:tc>
          <w:tcPr>
            <w:tcW w:w="32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Gas</w:t>
            </w: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1,916,667</w:t>
            </w: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1,787,941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1,916,667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11,037,941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Universal Pegasus International,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4"/>
                <w:szCs w:val="14"/>
                <w:color w:val="auto"/>
                <w:w w:val="94"/>
              </w:rPr>
              <w:t>Oil and</w:t>
            </w:r>
          </w:p>
        </w:tc>
        <w:tc>
          <w:tcPr>
            <w:tcW w:w="116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4"/>
                <w:szCs w:val="14"/>
                <w:color w:val="auto"/>
              </w:rPr>
              <w:t>15.00%</w:t>
            </w: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12/31/2015</w:t>
            </w:r>
          </w:p>
        </w:tc>
        <w:tc>
          <w:tcPr>
            <w:tcW w:w="3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85"/>
              </w:rPr>
              <w:t>Gas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8"/>
              </w:rPr>
              <w:t>(PIK 15.00%)</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16,615,645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14,709,502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16,449,489</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7"/>
              </w:rPr>
              <w:t>Business</w:t>
            </w: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06/30/2020</w:t>
            </w:r>
          </w:p>
        </w:tc>
        <w:tc>
          <w:tcPr>
            <w:tcW w:w="3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Services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2,250,000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2,250,000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1,961,667</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7"/>
              </w:rPr>
              <w:t>Business</w:t>
            </w: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Services</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14.00%</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1,981,948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Holdings, Inc. (Universal Pegasus</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Oil and</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gridSpan w:val="2"/>
          </w:tcPr>
          <w:p>
            <w:pPr>
              <w:ind w:left="140"/>
              <w:spacing w:after="0"/>
              <w:rPr>
                <w:sz w:val="20"/>
                <w:szCs w:val="20"/>
                <w:color w:val="auto"/>
              </w:rPr>
            </w:pPr>
            <w:r>
              <w:rPr>
                <w:rFonts w:ascii="Arial" w:cs="Arial" w:eastAsia="Arial" w:hAnsi="Arial"/>
                <w:sz w:val="14"/>
                <w:szCs w:val="14"/>
                <w:color w:val="auto"/>
              </w:rPr>
              <w:t>International, LLC)</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color w:val="auto"/>
                <w:w w:val="85"/>
              </w:rPr>
              <w:t>Gas</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376,988</w:t>
            </w:r>
          </w:p>
        </w:tc>
        <w:tc>
          <w:tcPr>
            <w:tcW w:w="1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34,420,612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1,102,555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36,420,612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3,084,503</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14"/>
                <w:szCs w:val="14"/>
                <w:color w:val="auto"/>
              </w:rPr>
              <w:t>%</w:t>
            </w:r>
            <w:r>
              <w:rPr>
                <w:rFonts w:ascii="Arial" w:cs="Arial" w:eastAsia="Arial" w:hAnsi="Arial"/>
                <w:sz w:val="12"/>
                <w:szCs w:val="12"/>
                <w:color w:val="auto"/>
              </w:rPr>
              <w:t>(6)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3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87"/>
              </w:rPr>
              <w:t>Business</w:t>
            </w:r>
          </w:p>
        </w:tc>
        <w:tc>
          <w:tcPr>
            <w:tcW w:w="6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3"/>
              </w:rPr>
              <w:t>Services</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1,091,517,885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6"/>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2,667,511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2,446,232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2,446,232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53,327,086</w:t>
            </w:r>
          </w:p>
        </w:tc>
        <w:tc>
          <w:tcPr>
            <w:tcW w:w="0" w:type="dxa"/>
            <w:vAlign w:val="bottom"/>
          </w:tcPr>
          <w:p>
            <w:pPr>
              <w:spacing w:after="0"/>
              <w:rPr>
                <w:sz w:val="1"/>
                <w:szCs w:val="1"/>
                <w:color w:val="auto"/>
              </w:rPr>
            </w:pPr>
          </w:p>
        </w:tc>
      </w:tr>
      <w:tr>
        <w:trPr>
          <w:trHeight w:val="163"/>
        </w:trPr>
        <w:tc>
          <w:tcPr>
            <w:tcW w:w="43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Equivalents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Equivalents—163.0%</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$ 1,149,958,714</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697,506,199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0" w:hanging="332"/>
        <w:spacing w:after="0" w:line="248"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193" w:lineRule="exact"/>
        <w:rPr>
          <w:sz w:val="20"/>
          <w:szCs w:val="20"/>
          <w:color w:val="auto"/>
        </w:rPr>
      </w:pPr>
    </w:p>
    <w:p>
      <w:pPr>
        <w:ind w:right="340" w:firstLine="456"/>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certain portfolio companies organized as pass-through entities while continuing to satisfy the requirements of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due to changes in the economic and regulatory environment, financial markets and any other parameters used in determining such estimates and assumptions.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6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00" w:right="274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Article 6-09 of Regulation S-X, we have provided a Consolidated Statement of Changes in Net Assets in lieu of a Consolidated Statement of Changes in Stockholders’ Equity.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1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580" w:hanging="446"/>
        <w:spacing w:after="0" w:line="279"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900" w:right="200" w:hanging="446"/>
        <w:spacing w:after="0" w:line="286"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3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by a principal market maker or</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S-71</w:t>
      </w:r>
    </w:p>
    <w:p>
      <w:pPr>
        <w:sectPr>
          <w:pgSz w:w="11900" w:h="16838" w:orient="portrait"/>
          <w:cols w:equalWidth="0" w:num="1">
            <w:col w:w="11360"/>
          </w:cols>
          <w:pgMar w:left="240" w:top="459" w:right="2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Security Transactions, Revenue Recognition, and Realized/Unrealized Gains or Losses</w:t>
      </w:r>
    </w:p>
    <w:p>
      <w:pPr>
        <w:spacing w:after="0" w:line="117"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2025 Notes during the reporting period, including any reversal of previously recorded unrealized appreciation or depreciation, when gains or losses are realized.</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on liabilities which we do not fair value, and then accreted or amortized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on our income as a RIC, we may elect to retain a portion of our calendar year income. As a result, for both the three and nine months ended June 30, 2014, we accrued estimated taxes of less than $0.1 million. For the three and nine months ended June 30, 2013, we accrued a tax expense (benefit) of less than $0.1 million and $(0.1) million, respectively.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40" w:right="270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2010 remain subject to examination by the Internal Revenue Service.</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480" w:hanging="244"/>
        <w:spacing w:after="0"/>
        <w:tabs>
          <w:tab w:leader="none" w:pos="48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Currency Translation</w:t>
      </w:r>
    </w:p>
    <w:p>
      <w:pPr>
        <w:spacing w:after="0" w:line="117"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Our books and records are maintained in U.S. dollars. Any foreign currency amounts are translated into U.S. dollars on the following basis:</w:t>
      </w:r>
    </w:p>
    <w:p>
      <w:pPr>
        <w:spacing w:after="0" w:line="142" w:lineRule="exact"/>
        <w:rPr>
          <w:rFonts w:ascii="Arial" w:cs="Arial" w:eastAsia="Arial" w:hAnsi="Arial"/>
          <w:sz w:val="18"/>
          <w:szCs w:val="18"/>
          <w:b w:val="1"/>
          <w:bCs w:val="1"/>
          <w:i w:val="1"/>
          <w:iCs w:val="1"/>
          <w:color w:val="auto"/>
        </w:rPr>
      </w:pPr>
    </w:p>
    <w:p>
      <w:pPr>
        <w:ind w:left="1480" w:hanging="567"/>
        <w:spacing w:after="0"/>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Fair value of investment securities, other assets and liabilities – at the exchange rates prevailing at the end of the applicable period; and</w:t>
      </w:r>
    </w:p>
    <w:p>
      <w:pPr>
        <w:spacing w:after="0" w:line="153" w:lineRule="exact"/>
        <w:rPr>
          <w:rFonts w:ascii="Arial" w:cs="Arial" w:eastAsia="Arial" w:hAnsi="Arial"/>
          <w:sz w:val="16"/>
          <w:szCs w:val="16"/>
          <w:color w:val="auto"/>
        </w:rPr>
      </w:pPr>
    </w:p>
    <w:p>
      <w:pPr>
        <w:ind w:left="1480" w:right="340" w:hanging="567"/>
        <w:spacing w:after="0" w:line="277"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Purchases and sales of investment securities, income and expenses – at the exchange rates prevailing on the respective dates of such transactions.</w:t>
      </w:r>
    </w:p>
    <w:p>
      <w:pPr>
        <w:spacing w:after="0" w:line="170"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S-73</w:t>
      </w:r>
    </w:p>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 Consolidation</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 Recent Accounting Pronouncements</w:t>
      </w:r>
    </w:p>
    <w:p>
      <w:pPr>
        <w:spacing w:after="0" w:line="11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In June 2013, the Financial Accounting Standards Board (“FASB”) issued Accounting Standards Update 2013-08, Financial Services—Investment Companies (Topic 946): Amendments to the Scope, Measurement, and Disclosure Requirements (“ASU 2013-08”). ASU 2013-08 provides an approach to assess whether a company is an investment company, clarifies the characteristics of an investment company, and provides new measurement and disclosure requirements. ASU 2013-08 is effective for interim and annual reporting periods in fiscal years that begin after December 15, 2013. Earlier application is prohibited. We are currently evaluating ASU 2013-08 to determine the effect, if any, on our Consolidated Financial Statements and disclosures.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9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2014, the Investment Adviser earned base management fees of $6.1 million and $17.9 million, respectively, from us. For the three and nine months ended June 30, 2013, the Investment Adviser earned base management fees of $5.4 million and $15.9 million, respectively, from us.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One part is calculated and payable quarterly in arrears based on our Pre-Incentive Fee Net Investment Income for the immediately preceding calendar quarter. For this purpose, Pre-Incentive Fee Net Investment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on investments,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three and nine months ended June 30, 2014, the Investment Adviser earned an incentive fee on net investment income as calculated under the Investment Management Agreement of $3.7 million and $13.2 million, respectively, from us. For the three and nine months ended June 30, 2013, the Investment Adviser earned an incentive fee on net investment income as calculated under the Investment Management Agreement of $4.4 million and $12.5 million, respectively, from us.</w:t>
      </w:r>
    </w:p>
    <w:p>
      <w:pPr>
        <w:spacing w:after="0" w:line="17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on investments,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2014 and 2013, the Investment Adviser did not earn an incentive fee on capital gains as calculated under the Investment Management Agreement (as described above).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and nine months ended June 30, 2014, the Investment Adviser accrued an incentive fee on unrealized and realized capital gains as calculated under GAAP of $1.7 million. For each of the three and nine months ended June 30, 2013, the Investment Adviser did not accrue an incentive fee on capital gains as calculated under GAAP.</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2014.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three and nine months ended June 30, 2014, the Investment Adviser was reimbursed $0.6 million and $2.7 million, respectively, from us, including expenses incurred on behalf of the Administrator, for the services described above. For the three and nine months ended June 30, 2013, the Investment Adviser was reimbursed $0.5 million and $2.5 million, respectively, from us, including expenses incurred on behalf of the Administrator, for the services described above.</w:t>
      </w:r>
    </w:p>
    <w:p>
      <w:pPr>
        <w:spacing w:after="0" w:line="18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three and nine months ended June 30, 2014, PennantPark Investment was reimbursed $0.1 million and $0.4 million, respectively, for the services described above. For the three and nine months ended June 30, 2013, PennantPark Investment was reimbursed $0.1 million and $0.3 million, respectively, for the services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Purchases of investments, including PIK, for the three and nine months ended June 30, 2014 totaled $193.7 million and $568.4 million, respectively. For the same periods in the prior year, purchases of investments, including PIK, totaled $76.6 million and $326.8 million, respectively. Sales and repayments of investments for the three and nine months ended June 30, 2014 totaled $273.6 million and $534.4 million, respectively. For the same periods in the prior year, sales and repayments of investments totaled $117.8 million and $271.2 million, respectively.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480" w:right="256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and cash equivalents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2014</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6"/>
          </w:tcPr>
          <w:p>
            <w:pPr>
              <w:ind w:left="7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2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297,962,276</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310,190,839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475,288,084</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486,110,731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346,717,448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357,543,217</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276,156,571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282,432,876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311,240,637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302,447,308</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35,018,951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15,807,778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65,943,244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12,830,669</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89,994,935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103,865,331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77,616,126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105,838,068</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1,174,420,817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1,198,407,555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1,091,517,885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1,078,175,553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64,349,609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64,390,787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58,440,829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58,440,829</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1,238,770,426</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1,262,798,342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1,149,958,714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1,136,616,382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394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27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June 30, 2014</w:t>
            </w: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2013</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540" w:type="dxa"/>
            <w:vAlign w:val="bottom"/>
            <w:vMerge w:val="restart"/>
            <w:shd w:val="clear" w:color="auto" w:fill="CCEEFF"/>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6"/>
              </w:rPr>
              <w:t>Consumer Products</w:t>
            </w:r>
          </w:p>
        </w:tc>
        <w:tc>
          <w:tcPr>
            <w:tcW w:w="254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5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Personal, Food and Miscellaneous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Buildings Materials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and Real Estate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Hotels, Motels, Inns and Gaming</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Diversified Natural Resources, Precious Metals and</w:t>
            </w:r>
          </w:p>
        </w:tc>
        <w:tc>
          <w:tcPr>
            <w:tcW w:w="1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Minerals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Energy/Utilities</w:t>
            </w:r>
          </w:p>
        </w:tc>
        <w:tc>
          <w:tcPr>
            <w:tcW w:w="1200" w:type="dxa"/>
            <w:vAlign w:val="bottom"/>
          </w:tcPr>
          <w:p>
            <w:pPr>
              <w:spacing w:after="0"/>
              <w:rPr>
                <w:sz w:val="18"/>
                <w:szCs w:val="18"/>
                <w:color w:val="auto"/>
              </w:rPr>
            </w:pPr>
          </w:p>
        </w:tc>
        <w:tc>
          <w:tcPr>
            <w:tcW w:w="15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9"/>
                <w:szCs w:val="19"/>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60" w:type="dxa"/>
            <w:vAlign w:val="bottom"/>
            <w:gridSpan w:val="3"/>
          </w:tcPr>
          <w:p>
            <w:pPr>
              <w:jc w:val="right"/>
              <w:ind w:right="2200"/>
              <w:spacing w:after="0"/>
              <w:rPr>
                <w:sz w:val="20"/>
                <w:szCs w:val="20"/>
                <w:color w:val="auto"/>
              </w:rPr>
            </w:pPr>
            <w:r>
              <w:rPr>
                <w:rFonts w:ascii="Arial" w:cs="Arial" w:eastAsia="Arial" w:hAnsi="Arial"/>
                <w:sz w:val="18"/>
                <w:szCs w:val="18"/>
                <w:color w:val="auto"/>
              </w:rPr>
              <w:t>S-77</w:t>
            </w: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20" w:right="520" w:hanging="1160"/>
        <w:spacing w:after="0" w:line="277" w:lineRule="auto"/>
        <w:tabs>
          <w:tab w:leader="none" w:pos="16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-293370</wp:posOffset>
            </wp:positionV>
            <wp:extent cx="666369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110" w:lineRule="exact"/>
        <w:rPr>
          <w:sz w:val="20"/>
          <w:szCs w:val="20"/>
          <w:color w:val="auto"/>
        </w:rPr>
      </w:pPr>
    </w:p>
    <w:p>
      <w:pPr>
        <w:ind w:left="1620" w:right="800" w:hanging="1160"/>
        <w:spacing w:after="0" w:line="264" w:lineRule="auto"/>
        <w:tabs>
          <w:tab w:leader="none" w:pos="16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1" w:lineRule="exact"/>
        <w:rPr>
          <w:sz w:val="20"/>
          <w:szCs w:val="20"/>
          <w:color w:val="auto"/>
        </w:rPr>
      </w:pPr>
    </w:p>
    <w:p>
      <w:pPr>
        <w:ind w:left="1620" w:right="1240" w:hanging="1160"/>
        <w:spacing w:after="0" w:line="277" w:lineRule="auto"/>
        <w:tabs>
          <w:tab w:leader="none" w:pos="16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-293370</wp:posOffset>
            </wp:positionV>
            <wp:extent cx="666369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63690" cy="274320"/>
                    </a:xfrm>
                    <a:prstGeom prst="rect">
                      <a:avLst/>
                    </a:prstGeom>
                    <a:noFill/>
                  </pic:spPr>
                </pic:pic>
              </a:graphicData>
            </a:graphic>
          </wp:anchor>
        </w:drawing>
      </w:r>
    </w:p>
    <w:p>
      <w:pPr>
        <w:spacing w:after="0" w:line="15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nine months ended June 30, 2014, our ability to observe valuation inputs has resulted in no reclassification of assets between any levels. This compares to the nine months ended June 30, 2013, which resulted in the reclassification of one asset from Level 3 to 2 and no other transfers between levels.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14"/>
                <w:szCs w:val="14"/>
                <w:color w:val="auto"/>
              </w:rPr>
            </w:pPr>
          </w:p>
        </w:tc>
        <w:tc>
          <w:tcPr>
            <w:tcW w:w="2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4"/>
                <w:szCs w:val="14"/>
                <w:color w:val="auto"/>
              </w:rPr>
            </w:pPr>
          </w:p>
        </w:tc>
        <w:tc>
          <w:tcPr>
            <w:tcW w:w="2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Unobservable 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0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4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379,984,051</w:t>
            </w:r>
          </w:p>
        </w:tc>
        <w:tc>
          <w:tcPr>
            <w:tcW w:w="18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jc w:val="center"/>
              <w:ind w:right="101"/>
              <w:spacing w:after="0"/>
              <w:rPr>
                <w:sz w:val="20"/>
                <w:szCs w:val="20"/>
                <w:color w:val="auto"/>
              </w:rPr>
            </w:pPr>
            <w:r>
              <w:rPr>
                <w:rFonts w:ascii="Arial" w:cs="Arial" w:eastAsia="Arial" w:hAnsi="Arial"/>
                <w:sz w:val="16"/>
                <w:szCs w:val="16"/>
                <w:color w:val="auto"/>
                <w:w w:val="92"/>
              </w:rPr>
              <w:t>Broker/Dealer bid quotes</w:t>
            </w:r>
          </w:p>
        </w:tc>
        <w:tc>
          <w:tcPr>
            <w:tcW w:w="280" w:type="dxa"/>
            <w:vAlign w:val="bottom"/>
            <w:vMerge w:val="continue"/>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650,956,240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rPr>
                <w:sz w:val="17"/>
                <w:szCs w:val="17"/>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color w:val="auto"/>
                <w:w w:val="94"/>
              </w:rPr>
              <w:t>Market Yield</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7.4% - 21.4% (13.1%)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12,912,799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2"/>
              </w:rPr>
              <w:t>Broker/Dealer bid quotes</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Equity investments</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106,482,931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3"/>
          </w:tcPr>
          <w:p>
            <w:pPr>
              <w:ind w:left="20"/>
              <w:spacing w:after="0"/>
              <w:rPr>
                <w:sz w:val="20"/>
                <w:szCs w:val="20"/>
                <w:color w:val="auto"/>
              </w:rPr>
            </w:pPr>
            <w:r>
              <w:rPr>
                <w:rFonts w:ascii="Arial" w:cs="Arial" w:eastAsia="Arial" w:hAnsi="Arial"/>
                <w:sz w:val="16"/>
                <w:szCs w:val="16"/>
                <w:color w:val="auto"/>
              </w:rPr>
              <w:t>Enterprise Market Value</w:t>
            </w:r>
          </w:p>
        </w:tc>
        <w:tc>
          <w:tcPr>
            <w:tcW w:w="120" w:type="dxa"/>
            <w:vAlign w:val="bottom"/>
          </w:tcPr>
          <w:p>
            <w:pPr>
              <w:spacing w:after="0"/>
              <w:rPr>
                <w:sz w:val="18"/>
                <w:szCs w:val="18"/>
                <w:color w:val="auto"/>
              </w:rPr>
            </w:pPr>
          </w:p>
        </w:tc>
        <w:tc>
          <w:tcPr>
            <w:tcW w:w="226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EBITDA multiple</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3.8x - 13.0x (8.5x)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Level 3 investments</w:t>
            </w:r>
          </w:p>
        </w:tc>
        <w:tc>
          <w:tcPr>
            <w:tcW w:w="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1,150,336,021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60" w:type="dxa"/>
            <w:vAlign w:val="bottom"/>
            <w:gridSpan w:val="3"/>
            <w:vMerge w:val="restart"/>
          </w:tcPr>
          <w:p>
            <w:pPr>
              <w:spacing w:after="0"/>
              <w:rPr>
                <w:sz w:val="20"/>
                <w:szCs w:val="20"/>
                <w:color w:val="auto"/>
              </w:rPr>
            </w:pPr>
            <w:r>
              <w:rPr>
                <w:rFonts w:ascii="Arial" w:cs="Arial" w:eastAsia="Arial" w:hAnsi="Arial"/>
                <w:sz w:val="16"/>
                <w:szCs w:val="16"/>
                <w:color w:val="auto"/>
              </w:rPr>
              <w:t>Long-Term Credit Facility</w:t>
            </w: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gridSpan w:val="3"/>
            <w:vMerge w:val="restart"/>
          </w:tcPr>
          <w:p>
            <w:pPr>
              <w:ind w:left="16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line="20" w:lineRule="exact"/>
              <w:rPr>
                <w:sz w:val="1"/>
                <w:szCs w:val="1"/>
                <w:color w:val="auto"/>
              </w:rPr>
            </w:pPr>
          </w:p>
        </w:tc>
        <w:tc>
          <w:tcPr>
            <w:tcW w:w="2260" w:type="dxa"/>
            <w:vAlign w:val="bottom"/>
            <w:gridSpan w:val="2"/>
            <w:vMerge w:val="restart"/>
          </w:tcPr>
          <w:p>
            <w:pPr>
              <w:jc w:val="center"/>
              <w:ind w:right="480"/>
              <w:spacing w:after="0"/>
              <w:rPr>
                <w:sz w:val="20"/>
                <w:szCs w:val="20"/>
                <w:color w:val="auto"/>
              </w:rPr>
            </w:pPr>
            <w:r>
              <w:rPr>
                <w:rFonts w:ascii="Arial" w:cs="Arial" w:eastAsia="Arial" w:hAnsi="Arial"/>
                <w:sz w:val="16"/>
                <w:szCs w:val="16"/>
                <w:color w:val="auto"/>
                <w:w w:val="96"/>
              </w:rPr>
              <w:t>Market Yield</w:t>
            </w:r>
          </w:p>
        </w:tc>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3"/>
              </w:rPr>
              <w:t>3.3%</w:t>
            </w:r>
          </w:p>
        </w:tc>
        <w:tc>
          <w:tcPr>
            <w:tcW w:w="0" w:type="dxa"/>
            <w:vAlign w:val="bottom"/>
          </w:tcPr>
          <w:p>
            <w:pPr>
              <w:spacing w:after="0" w:line="20" w:lineRule="exact"/>
              <w:rPr>
                <w:sz w:val="1"/>
                <w:szCs w:val="1"/>
                <w:color w:val="auto"/>
              </w:rPr>
            </w:pPr>
          </w:p>
        </w:tc>
      </w:tr>
      <w:tr>
        <w:trPr>
          <w:trHeight w:val="194"/>
        </w:trPr>
        <w:tc>
          <w:tcPr>
            <w:tcW w:w="2460" w:type="dxa"/>
            <w:vAlign w:val="bottom"/>
            <w:gridSpan w:val="3"/>
            <w:vMerge w:val="continue"/>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257,187,292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2"/>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tcPr>
          <w:p>
            <w:pPr>
              <w:ind w:left="220"/>
              <w:spacing w:after="0"/>
              <w:rPr>
                <w:sz w:val="20"/>
                <w:szCs w:val="20"/>
                <w:color w:val="auto"/>
              </w:rPr>
            </w:pPr>
            <w:r>
              <w:rPr>
                <w:rFonts w:ascii="Arial" w:cs="Arial" w:eastAsia="Arial" w:hAnsi="Arial"/>
                <w:sz w:val="14"/>
                <w:szCs w:val="14"/>
                <w:b w:val="1"/>
                <w:bCs w:val="1"/>
                <w:color w:val="auto"/>
              </w:rPr>
              <w:t>Fair Value at</w:t>
            </w:r>
          </w:p>
        </w:tc>
        <w:tc>
          <w:tcPr>
            <w:tcW w:w="200" w:type="dxa"/>
            <w:vAlign w:val="bottom"/>
          </w:tcPr>
          <w:p>
            <w:pPr>
              <w:spacing w:after="0"/>
              <w:rPr>
                <w:sz w:val="24"/>
                <w:szCs w:val="24"/>
                <w:color w:val="auto"/>
              </w:rPr>
            </w:pPr>
          </w:p>
        </w:tc>
        <w:tc>
          <w:tcPr>
            <w:tcW w:w="21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24"/>
                <w:szCs w:val="24"/>
                <w:color w:val="auto"/>
              </w:rPr>
            </w:pPr>
          </w:p>
        </w:tc>
        <w:tc>
          <w:tcPr>
            <w:tcW w:w="2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Unobservable 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46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740" w:type="dxa"/>
            <w:vAlign w:val="bottom"/>
            <w:shd w:val="clear" w:color="auto" w:fill="CCEEFF"/>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9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840" w:type="dxa"/>
            <w:vAlign w:val="bottom"/>
            <w:tcBorders>
              <w:lef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Debt investments</w:t>
            </w:r>
          </w:p>
        </w:tc>
        <w:tc>
          <w:tcPr>
            <w:tcW w:w="7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7"/>
              </w:rPr>
              <w:t>448,842,468</w:t>
            </w:r>
          </w:p>
        </w:tc>
        <w:tc>
          <w:tcPr>
            <w:tcW w:w="24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19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Market Comparable</w:t>
            </w:r>
          </w:p>
        </w:tc>
        <w:tc>
          <w:tcPr>
            <w:tcW w:w="22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9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Broker/Dealer bid quotes</w:t>
            </w:r>
          </w:p>
        </w:tc>
        <w:tc>
          <w:tcPr>
            <w:tcW w:w="280" w:type="dxa"/>
            <w:vAlign w:val="bottom"/>
            <w:vMerge w:val="continue"/>
            <w:shd w:val="clear" w:color="auto" w:fill="CCEEFF"/>
          </w:tcPr>
          <w:p>
            <w:pPr>
              <w:spacing w:after="0"/>
              <w:rPr>
                <w:sz w:val="17"/>
                <w:szCs w:val="17"/>
                <w:color w:val="auto"/>
              </w:rPr>
            </w:pP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6"/>
                <w:szCs w:val="16"/>
                <w:color w:val="auto"/>
              </w:rPr>
              <w:t>Debt investments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520"/>
              <w:spacing w:after="0"/>
              <w:rPr>
                <w:sz w:val="20"/>
                <w:szCs w:val="20"/>
                <w:color w:val="auto"/>
              </w:rPr>
            </w:pPr>
            <w:r>
              <w:rPr>
                <w:rFonts w:ascii="Arial" w:cs="Arial" w:eastAsia="Arial" w:hAnsi="Arial"/>
                <w:sz w:val="16"/>
                <w:szCs w:val="16"/>
                <w:color w:val="auto"/>
                <w:w w:val="87"/>
              </w:rPr>
              <w:t>466,571,947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40" w:type="dxa"/>
            <w:vAlign w:val="bottom"/>
            <w:gridSpan w:val="3"/>
          </w:tcPr>
          <w:p>
            <w:pPr>
              <w:ind w:left="300"/>
              <w:spacing w:after="0"/>
              <w:rPr>
                <w:sz w:val="20"/>
                <w:szCs w:val="20"/>
                <w:color w:val="auto"/>
              </w:rPr>
            </w:pPr>
            <w:r>
              <w:rPr>
                <w:rFonts w:ascii="Arial" w:cs="Arial" w:eastAsia="Arial" w:hAnsi="Arial"/>
                <w:sz w:val="16"/>
                <w:szCs w:val="16"/>
                <w:color w:val="auto"/>
              </w:rPr>
              <w:t>Market Comparable</w:t>
            </w:r>
          </w:p>
        </w:tc>
        <w:tc>
          <w:tcPr>
            <w:tcW w:w="120" w:type="dxa"/>
            <w:vAlign w:val="bottom"/>
          </w:tcPr>
          <w:p>
            <w:pPr>
              <w:spacing w:after="0"/>
              <w:rPr>
                <w:sz w:val="17"/>
                <w:szCs w:val="17"/>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6"/>
                <w:szCs w:val="16"/>
                <w:color w:val="auto"/>
                <w:w w:val="96"/>
              </w:rPr>
              <w:t>Market Yield</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9.5% - 21.5% (13.5%)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investments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110,923,751</w:t>
            </w: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Enterprise Market Value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EBITDA multiple</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6.0x - 15.0x (9.0x)</w:t>
            </w:r>
          </w:p>
        </w:tc>
        <w:tc>
          <w:tcPr>
            <w:tcW w:w="0" w:type="dxa"/>
            <w:vAlign w:val="bottom"/>
          </w:tcPr>
          <w:p>
            <w:pPr>
              <w:spacing w:after="0"/>
              <w:rPr>
                <w:sz w:val="1"/>
                <w:szCs w:val="1"/>
                <w:color w:val="auto"/>
              </w:rPr>
            </w:pPr>
          </w:p>
        </w:tc>
      </w:tr>
      <w:tr>
        <w:trPr>
          <w:trHeight w:val="207"/>
        </w:trPr>
        <w:tc>
          <w:tcPr>
            <w:tcW w:w="246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7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gridSpan w:val="2"/>
          </w:tcPr>
          <w:p>
            <w:pPr>
              <w:ind w:left="400"/>
              <w:spacing w:after="0"/>
              <w:rPr>
                <w:sz w:val="20"/>
                <w:szCs w:val="20"/>
                <w:color w:val="auto"/>
              </w:rPr>
            </w:pPr>
            <w:r>
              <w:rPr>
                <w:rFonts w:ascii="Arial" w:cs="Arial" w:eastAsia="Arial" w:hAnsi="Arial"/>
                <w:sz w:val="16"/>
                <w:szCs w:val="16"/>
                <w:color w:val="auto"/>
                <w:w w:val="87"/>
              </w:rPr>
              <w:t>1,026,338,166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117,500,000</w:t>
            </w:r>
          </w:p>
        </w:tc>
        <w:tc>
          <w:tcPr>
            <w:tcW w:w="200" w:type="dxa"/>
            <w:vAlign w:val="bottom"/>
            <w:shd w:val="clear" w:color="auto" w:fill="CCEEFF"/>
          </w:tcPr>
          <w:p>
            <w:pPr>
              <w:spacing w:after="0"/>
              <w:rPr>
                <w:sz w:val="17"/>
                <w:szCs w:val="17"/>
                <w:color w:val="auto"/>
              </w:rPr>
            </w:pPr>
          </w:p>
        </w:tc>
        <w:tc>
          <w:tcPr>
            <w:tcW w:w="214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Market Comparable</w:t>
            </w:r>
          </w:p>
        </w:tc>
        <w:tc>
          <w:tcPr>
            <w:tcW w:w="12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6"/>
              </w:rPr>
              <w:t>Market Yield</w:t>
            </w:r>
          </w:p>
        </w:tc>
        <w:tc>
          <w:tcPr>
            <w:tcW w:w="1840" w:type="dxa"/>
            <w:vAlign w:val="bottom"/>
            <w:tcBorders>
              <w:lef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cash and cash equivalents, investments, the 2025 Notes and Credit Facility were categorized as follows in the fair value hierarchy for ASC 820 purposes: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84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440" w:type="dxa"/>
            <w:vAlign w:val="bottom"/>
            <w:vMerge w:val="restart"/>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4"/>
                <w:szCs w:val="14"/>
                <w:b w:val="1"/>
                <w:bCs w:val="1"/>
                <w:color w:val="auto"/>
                <w:w w:val="98"/>
              </w:rPr>
              <w:t>Fair Value at June 30, 2014</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3840" w:type="dxa"/>
            <w:vAlign w:val="bottom"/>
            <w:tcBorders>
              <w:bottom w:val="single" w:sz="8" w:color="CCEEFF"/>
            </w:tcBorders>
            <w:vMerge w:val="continue"/>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1,078,734,446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47,794,155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1,030,940,291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119,673,109</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277,379</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119,395,730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1,198,407,555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48,071,534</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64,390,787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64,390,787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1,262,798,342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64,390,787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48,071,534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257,187,292</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257,187,292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72,532,500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72,532,500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329,719,792</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72,532,500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257,187,292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80" w:type="dxa"/>
            <w:vAlign w:val="bottom"/>
            <w:gridSpan w:val="5"/>
          </w:tcPr>
          <w:p>
            <w:pPr>
              <w:jc w:val="right"/>
              <w:ind w:right="1360"/>
              <w:spacing w:after="0"/>
              <w:rPr>
                <w:sz w:val="20"/>
                <w:szCs w:val="20"/>
                <w:color w:val="auto"/>
              </w:rPr>
            </w:pPr>
            <w:r>
              <w:rPr>
                <w:rFonts w:ascii="Arial" w:cs="Arial" w:eastAsia="Arial" w:hAnsi="Arial"/>
                <w:sz w:val="18"/>
                <w:szCs w:val="18"/>
                <w:color w:val="auto"/>
              </w:rPr>
              <w:t>S-80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6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440" w:type="dxa"/>
            <w:vAlign w:val="bottom"/>
            <w:gridSpan w:val="2"/>
            <w:vMerge w:val="restart"/>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720" w:type="dxa"/>
            <w:vAlign w:val="bottom"/>
            <w:tcBorders>
              <w:bottom w:val="single" w:sz="8" w:color="auto"/>
            </w:tcBorders>
            <w:vMerge w:val="continue"/>
          </w:tcPr>
          <w:p>
            <w:pPr>
              <w:spacing w:after="0"/>
              <w:rPr>
                <w:sz w:val="12"/>
                <w:szCs w:val="12"/>
                <w:color w:val="auto"/>
              </w:rPr>
            </w:pPr>
          </w:p>
        </w:tc>
        <w:tc>
          <w:tcPr>
            <w:tcW w:w="486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gridSpan w:val="2"/>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Level 2</w:t>
            </w:r>
          </w:p>
        </w:tc>
        <w:tc>
          <w:tcPr>
            <w:tcW w:w="4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44,092,400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118,668,738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205,667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110,923,751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1,078,175,553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44,298,067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58,440,829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1,136,616,382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65,980,149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44,298,067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w w:val="99"/>
              </w:rPr>
              <w:t>Long-Term Credit Facility (excluding temporary draws of $28,000,000)</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68,400,000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185,900,000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68,400,000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Nine Months Ended June 30, 2014</w:t>
            </w: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Debt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right"/>
              <w:ind w:right="760"/>
              <w:spacing w:after="0" w:line="119" w:lineRule="exact"/>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0"/>
                <w:szCs w:val="10"/>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40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investments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56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110,923,751</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1,026,338,166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18,101,010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3,875,493</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21,976,503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470,447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23,854,264</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24,324,711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554,355,726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23,424,660</w:t>
            </w:r>
          </w:p>
        </w:tc>
        <w:tc>
          <w:tcPr>
            <w:tcW w:w="1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577,780,386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(457,401,305)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(42,682,440)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(500,083,745)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1,030,940,293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119,395,728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1,150,336,021</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reported within the net change in unrealized</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gridSpan w:val="3"/>
            <w:vMerge w:val="continue"/>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appreciation (depreciation) on investments in our Consolidated Statement of</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gridSpan w:val="2"/>
          </w:tcPr>
          <w:p>
            <w:pPr>
              <w:ind w:left="160"/>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12,355,525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(9,463,794)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2,891,731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80" w:type="dxa"/>
            <w:vAlign w:val="bottom"/>
            <w:vMerge w:val="restart"/>
          </w:tcPr>
          <w:p>
            <w:pPr>
              <w:ind w:left="4820"/>
              <w:spacing w:after="0"/>
              <w:rPr>
                <w:sz w:val="20"/>
                <w:szCs w:val="20"/>
                <w:color w:val="auto"/>
              </w:rPr>
            </w:pPr>
            <w:r>
              <w:rPr>
                <w:rFonts w:ascii="Arial" w:cs="Arial" w:eastAsia="Arial" w:hAnsi="Arial"/>
                <w:sz w:val="18"/>
                <w:szCs w:val="18"/>
                <w:color w:val="auto"/>
              </w:rPr>
              <w:t>S-81</w:t>
            </w: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Nine Months Ended June 30, 2013</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right"/>
              <w:ind w:right="640"/>
              <w:spacing w:after="0" w:line="119" w:lineRule="exact"/>
              <w:rPr>
                <w:sz w:val="20"/>
                <w:szCs w:val="20"/>
                <w:color w:val="auto"/>
              </w:rPr>
            </w:pPr>
            <w:r>
              <w:rPr>
                <w:rFonts w:ascii="Arial" w:cs="Arial" w:eastAsia="Arial" w:hAnsi="Arial"/>
                <w:sz w:val="13"/>
                <w:szCs w:val="13"/>
                <w:b w:val="1"/>
                <w:bCs w:val="1"/>
                <w:color w:val="auto"/>
              </w:rPr>
              <w:t>Debt</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Equity</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2"/>
              </w:rPr>
              <w:t>investments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3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848,424,071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101,323,123</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3,757,501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3,311,652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7,069,153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 (depreciation)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34,351,022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(21,019,509)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13,331,513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321,218,848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46,591,490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367,810,338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repayments and non-cash exchanges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0"/>
              </w:rPr>
              <w:t>(294,037,878)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(10,606,534)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(304,644,412)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34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(12,840,000)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900,873,564</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119,600,222</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1,020,473,786</w:t>
            </w: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Arial" w:cs="Arial" w:eastAsia="Arial" w:hAnsi="Arial"/>
                <w:sz w:val="18"/>
                <w:szCs w:val="18"/>
                <w:color w:val="auto"/>
              </w:rPr>
              <w:t>Net change in unrealized appreciation (depreciation) reported within the net change in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w w:val="99"/>
              </w:rPr>
              <w:t>unrealized appreciation (depreciation) on investments in our Consolidated Statement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gridSpan w:val="2"/>
          </w:tcPr>
          <w:p>
            <w:pPr>
              <w:ind w:left="160"/>
              <w:spacing w:after="0"/>
              <w:rPr>
                <w:sz w:val="20"/>
                <w:szCs w:val="20"/>
                <w:color w:val="auto"/>
              </w:rPr>
            </w:pPr>
            <w:r>
              <w:rPr>
                <w:rFonts w:ascii="Arial" w:cs="Arial" w:eastAsia="Arial" w:hAnsi="Arial"/>
                <w:sz w:val="18"/>
                <w:szCs w:val="18"/>
                <w:color w:val="auto"/>
              </w:rPr>
              <w:t>Operations attributable to our Level 3 assets still held at the reporting date.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36,781,749</w:t>
            </w:r>
          </w:p>
        </w:tc>
        <w:tc>
          <w:tcPr>
            <w:tcW w:w="22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(18,334,568)</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18,447,181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Carrying/Fair Value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Long–Term Credit Facility</w:t>
            </w:r>
          </w:p>
        </w:tc>
        <w:tc>
          <w:tcPr>
            <w:tcW w:w="528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80" w:type="dxa"/>
            <w:vAlign w:val="bottom"/>
            <w:tcBorders>
              <w:bottom w:val="single" w:sz="8" w:color="auto"/>
            </w:tcBorders>
            <w:gridSpan w:val="3"/>
            <w:vMerge w:val="continue"/>
          </w:tcPr>
          <w:p>
            <w:pPr>
              <w:spacing w:after="0"/>
              <w:rPr>
                <w:sz w:val="12"/>
                <w:szCs w:val="12"/>
                <w:color w:val="auto"/>
              </w:rPr>
            </w:pPr>
          </w:p>
        </w:tc>
        <w:tc>
          <w:tcPr>
            <w:tcW w:w="528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Beginning Balance (cost – $117,500,000 and $109,500,000, respectively)</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117,500,000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108,952,500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680" w:type="dxa"/>
            <w:vAlign w:val="bottom"/>
            <w:gridSpan w:val="3"/>
          </w:tcPr>
          <w:p>
            <w:pPr>
              <w:ind w:left="80"/>
              <w:spacing w:after="0"/>
              <w:rPr>
                <w:sz w:val="20"/>
                <w:szCs w:val="20"/>
                <w:color w:val="auto"/>
              </w:rPr>
            </w:pPr>
            <w:r>
              <w:rPr>
                <w:rFonts w:ascii="Arial" w:cs="Arial" w:eastAsia="Arial" w:hAnsi="Arial"/>
                <w:sz w:val="18"/>
                <w:szCs w:val="18"/>
                <w:color w:val="auto"/>
              </w:rPr>
              <w:t>Net change in fair value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88"/>
              <w:spacing w:after="0"/>
              <w:rPr>
                <w:sz w:val="20"/>
                <w:szCs w:val="20"/>
                <w:color w:val="auto"/>
              </w:rPr>
            </w:pPr>
            <w:r>
              <w:rPr>
                <w:rFonts w:ascii="Arial" w:cs="Arial" w:eastAsia="Arial" w:hAnsi="Arial"/>
                <w:sz w:val="18"/>
                <w:szCs w:val="18"/>
                <w:color w:val="auto"/>
              </w:rPr>
              <w:t>1,288,592</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3"/>
              </w:rPr>
              <w:t>591,053,100</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532,800,000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680" w:type="dxa"/>
            <w:vAlign w:val="bottom"/>
            <w:gridSpan w:val="3"/>
          </w:tcPr>
          <w:p>
            <w:pPr>
              <w:ind w:left="80"/>
              <w:spacing w:after="0"/>
              <w:rPr>
                <w:sz w:val="20"/>
                <w:szCs w:val="20"/>
                <w:color w:val="auto"/>
              </w:rPr>
            </w:pPr>
            <w:r>
              <w:rPr>
                <w:rFonts w:ascii="Arial" w:cs="Arial" w:eastAsia="Arial" w:hAnsi="Arial"/>
                <w:sz w:val="18"/>
                <w:szCs w:val="18"/>
                <w:color w:val="auto"/>
              </w:rPr>
              <w:t>Repayments</w:t>
            </w:r>
            <w:r>
              <w:rPr>
                <w:rFonts w:ascii="Arial" w:cs="Arial" w:eastAsia="Arial" w:hAnsi="Arial"/>
                <w:sz w:val="15"/>
                <w:szCs w:val="15"/>
                <w:color w:val="auto"/>
              </w:rPr>
              <w:t>(1)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28"/>
              <w:spacing w:after="0"/>
              <w:rPr>
                <w:sz w:val="20"/>
                <w:szCs w:val="20"/>
                <w:color w:val="auto"/>
              </w:rPr>
            </w:pPr>
            <w:r>
              <w:rPr>
                <w:rFonts w:ascii="Arial" w:cs="Arial" w:eastAsia="Arial" w:hAnsi="Arial"/>
                <w:sz w:val="18"/>
                <w:szCs w:val="18"/>
                <w:color w:val="auto"/>
                <w:w w:val="89"/>
              </w:rPr>
              <w:t>(452,654,400)</w:t>
            </w: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(538,800,000)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Transfers in and/or out of Level 3</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960" w:type="dxa"/>
            <w:vAlign w:val="bottom"/>
            <w:gridSpan w:val="4"/>
          </w:tcPr>
          <w:p>
            <w:pPr>
              <w:spacing w:after="0"/>
              <w:rPr>
                <w:sz w:val="20"/>
                <w:szCs w:val="20"/>
                <w:color w:val="auto"/>
              </w:rPr>
            </w:pPr>
            <w:r>
              <w:rPr>
                <w:rFonts w:ascii="Arial" w:cs="Arial" w:eastAsia="Arial" w:hAnsi="Arial"/>
                <w:sz w:val="18"/>
                <w:szCs w:val="18"/>
                <w:color w:val="auto"/>
              </w:rPr>
              <w:t>Ending Balance (cost – $255,898,700 and $103,500,000, respectively)</w:t>
            </w:r>
          </w:p>
        </w:tc>
        <w:tc>
          <w:tcPr>
            <w:tcW w:w="16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257,187,292</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103,500,000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Temporary draws outstanding, at cost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11,000,000</w:t>
            </w:r>
          </w:p>
        </w:tc>
        <w:tc>
          <w:tcPr>
            <w:tcW w:w="0" w:type="dxa"/>
            <w:vAlign w:val="bottom"/>
          </w:tcPr>
          <w:p>
            <w:pPr>
              <w:spacing w:after="0"/>
              <w:rPr>
                <w:sz w:val="1"/>
                <w:szCs w:val="1"/>
                <w:color w:val="auto"/>
              </w:rPr>
            </w:pPr>
          </w:p>
        </w:tc>
      </w:tr>
      <w:tr>
        <w:trPr>
          <w:trHeight w:val="223"/>
        </w:trPr>
        <w:tc>
          <w:tcPr>
            <w:tcW w:w="6960" w:type="dxa"/>
            <w:vAlign w:val="bottom"/>
            <w:gridSpan w:val="4"/>
          </w:tcPr>
          <w:p>
            <w:pPr>
              <w:spacing w:after="0"/>
              <w:rPr>
                <w:sz w:val="20"/>
                <w:szCs w:val="20"/>
                <w:color w:val="auto"/>
              </w:rPr>
            </w:pPr>
            <w:r>
              <w:rPr>
                <w:rFonts w:ascii="Arial" w:cs="Arial" w:eastAsia="Arial" w:hAnsi="Arial"/>
                <w:sz w:val="18"/>
                <w:szCs w:val="18"/>
                <w:color w:val="auto"/>
              </w:rPr>
              <w:t>Ending Balance (cost – $255,898,700 and $114,500,000, respectively)</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257,187,292</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0" w:type="dxa"/>
            <w:vAlign w:val="bottom"/>
            <w:gridSpan w:val="2"/>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5"/>
                <w:szCs w:val="15"/>
                <w:color w:val="auto"/>
              </w:rPr>
              <w:t>(1)</w:t>
            </w:r>
          </w:p>
        </w:tc>
        <w:tc>
          <w:tcPr>
            <w:tcW w:w="6680" w:type="dxa"/>
            <w:vAlign w:val="bottom"/>
            <w:gridSpan w:val="3"/>
          </w:tcPr>
          <w:p>
            <w:pPr>
              <w:ind w:left="180"/>
              <w:spacing w:after="0"/>
              <w:rPr>
                <w:sz w:val="20"/>
                <w:szCs w:val="20"/>
                <w:color w:val="auto"/>
              </w:rPr>
            </w:pPr>
            <w:r>
              <w:rPr>
                <w:rFonts w:ascii="Arial" w:cs="Arial" w:eastAsia="Arial" w:hAnsi="Arial"/>
                <w:sz w:val="18"/>
                <w:szCs w:val="18"/>
                <w:color w:val="auto"/>
              </w:rPr>
              <w:t>Excludes temporary draws.</w:t>
            </w: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June 30, 2014, we had outstanding non-USD borrowing on our Credit Facility denominated in British Pounds. Net change in fair value on these outstanding borrowings is listed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980" w:type="dxa"/>
            <w:vAlign w:val="bottom"/>
          </w:tcPr>
          <w:p>
            <w:pPr>
              <w:spacing w:after="0"/>
              <w:rPr>
                <w:sz w:val="14"/>
                <w:szCs w:val="14"/>
                <w:color w:val="auto"/>
              </w:rPr>
            </w:pPr>
          </w:p>
        </w:tc>
        <w:tc>
          <w:tcPr>
            <w:tcW w:w="12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6"/>
              </w:rPr>
              <w:t>Local Currency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Original</w:t>
            </w:r>
          </w:p>
        </w:tc>
        <w:tc>
          <w:tcPr>
            <w:tcW w:w="220" w:type="dxa"/>
            <w:vAlign w:val="bottom"/>
          </w:tcPr>
          <w:p>
            <w:pPr>
              <w:spacing w:after="0"/>
              <w:rPr>
                <w:sz w:val="14"/>
                <w:szCs w:val="14"/>
                <w:color w:val="auto"/>
              </w:rPr>
            </w:pPr>
          </w:p>
        </w:tc>
        <w:tc>
          <w:tcPr>
            <w:tcW w:w="14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7"/>
              </w:rPr>
              <w:t>Current Value</w:t>
            </w:r>
          </w:p>
        </w:tc>
        <w:tc>
          <w:tcPr>
            <w:tcW w:w="1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Reset Date</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Net Change in</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29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Borrowing Cost</w:t>
            </w:r>
          </w:p>
        </w:tc>
        <w:tc>
          <w:tcPr>
            <w:tcW w:w="2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3"/>
        </w:trPr>
        <w:tc>
          <w:tcPr>
            <w:tcW w:w="1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British Pound</w:t>
            </w:r>
          </w:p>
        </w:tc>
        <w:tc>
          <w:tcPr>
            <w:tcW w:w="29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27,000,000</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45,154,800</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$ 46,207,556</w:t>
            </w:r>
          </w:p>
        </w:tc>
        <w:tc>
          <w:tcPr>
            <w:tcW w:w="44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July 1, 2014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1,052,756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British Pound</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11,743,900</w:t>
            </w:r>
          </w:p>
        </w:tc>
        <w:tc>
          <w:tcPr>
            <w:tcW w:w="1620" w:type="dxa"/>
            <w:vAlign w:val="bottom"/>
            <w:gridSpan w:val="3"/>
          </w:tcPr>
          <w:p>
            <w:pPr>
              <w:jc w:val="right"/>
              <w:ind w:right="440"/>
              <w:spacing w:after="0"/>
              <w:rPr>
                <w:sz w:val="20"/>
                <w:szCs w:val="20"/>
                <w:color w:val="auto"/>
              </w:rPr>
            </w:pPr>
            <w:r>
              <w:rPr>
                <w:rFonts w:ascii="Arial" w:cs="Arial" w:eastAsia="Arial" w:hAnsi="Arial"/>
                <w:sz w:val="18"/>
                <w:szCs w:val="18"/>
                <w:color w:val="auto"/>
              </w:rPr>
              <w:t>11,979,736</w:t>
            </w: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September 11, 2014</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235,836</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34,000,000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56,898,700</w:t>
            </w:r>
          </w:p>
        </w:tc>
        <w:tc>
          <w:tcPr>
            <w:tcW w:w="16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$ 58,187,292</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1,288,592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4"/>
          </w:tcPr>
          <w:p>
            <w:pPr>
              <w:ind w:left="200"/>
              <w:spacing w:after="0"/>
              <w:rPr>
                <w:sz w:val="20"/>
                <w:szCs w:val="20"/>
                <w:color w:val="auto"/>
              </w:rPr>
            </w:pPr>
            <w:r>
              <w:rPr>
                <w:rFonts w:ascii="Arial" w:cs="Arial" w:eastAsia="Arial" w:hAnsi="Arial"/>
                <w:sz w:val="18"/>
                <w:szCs w:val="18"/>
                <w:color w:val="auto"/>
              </w:rPr>
              <w:t>S-82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non-recurring expenses of $3.9 million relating to debt issuance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three and nine months ended June 30, 2014, our Credit Facility and 2025 Notes had a net change in unrealized appreciation of $3.4 million and $5.4 million, respectively. For the three and nine months ended June 30, 2013, our Credit Facility and 2025 Notes had a net change in unrealized depreciation (appreciation) of $0.4 million and $(0.5) million, respectively. As of June 30, 2014 and September 30, 2013, net unrealized (appreciation) depreciation on our Credit Facility and 2025 Notes totaled $(2.6) million and $2.9 million, respectively. We use a nationally recognized independent valuation service to measure the fair value of our Credit Facility in a manner consistent with the valuation process that the board of directors uses to value our investments. Our 2025 Notes trade on the NYSE, under the ticker “PNTA” and we use the closing price on the exchange to determine their fair value.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AFFILIATED COMPANIES</w:t>
      </w:r>
    </w:p>
    <w:p>
      <w:pPr>
        <w:spacing w:after="0" w:line="12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An affiliated portfolio company is a company in which we have ownership of 5% or more of its voting securities. A non-controlled affiliate is a portfolio company in which we own at least 5% but less than 25% of its voting securities and a controlled affiliate is a portfolio company in which we own 25% or more of its voting securities. Transactions related to our funded investments with both controlled and non-controlled affiliates for the nine months ended June 30, 2014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Purchases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 at</w:t>
            </w:r>
          </w:p>
        </w:tc>
        <w:tc>
          <w:tcPr>
            <w:tcW w:w="1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3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Advances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Distributions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Gains</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Affiliates</w:t>
            </w:r>
          </w:p>
        </w:tc>
        <w:tc>
          <w:tcPr>
            <w:tcW w:w="140" w:type="dxa"/>
            <w:vAlign w:val="bottom"/>
          </w:tcPr>
          <w:p>
            <w:pPr>
              <w:spacing w:after="0"/>
              <w:rPr>
                <w:sz w:val="14"/>
                <w:szCs w:val="14"/>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from Affiliates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4"/>
                <w:szCs w:val="14"/>
                <w:color w:val="auto"/>
              </w:rPr>
            </w:pPr>
          </w:p>
        </w:tc>
        <w:tc>
          <w:tcPr>
            <w:tcW w:w="92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Controlled Affiliates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Superior Digital Displays Holdings, Inc.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$19,330,914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1,213,801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18,574,163</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13,500,000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1,257,472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13,499,999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Universal Pegasus International, LLC</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17,552,044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22,592,260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(72,539,605)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4,059,881</w:t>
            </w:r>
          </w:p>
        </w:tc>
        <w:tc>
          <w:tcPr>
            <w:tcW w:w="100" w:type="dxa"/>
            <w:vAlign w:val="bottom"/>
          </w:tcPr>
          <w:p>
            <w:pPr>
              <w:spacing w:after="0"/>
              <w:rPr>
                <w:sz w:val="18"/>
                <w:szCs w:val="18"/>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8"/>
                <w:szCs w:val="18"/>
                <w:color w:val="auto"/>
                <w:w w:val="98"/>
              </w:rPr>
              <w:t>(46,895)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Non-Controlled Affiliates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DirectBuy Holdings, Inc.</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17,805,936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991,130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(1,126,015)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996,312</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12,757,080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EnviroSolutions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21,265,345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9,196,328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473,990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24,563,138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NCP-Performance, L.P.</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2,500,165</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157,518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International Holdings, Inc.</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1,694,296</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806,679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Service Champ, Inc.</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33,470,058</w:t>
            </w:r>
          </w:p>
        </w:tc>
        <w:tc>
          <w:tcPr>
            <w:tcW w:w="320" w:type="dxa"/>
            <w:vAlign w:val="bottom"/>
          </w:tcPr>
          <w:p>
            <w:pPr>
              <w:spacing w:after="0"/>
              <w:rPr>
                <w:sz w:val="19"/>
                <w:szCs w:val="19"/>
                <w:color w:val="auto"/>
              </w:rPr>
            </w:pPr>
          </w:p>
        </w:tc>
        <w:tc>
          <w:tcPr>
            <w:tcW w:w="9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2,703,931</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33,655,320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Controlled and Non-Controlled Affiliates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107,787,844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55,610,632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(77,165,620)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10,705,387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104,013,897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(46,895)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color w:val="auto"/>
              </w:rPr>
              <w:t>S-83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RESULTING FROM OPERATIONS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4"/>
                <w:szCs w:val="14"/>
                <w:color w:val="auto"/>
              </w:rPr>
            </w:pPr>
          </w:p>
        </w:tc>
        <w:tc>
          <w:tcPr>
            <w:tcW w:w="2420" w:type="dxa"/>
            <w:vAlign w:val="bottom"/>
            <w:gridSpan w:val="6"/>
          </w:tcPr>
          <w:p>
            <w:pPr>
              <w:ind w:left="200"/>
              <w:spacing w:after="0"/>
              <w:rPr>
                <w:sz w:val="20"/>
                <w:szCs w:val="20"/>
                <w:color w:val="auto"/>
              </w:rPr>
            </w:pPr>
            <w:r>
              <w:rPr>
                <w:rFonts w:ascii="Arial" w:cs="Arial" w:eastAsia="Arial" w:hAnsi="Arial"/>
                <w:sz w:val="14"/>
                <w:szCs w:val="14"/>
                <w:b w:val="1"/>
                <w:bCs w:val="1"/>
                <w:color w:val="auto"/>
              </w:rPr>
              <w:t>Nine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31,949,311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13,785,532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112,085,415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69,299,053</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66,569,036</w:t>
            </w: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66,450,117</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66,561,520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66,340,895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w w:val="97"/>
              </w:rPr>
              <w:t>Basic and diluted net increase in net assets resulting from operations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CASH AND CASH EQUIVALENTS</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2014 and September 30, 2013, cash and cash equivalents consisted of $64.4 million and $58.4 million,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460" w:right="8460" w:hanging="452"/>
        <w:spacing w:after="0" w:line="407" w:lineRule="auto"/>
        <w:tabs>
          <w:tab w:leader="none" w:pos="1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HIGHLIGHTS </w:t>
      </w:r>
      <w:r>
        <w:rPr>
          <w:rFonts w:ascii="Arial" w:cs="Arial" w:eastAsia="Arial" w:hAnsi="Arial"/>
          <w:sz w:val="18"/>
          <w:szCs w:val="18"/>
          <w:color w:val="auto"/>
        </w:rPr>
        <w:t>Below are the financial highlights: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2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10.49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0.77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realized and unrealized gain</w:t>
            </w:r>
            <w:r>
              <w:rPr>
                <w:rFonts w:ascii="Arial" w:cs="Arial" w:eastAsia="Arial" w:hAnsi="Arial"/>
                <w:sz w:val="15"/>
                <w:szCs w:val="15"/>
                <w:color w:val="auto"/>
              </w:rPr>
              <w:t>(1)</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5"/>
                <w:szCs w:val="15"/>
                <w:color w:val="auto"/>
              </w:rPr>
              <w:t>(1),(2)</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Per share market value, end of period</w:t>
            </w:r>
          </w:p>
        </w:tc>
        <w:tc>
          <w:tcPr>
            <w:tcW w:w="2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11.46</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(3)</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66,569,036</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66,450,117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5"/>
                <w:szCs w:val="15"/>
                <w:color w:val="auto"/>
              </w:rPr>
              <w:t>(4)</w:t>
            </w: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debt related expenses to average net assets</w:t>
            </w:r>
            <w:r>
              <w:rPr>
                <w:rFonts w:ascii="Arial" w:cs="Arial" w:eastAsia="Arial" w:hAnsi="Arial"/>
                <w:sz w:val="15"/>
                <w:szCs w:val="15"/>
                <w:color w:val="auto"/>
              </w:rPr>
              <w:t>(5)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15"/>
                <w:szCs w:val="15"/>
                <w:color w:val="auto"/>
              </w:rPr>
              <w:t>(5)</w:t>
            </w: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2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754,472,793</w:t>
            </w:r>
          </w:p>
        </w:tc>
        <w:tc>
          <w:tcPr>
            <w:tcW w:w="6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693,102,657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5"/>
                <w:szCs w:val="15"/>
                <w:color w:val="auto"/>
              </w:rPr>
              <w:t>(6)</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498,062,949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362,661,538</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5"/>
                <w:szCs w:val="15"/>
                <w:color w:val="auto"/>
              </w:rPr>
              <w:t>(6)</w:t>
            </w:r>
          </w:p>
        </w:tc>
        <w:tc>
          <w:tcPr>
            <w:tcW w:w="2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6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Asset coverage per unit at end of period</w:t>
            </w:r>
            <w:r>
              <w:rPr>
                <w:rFonts w:ascii="Arial" w:cs="Arial" w:eastAsia="Arial" w:hAnsi="Arial"/>
                <w:sz w:val="15"/>
                <w:szCs w:val="15"/>
                <w:color w:val="auto"/>
              </w:rPr>
              <w:t>(7)</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480"/>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right="7680" w:firstLine="8"/>
        <w:spacing w:after="0" w:line="291" w:lineRule="auto"/>
        <w:tabs>
          <w:tab w:leader="none" w:pos="4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and may differ from amounts determined under GAAP.</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distributions, if any, reinvested in accordance with our dividend reinvestment plan.</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exclude debt related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Ratios neither annualize the Credit Facility debt issuance costs nor 2025 Notes offering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SBA debentures outstanding.</w:t>
      </w:r>
    </w:p>
    <w:p>
      <w:pPr>
        <w:spacing w:after="0" w:line="9" w:lineRule="exact"/>
        <w:rPr>
          <w:rFonts w:ascii="Arial" w:cs="Arial" w:eastAsia="Arial" w:hAnsi="Arial"/>
          <w:sz w:val="18"/>
          <w:szCs w:val="18"/>
          <w:color w:val="auto"/>
        </w:rPr>
      </w:pPr>
    </w:p>
    <w:p>
      <w:pPr>
        <w:ind w:left="460" w:right="16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Our annualized weighted average cost of debt for the nine months ended June 30, 2014 and 2013, inclusive of the fee on the undrawn commitment on the Credit Facility and amortized upfront fees on SBA debentures but excluding debt issuance costs, was 3.94% and 4.15%,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June 25, 2014, we amended and restated our multi-currency Credit Facility to increase the amount available for borrowing from $445 million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$545 million, reduce the interest rate spread above LIBOR from 2.75% to 2.25%, reduce the undrawn commitment fee from 0.50% to 0.375% and extend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maturity date from February 21, 2016 to June 25, 2019. This multi-currency Credit Facility is with certain lenders and SunTrust Bank, acting 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and JPMorgan Chase Bank, N.A., acting as syndication agent for the lenders. As of June 30, 2014 and September 30, 2013, there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$255.9 million and $145.5 million (including a temporary draw of $28.0 million), respectively, in outstanding borrowings under the Credit Facility, with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interest rate at the time of 2.52% and 3.33%, exclusive of the fee on undrawn commitments of 0.375% and 0.50%, respectively. The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Facility is a five-year revolving facility with a stated maturity date of June 25, 2019, a one-year term-out period following its fourth year and pricing set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225 basis points over LIBOR. The Credit Facility is secured by substantially all of our assets excluding assets held by our SBIC Funds.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June 30, 2014.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$225.0 million in the aggregate.</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As of June 30, 2014 and September 30, 2013, our SBIC Funds had $225.0 million and $150.0 million in debt commitments, respectively, and $150.0 million was drawn for each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fixed-rate SBA debentures as of June 30, 2014 and September 30, 2013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500" w:type="dxa"/>
            <w:vAlign w:val="bottom"/>
            <w:vMerge w:val="restart"/>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640" w:type="dxa"/>
            <w:vAlign w:val="bottom"/>
            <w:vMerge w:val="restart"/>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All-In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CCEEFF"/>
            </w:tcBorders>
            <w:vMerge w:val="continue"/>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Coupon Rate</w:t>
            </w:r>
          </w:p>
        </w:tc>
        <w:tc>
          <w:tcPr>
            <w:tcW w:w="4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87"/>
              </w:rPr>
              <w:t>September 1, 2020</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480" w:type="dxa"/>
            <w:vAlign w:val="bottom"/>
            <w:gridSpan w:val="3"/>
          </w:tcPr>
          <w:p>
            <w:pPr>
              <w:ind w:left="1480"/>
              <w:spacing w:after="0"/>
              <w:rPr>
                <w:sz w:val="20"/>
                <w:szCs w:val="20"/>
                <w:color w:val="auto"/>
              </w:rPr>
            </w:pPr>
            <w:r>
              <w:rPr>
                <w:rFonts w:ascii="Arial" w:cs="Arial" w:eastAsia="Arial" w:hAnsi="Arial"/>
                <w:sz w:val="18"/>
                <w:szCs w:val="18"/>
                <w:color w:val="auto"/>
              </w:rPr>
              <w:t>March 1, 2021</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480" w:type="dxa"/>
            <w:vAlign w:val="bottom"/>
            <w:gridSpan w:val="3"/>
            <w:shd w:val="clear" w:color="auto" w:fill="CCEEFF"/>
          </w:tcPr>
          <w:p>
            <w:pPr>
              <w:ind w:left="1480"/>
              <w:spacing w:after="0"/>
              <w:rPr>
                <w:sz w:val="20"/>
                <w:szCs w:val="20"/>
                <w:color w:val="auto"/>
              </w:rPr>
            </w:pPr>
            <w:r>
              <w:rPr>
                <w:rFonts w:ascii="Arial" w:cs="Arial" w:eastAsia="Arial" w:hAnsi="Arial"/>
                <w:sz w:val="18"/>
                <w:szCs w:val="18"/>
                <w:color w:val="auto"/>
              </w:rPr>
              <w:t>September 1, 2021</w:t>
            </w:r>
          </w:p>
        </w:tc>
        <w:tc>
          <w:tcPr>
            <w:tcW w:w="8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85"/>
              </w:rPr>
              <w:t>3.38</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3.70%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480" w:type="dxa"/>
            <w:vAlign w:val="bottom"/>
            <w:gridSpan w:val="3"/>
            <w:vMerge w:val="restart"/>
          </w:tcPr>
          <w:p>
            <w:pPr>
              <w:ind w:left="1200"/>
              <w:spacing w:after="0"/>
              <w:rPr>
                <w:sz w:val="20"/>
                <w:szCs w:val="20"/>
                <w:color w:val="auto"/>
              </w:rPr>
            </w:pPr>
            <w:r>
              <w:rPr>
                <w:rFonts w:ascii="Arial" w:cs="Arial" w:eastAsia="Arial" w:hAnsi="Arial"/>
                <w:sz w:val="18"/>
                <w:szCs w:val="18"/>
                <w:color w:val="auto"/>
              </w:rPr>
              <w:t>S-86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8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780"/>
        <w:spacing w:after="0" w:line="257"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STATEMENTS—(Continued) JUNE 30, 2014</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 owned by us.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As of June 30, 2014 and September 30, 2013, we had $71.3 million in aggregate principal amount of 2025 Notes.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 and/or revolving lines of credit, if any.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June 30, 2014 and September 30, 2013, our maximum guaranty was $11.3 million and $13.0 million, respectively. Based on SPH’s and industry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11430</wp:posOffset>
            </wp:positionV>
            <wp:extent cx="1766570" cy="3771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6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73"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37 of this prospectus for more information.</w:t>
      </w:r>
    </w:p>
    <w:p>
      <w:pPr>
        <w:spacing w:after="0" w:line="6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December 6, 2013 was $11.93 per share, and our net asset value on September 30, 2013 was $10.49 per share. Our 6.25% senior notes due 2025, or the 2025 Notes, have been approved for quotation on the New York Stock Exchange, or NYSE, under the symbol “PNTA.” The last reported closing price of the 2025 Notes on December 6, 2013 was $23.93 per $25 of par.</w:t>
      </w:r>
    </w:p>
    <w:p>
      <w:pPr>
        <w:spacing w:after="0" w:line="79"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9" w:lineRule="exact"/>
        <w:rPr>
          <w:sz w:val="20"/>
          <w:szCs w:val="20"/>
          <w:color w:val="auto"/>
        </w:rPr>
      </w:pPr>
    </w:p>
    <w:p>
      <w:pPr>
        <w:jc w:val="both"/>
        <w:ind w:right="100" w:firstLine="456"/>
        <w:spacing w:after="0" w:line="243" w:lineRule="auto"/>
        <w:rPr>
          <w:sz w:val="20"/>
          <w:szCs w:val="20"/>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Prospectus dated January 30, 2014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60" w:type="dxa"/>
            <w:vAlign w:val="bottom"/>
            <w:gridSpan w:val="5"/>
          </w:tcPr>
          <w:p>
            <w:pPr>
              <w:ind w:left="12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100" w:type="dxa"/>
            <w:vAlign w:val="bottom"/>
            <w:gridSpan w:val="10"/>
            <w:vMerge w:val="restart"/>
          </w:tcPr>
          <w:p>
            <w:pPr>
              <w:spacing w:after="0"/>
              <w:rPr>
                <w:rFonts w:ascii="Arial" w:cs="Arial" w:eastAsia="Arial" w:hAnsi="Arial"/>
                <w:sz w:val="18"/>
                <w:szCs w:val="18"/>
                <w:color w:val="0000EE"/>
                <w:w w:val="94"/>
              </w:rPr>
            </w:pPr>
            <w:hyperlink w:anchor="page94">
              <w:r>
                <w:rPr>
                  <w:rFonts w:ascii="Arial" w:cs="Arial" w:eastAsia="Arial" w:hAnsi="Arial"/>
                  <w:sz w:val="18"/>
                  <w:szCs w:val="18"/>
                  <w:color w:val="0000EE"/>
                  <w:w w:val="94"/>
                </w:rPr>
                <w:t>PROSPECTUS SUMMARY</w:t>
              </w:r>
            </w:hyperlink>
          </w:p>
        </w:tc>
        <w:tc>
          <w:tcPr>
            <w:tcW w:w="8800" w:type="dxa"/>
            <w:vAlign w:val="bottom"/>
            <w:gridSpan w:val="23"/>
            <w:vMerge w:val="restart"/>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100" w:type="dxa"/>
            <w:vAlign w:val="bottom"/>
            <w:tcBorders>
              <w:bottom w:val="single" w:sz="8" w:color="0000EE"/>
            </w:tcBorders>
            <w:gridSpan w:val="10"/>
            <w:vMerge w:val="continue"/>
          </w:tcPr>
          <w:p>
            <w:pPr>
              <w:spacing w:after="0"/>
              <w:rPr>
                <w:sz w:val="14"/>
                <w:szCs w:val="14"/>
                <w:color w:val="auto"/>
              </w:rPr>
            </w:pPr>
          </w:p>
        </w:tc>
        <w:tc>
          <w:tcPr>
            <w:tcW w:w="8800" w:type="dxa"/>
            <w:vAlign w:val="bottom"/>
            <w:gridSpan w:val="23"/>
            <w:vMerge w:val="continue"/>
          </w:tcPr>
          <w:p>
            <w:pPr>
              <w:spacing w:after="0"/>
              <w:rPr>
                <w:sz w:val="14"/>
                <w:szCs w:val="14"/>
                <w:color w:val="auto"/>
              </w:rPr>
            </w:pPr>
          </w:p>
        </w:tc>
        <w:tc>
          <w:tcPr>
            <w:tcW w:w="4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FEES AND EXPENSES</w:t>
              </w:r>
            </w:hyperlink>
          </w:p>
        </w:tc>
        <w:tc>
          <w:tcPr>
            <w:tcW w:w="9100" w:type="dxa"/>
            <w:vAlign w:val="bottom"/>
            <w:gridSpan w:val="2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RISK FACTORS</w:t>
              </w:r>
            </w:hyperlink>
          </w:p>
        </w:tc>
        <w:tc>
          <w:tcPr>
            <w:tcW w:w="9640" w:type="dxa"/>
            <w:vAlign w:val="bottom"/>
            <w:gridSpan w:val="3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29">
              <w:r>
                <w:rPr>
                  <w:rFonts w:ascii="Arial" w:cs="Arial" w:eastAsia="Arial" w:hAnsi="Arial"/>
                  <w:sz w:val="18"/>
                  <w:szCs w:val="18"/>
                  <w:color w:val="0000EE"/>
                  <w:w w:val="95"/>
                </w:rPr>
                <w:t>FORWARD-LOOKING STATEMENTS</w:t>
              </w:r>
            </w:hyperlink>
          </w:p>
        </w:tc>
        <w:tc>
          <w:tcPr>
            <w:tcW w:w="796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USE OF PROCEEDS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w:anchor="page131">
              <w:r>
                <w:rPr>
                  <w:rFonts w:ascii="Arial" w:cs="Arial" w:eastAsia="Arial" w:hAnsi="Arial"/>
                  <w:sz w:val="18"/>
                  <w:szCs w:val="18"/>
                  <w:color w:val="0000EE"/>
                  <w:w w:val="97"/>
                </w:rPr>
                <w:t>SELECTED FINANCIAL DATA</w:t>
              </w:r>
            </w:hyperlink>
          </w:p>
        </w:tc>
        <w:tc>
          <w:tcPr>
            <w:tcW w:w="8460" w:type="dxa"/>
            <w:vAlign w:val="bottom"/>
            <w:gridSpan w:val="2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MANAGEMENT’S DISCUSSION AND ANALYSIS OF FINANCIAL CONDITION AND RESULTS OF OPERATIONS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2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RATIO OF EARNINGS TO FIXED CHARGES</w:t>
              </w:r>
            </w:hyperlink>
          </w:p>
        </w:tc>
        <w:tc>
          <w:tcPr>
            <w:tcW w:w="198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PRICE RANGE OF COMMON STOCK</w:t>
              </w:r>
            </w:hyperlink>
          </w:p>
        </w:tc>
        <w:tc>
          <w:tcPr>
            <w:tcW w:w="740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SALES OF COMMON STOCK BELOW NET ASSET VALUE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DISTRIBUTIONS</w:t>
              </w:r>
            </w:hyperlink>
          </w:p>
        </w:tc>
        <w:tc>
          <w:tcPr>
            <w:tcW w:w="626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2"/>
              </w:rPr>
            </w:pPr>
            <w:hyperlink w:anchor="page158">
              <w:r>
                <w:rPr>
                  <w:rFonts w:ascii="Arial" w:cs="Arial" w:eastAsia="Arial" w:hAnsi="Arial"/>
                  <w:sz w:val="18"/>
                  <w:szCs w:val="18"/>
                  <w:color w:val="0000EE"/>
                  <w:w w:val="92"/>
                </w:rPr>
                <w:t>BUSINESS</w:t>
              </w:r>
            </w:hyperlink>
          </w:p>
        </w:tc>
        <w:tc>
          <w:tcPr>
            <w:tcW w:w="500" w:type="dxa"/>
            <w:vAlign w:val="bottom"/>
            <w:tcBorders>
              <w:top w:val="single" w:sz="8" w:color="0000EE"/>
            </w:tcBorders>
            <w:gridSpan w:val="4"/>
          </w:tcPr>
          <w:p>
            <w:pPr>
              <w:spacing w:after="0"/>
              <w:rPr>
                <w:sz w:val="17"/>
                <w:szCs w:val="17"/>
                <w:color w:val="auto"/>
              </w:rPr>
            </w:pPr>
          </w:p>
        </w:tc>
        <w:tc>
          <w:tcPr>
            <w:tcW w:w="9540" w:type="dxa"/>
            <w:vAlign w:val="bottom"/>
            <w:gridSpan w:val="2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163">
              <w:r>
                <w:rPr>
                  <w:rFonts w:ascii="Arial" w:cs="Arial" w:eastAsia="Arial" w:hAnsi="Arial"/>
                  <w:sz w:val="18"/>
                  <w:szCs w:val="18"/>
                  <w:color w:val="0000EE"/>
                  <w:w w:val="96"/>
                </w:rPr>
                <w:t>INVESTMENT OBJECTIVES AND POLICIES</w:t>
              </w:r>
            </w:hyperlink>
          </w:p>
        </w:tc>
        <w:tc>
          <w:tcPr>
            <w:tcW w:w="736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169">
              <w:r>
                <w:rPr>
                  <w:rFonts w:ascii="Arial" w:cs="Arial" w:eastAsia="Arial" w:hAnsi="Arial"/>
                  <w:sz w:val="18"/>
                  <w:szCs w:val="18"/>
                  <w:color w:val="0000EE"/>
                  <w:w w:val="93"/>
                </w:rPr>
                <w:t>PORTFOLIO COMPANIES</w:t>
              </w:r>
            </w:hyperlink>
          </w:p>
        </w:tc>
        <w:tc>
          <w:tcPr>
            <w:tcW w:w="8840" w:type="dxa"/>
            <w:vAlign w:val="bottom"/>
            <w:gridSpan w:val="2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MANAGEMENT</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CONTROL PERSONS AND PRINCIPAL STOCKHOLDERS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CERTAIN RELATIONSHIPS AND TRANSACTIONS</w:t>
              </w:r>
            </w:hyperlink>
          </w:p>
        </w:tc>
        <w:tc>
          <w:tcPr>
            <w:tcW w:w="636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189">
              <w:r>
                <w:rPr>
                  <w:rFonts w:ascii="Arial" w:cs="Arial" w:eastAsia="Arial" w:hAnsi="Arial"/>
                  <w:sz w:val="18"/>
                  <w:szCs w:val="18"/>
                  <w:color w:val="0000EE"/>
                  <w:w w:val="96"/>
                </w:rPr>
                <w:t>DETERMINATION OF NET ASSET VALUE</w:t>
              </w:r>
            </w:hyperlink>
          </w:p>
        </w:tc>
        <w:tc>
          <w:tcPr>
            <w:tcW w:w="640" w:type="dxa"/>
            <w:vAlign w:val="bottom"/>
            <w:tcBorders>
              <w:top w:val="single" w:sz="8" w:color="0000EE"/>
            </w:tcBorders>
            <w:gridSpan w:val="6"/>
          </w:tcPr>
          <w:p>
            <w:pPr>
              <w:spacing w:after="0"/>
              <w:rPr>
                <w:sz w:val="17"/>
                <w:szCs w:val="17"/>
                <w:color w:val="auto"/>
              </w:rPr>
            </w:pPr>
          </w:p>
        </w:tc>
        <w:tc>
          <w:tcPr>
            <w:tcW w:w="688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DIVIDEND REINVESTMENT PLAN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DESCRIPTION OF OUR CAPITAL STOCK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200">
              <w:r>
                <w:rPr>
                  <w:rFonts w:ascii="Arial" w:cs="Arial" w:eastAsia="Arial" w:hAnsi="Arial"/>
                  <w:sz w:val="18"/>
                  <w:szCs w:val="18"/>
                  <w:color w:val="0000EE"/>
                  <w:w w:val="93"/>
                </w:rPr>
                <w:t>DESCRIPTION OF OUR PREFERRED STOCK</w:t>
              </w:r>
            </w:hyperlink>
          </w:p>
        </w:tc>
        <w:tc>
          <w:tcPr>
            <w:tcW w:w="7320" w:type="dxa"/>
            <w:vAlign w:val="bottom"/>
            <w:gridSpan w:val="1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201">
              <w:r>
                <w:rPr>
                  <w:rFonts w:ascii="Arial" w:cs="Arial" w:eastAsia="Arial" w:hAnsi="Arial"/>
                  <w:sz w:val="18"/>
                  <w:szCs w:val="18"/>
                  <w:color w:val="0000EE"/>
                  <w:w w:val="94"/>
                </w:rPr>
                <w:t>DESCRIPTION OF OUR WARRANTS</w:t>
              </w:r>
            </w:hyperlink>
          </w:p>
        </w:tc>
        <w:tc>
          <w:tcPr>
            <w:tcW w:w="798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203">
              <w:r>
                <w:rPr>
                  <w:rFonts w:ascii="Arial" w:cs="Arial" w:eastAsia="Arial" w:hAnsi="Arial"/>
                  <w:sz w:val="18"/>
                  <w:szCs w:val="18"/>
                  <w:color w:val="0000EE"/>
                  <w:w w:val="94"/>
                </w:rPr>
                <w:t>DESCRIPTION OF OUR SUBSCRIPTION RIGHTS</w:t>
              </w:r>
            </w:hyperlink>
          </w:p>
        </w:tc>
        <w:tc>
          <w:tcPr>
            <w:tcW w:w="7000" w:type="dxa"/>
            <w:vAlign w:val="bottom"/>
            <w:gridSpan w:val="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205">
              <w:r>
                <w:rPr>
                  <w:rFonts w:ascii="Arial" w:cs="Arial" w:eastAsia="Arial" w:hAnsi="Arial"/>
                  <w:sz w:val="18"/>
                  <w:szCs w:val="18"/>
                  <w:color w:val="0000EE"/>
                  <w:w w:val="94"/>
                </w:rPr>
                <w:t>DESCRIPTION OF OUR DEBT SECURITIES</w:t>
              </w:r>
            </w:hyperlink>
          </w:p>
        </w:tc>
        <w:tc>
          <w:tcPr>
            <w:tcW w:w="7440" w:type="dxa"/>
            <w:vAlign w:val="bottom"/>
            <w:gridSpan w:val="1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218">
              <w:r>
                <w:rPr>
                  <w:rFonts w:ascii="Arial" w:cs="Arial" w:eastAsia="Arial" w:hAnsi="Arial"/>
                  <w:sz w:val="18"/>
                  <w:szCs w:val="18"/>
                  <w:color w:val="0000EE"/>
                  <w:w w:val="94"/>
                </w:rPr>
                <w:t>DESCRIPTION OF OUR UNITS</w:t>
              </w:r>
            </w:hyperlink>
          </w:p>
        </w:tc>
        <w:tc>
          <w:tcPr>
            <w:tcW w:w="844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REGULATION</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BROKERAGE ALLOCATIONS AND OTHER PRACTICES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940" w:type="dxa"/>
            <w:vAlign w:val="bottom"/>
            <w:tcBorders>
              <w:right w:val="single" w:sz="8" w:color="0000EE"/>
            </w:tcBorders>
            <w:gridSpan w:val="13"/>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226">
              <w:r>
                <w:rPr>
                  <w:rFonts w:ascii="Arial" w:cs="Arial" w:eastAsia="Arial" w:hAnsi="Arial"/>
                  <w:sz w:val="18"/>
                  <w:szCs w:val="18"/>
                  <w:color w:val="0000EE"/>
                  <w:w w:val="96"/>
                </w:rPr>
                <w:t>MATERIAL U.S. FEDERAL INCOME TAX CONSIDERATIONS</w:t>
              </w:r>
            </w:hyperlink>
          </w:p>
        </w:tc>
        <w:tc>
          <w:tcPr>
            <w:tcW w:w="602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232">
              <w:r>
                <w:rPr>
                  <w:rFonts w:ascii="Arial" w:cs="Arial" w:eastAsia="Arial" w:hAnsi="Arial"/>
                  <w:sz w:val="18"/>
                  <w:szCs w:val="18"/>
                  <w:color w:val="0000EE"/>
                  <w:w w:val="97"/>
                </w:rPr>
                <w:t>PLAN OF DISTRIBUTION</w:t>
              </w:r>
            </w:hyperlink>
          </w:p>
        </w:tc>
        <w:tc>
          <w:tcPr>
            <w:tcW w:w="8840" w:type="dxa"/>
            <w:vAlign w:val="bottom"/>
            <w:gridSpan w:val="2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SUB-ADMINISTRATOR, CUSTODIAN, TRANSFER AGENT AND TRUSTEE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59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LEGAL MATTERS</w:t>
              </w:r>
            </w:hyperlink>
          </w:p>
        </w:tc>
        <w:tc>
          <w:tcPr>
            <w:tcW w:w="4960" w:type="dxa"/>
            <w:vAlign w:val="bottom"/>
            <w:gridSpan w:val="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4"/>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940" w:type="dxa"/>
            <w:vAlign w:val="bottom"/>
            <w:gridSpan w:val="1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00" w:type="dxa"/>
            <w:vAlign w:val="bottom"/>
            <w:gridSpan w:val="33"/>
          </w:tcPr>
          <w:p>
            <w:pPr>
              <w:spacing w:after="0" w:line="196" w:lineRule="exact"/>
              <w:rPr>
                <w:rFonts w:ascii="Arial" w:cs="Arial" w:eastAsia="Arial" w:hAnsi="Arial"/>
                <w:sz w:val="18"/>
                <w:szCs w:val="18"/>
                <w:color w:val="0000EE"/>
              </w:rPr>
            </w:pPr>
            <w:hyperlink w:anchor="page233">
              <w:r>
                <w:rPr>
                  <w:rFonts w:ascii="Arial" w:cs="Arial" w:eastAsia="Arial" w:hAnsi="Arial"/>
                  <w:sz w:val="18"/>
                  <w:szCs w:val="18"/>
                  <w:color w:val="0000EE"/>
                </w:rPr>
                <w:t>INDEPENDENT REGISTERED PUBLIC ACCOUNTING FIRM</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96"/>
        </w:trPr>
        <w:tc>
          <w:tcPr>
            <w:tcW w:w="48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INDEX TO CONSOLIDATED FINANCIAL STATEMENTS</w:t>
              </w:r>
            </w:hyperlink>
          </w:p>
        </w:tc>
        <w:tc>
          <w:tcPr>
            <w:tcW w:w="610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5"/>
              </w:rPr>
              <w:t>PART C OTHER INFORMATION</w:t>
            </w:r>
          </w:p>
        </w:tc>
        <w:tc>
          <w:tcPr>
            <w:tcW w:w="1940" w:type="dxa"/>
            <w:vAlign w:val="bottom"/>
            <w:tcBorders>
              <w:top w:val="single" w:sz="8" w:color="0000EE"/>
            </w:tcBorders>
            <w:gridSpan w:val="13"/>
          </w:tcPr>
          <w:p>
            <w:pPr>
              <w:spacing w:after="0"/>
              <w:rPr>
                <w:sz w:val="17"/>
                <w:szCs w:val="17"/>
                <w:color w:val="auto"/>
              </w:rPr>
            </w:pPr>
          </w:p>
        </w:tc>
        <w:tc>
          <w:tcPr>
            <w:tcW w:w="642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w:t>
            </w:r>
          </w:p>
        </w:tc>
        <w:tc>
          <w:tcPr>
            <w:tcW w:w="0" w:type="dxa"/>
            <w:vAlign w:val="bottom"/>
          </w:tcPr>
          <w:p>
            <w:pPr>
              <w:spacing w:after="0"/>
              <w:rPr>
                <w:sz w:val="1"/>
                <w:szCs w:val="1"/>
                <w:color w:val="auto"/>
              </w:rPr>
            </w:pPr>
          </w:p>
        </w:tc>
      </w:tr>
      <w:tr>
        <w:trPr>
          <w:trHeight w:val="196"/>
        </w:trPr>
        <w:tc>
          <w:tcPr>
            <w:tcW w:w="10900" w:type="dxa"/>
            <w:vAlign w:val="bottom"/>
            <w:gridSpan w:val="33"/>
          </w:tcPr>
          <w:p>
            <w:pPr>
              <w:spacing w:after="0" w:line="196" w:lineRule="exact"/>
              <w:rPr>
                <w:sz w:val="20"/>
                <w:szCs w:val="20"/>
                <w:color w:val="auto"/>
              </w:rPr>
            </w:pPr>
            <w:r>
              <w:rPr>
                <w:rFonts w:ascii="Arial" w:cs="Arial" w:eastAsia="Arial" w:hAnsi="Arial"/>
                <w:sz w:val="18"/>
                <w:szCs w:val="18"/>
                <w:color w:val="0000EE"/>
              </w:rPr>
              <w:t>SIGNATURES</w:t>
            </w: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68" w:lineRule="auto"/>
        <w:rPr>
          <w:sz w:val="20"/>
          <w:szCs w:val="20"/>
          <w:color w:val="auto"/>
        </w:rPr>
      </w:pPr>
      <w:r>
        <w:rPr>
          <w:rFonts w:ascii="Arial" w:cs="Arial" w:eastAsia="Arial" w:hAnsi="Arial"/>
          <w:sz w:val="17"/>
          <w:szCs w:val="17"/>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200" w:right="340" w:firstLine="443"/>
        <w:spacing w:after="0" w:line="34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24" w:lineRule="exact"/>
        <w:rPr>
          <w:sz w:val="20"/>
          <w:szCs w:val="20"/>
          <w:color w:val="auto"/>
        </w:rPr>
      </w:pPr>
    </w:p>
    <w:p>
      <w:pPr>
        <w:ind w:left="200" w:right="60" w:firstLine="443"/>
        <w:spacing w:after="0" w:line="290"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66" w:lineRule="exact"/>
        <w:rPr>
          <w:sz w:val="20"/>
          <w:szCs w:val="20"/>
          <w:color w:val="auto"/>
        </w:rPr>
      </w:pPr>
    </w:p>
    <w:p>
      <w:pPr>
        <w:ind w:left="200" w:right="40" w:firstLine="443"/>
        <w:spacing w:after="0" w:line="279" w:lineRule="auto"/>
        <w:rPr>
          <w:sz w:val="20"/>
          <w:szCs w:val="20"/>
          <w:color w:val="auto"/>
        </w:rPr>
      </w:pPr>
      <w:r>
        <w:rPr>
          <w:rFonts w:ascii="Arial" w:cs="Arial" w:eastAsia="Arial" w:hAnsi="Arial"/>
          <w:sz w:val="17"/>
          <w:szCs w:val="17"/>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the SBA debentures, proceeds from the rotation of our portfolio and proceeds from public and private offerings of securities to finance our investment objectives.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200" w:right="360" w:firstLine="443"/>
        <w:spacing w:after="0" w:line="277"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61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 In addition, for federal income tax purposes we have elected to be treated, and intend to qualify annually, as a RIC under the Code.</w:t>
      </w:r>
    </w:p>
    <w:p>
      <w:pPr>
        <w:spacing w:after="0" w:line="225" w:lineRule="exact"/>
        <w:rPr>
          <w:sz w:val="20"/>
          <w:szCs w:val="20"/>
          <w:color w:val="auto"/>
        </w:rPr>
      </w:pPr>
    </w:p>
    <w:p>
      <w:pPr>
        <w:ind w:left="200" w:right="100" w:firstLine="443"/>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6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increasing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121" w:lineRule="exact"/>
        <w:rPr>
          <w:sz w:val="20"/>
          <w:szCs w:val="20"/>
          <w:color w:val="auto"/>
        </w:rPr>
      </w:pPr>
    </w:p>
    <w:p>
      <w:pPr>
        <w:ind w:left="200" w:right="320" w:firstLine="443"/>
        <w:spacing w:after="0" w:line="277" w:lineRule="auto"/>
        <w:rPr>
          <w:sz w:val="20"/>
          <w:szCs w:val="20"/>
          <w:color w:val="auto"/>
        </w:rPr>
      </w:pPr>
      <w:r>
        <w:rPr>
          <w:rFonts w:ascii="Arial" w:cs="Arial" w:eastAsia="Arial" w:hAnsi="Arial"/>
          <w:sz w:val="18"/>
          <w:szCs w:val="18"/>
          <w:color w:val="auto"/>
        </w:rPr>
        <w:t>We believe that we have competitive advantages over other capital providers in middle-market companies, such as a management team with an average of over 25 years of experience, a disciplined investment approach</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121"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We currently use and expect to continue to use leverage from our Credit Facility, our SBA debentures and our 2025 Notes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to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229" w:lineRule="exact"/>
        <w:rPr>
          <w:sz w:val="20"/>
          <w:szCs w:val="20"/>
          <w:color w:val="auto"/>
        </w:rPr>
      </w:pPr>
    </w:p>
    <w:p>
      <w:pPr>
        <w:ind w:left="200" w:right="20" w:firstLine="443"/>
        <w:spacing w:after="0" w:line="279" w:lineRule="auto"/>
        <w:rPr>
          <w:sz w:val="20"/>
          <w:szCs w:val="20"/>
          <w:color w:val="auto"/>
        </w:rPr>
      </w:pPr>
      <w:r>
        <w:rPr>
          <w:rFonts w:ascii="Arial" w:cs="Arial" w:eastAsia="Arial" w:hAnsi="Arial"/>
          <w:sz w:val="17"/>
          <w:szCs w:val="17"/>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71" w:lineRule="exact"/>
        <w:rPr>
          <w:sz w:val="20"/>
          <w:szCs w:val="20"/>
          <w:color w:val="auto"/>
        </w:rPr>
      </w:pPr>
    </w:p>
    <w:p>
      <w:pPr>
        <w:ind w:left="200" w:right="300" w:firstLine="443"/>
        <w:spacing w:after="0" w:line="257"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Agreements” for more information.</w:t>
      </w:r>
    </w:p>
    <w:p>
      <w:pPr>
        <w:spacing w:after="0" w:line="188" w:lineRule="exact"/>
        <w:rPr>
          <w:sz w:val="20"/>
          <w:szCs w:val="20"/>
          <w:color w:val="auto"/>
        </w:rPr>
      </w:pPr>
    </w:p>
    <w:p>
      <w:pPr>
        <w:ind w:left="200" w:right="60" w:firstLine="443"/>
        <w:spacing w:after="0" w:line="312"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674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6465" cy="60674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firstLine="443"/>
        <w:spacing w:after="0" w:line="264"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2013, the corresponding interest rate charged on such borrowings as of that date and the length of time that it may take us to invest any proceeds in new or existing portfolio companies.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Form 8-K filed on November 25, 2013.</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For the years ended September 30, 2013, 2012, 2011, 2010 and 2009, our ratios of earnings to fixed charges were 6.0, 5.4, 1.9, 4.5 and 7.7, respectively. See “Ratio of Earnings to Fixed Charges”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200" w:right="80" w:firstLine="443"/>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200" w:right="200" w:firstLine="443"/>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200" w:right="40" w:firstLine="443"/>
        <w:spacing w:after="0" w:line="257" w:lineRule="auto"/>
        <w:rPr>
          <w:sz w:val="20"/>
          <w:szCs w:val="20"/>
          <w:color w:val="auto"/>
        </w:rPr>
      </w:pPr>
      <w:r>
        <w:rPr>
          <w:rFonts w:ascii="Arial" w:cs="Arial" w:eastAsia="Arial" w:hAnsi="Arial"/>
          <w:sz w:val="18"/>
          <w:szCs w:val="18"/>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71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6465" cy="38715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200" w:right="300" w:firstLine="443"/>
        <w:spacing w:after="0" w:line="277"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170"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67"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200" w:firstLine="553"/>
        <w:spacing w:after="0" w:line="270" w:lineRule="auto"/>
        <w:rPr>
          <w:sz w:val="20"/>
          <w:szCs w:val="20"/>
          <w:color w:val="auto"/>
        </w:rPr>
      </w:pPr>
      <w:r>
        <w:rPr>
          <w:rFonts w:ascii="Arial" w:cs="Arial" w:eastAsia="Arial" w:hAnsi="Arial"/>
          <w:sz w:val="17"/>
          <w:szCs w:val="17"/>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material that we file with the SEC on the EDGAR Database.</w:t>
      </w: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Sales load</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0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Management fees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3.02%</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2.32%</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700" w:type="dxa"/>
            <w:vAlign w:val="bottom"/>
            <w:gridSpan w:val="2"/>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8.08%</w:t>
            </w: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right="320" w:hanging="452"/>
        <w:spacing w:after="0" w:line="25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three months ended September 30, 2013.</w:t>
      </w:r>
    </w:p>
    <w:p>
      <w:pPr>
        <w:spacing w:after="0" w:line="9"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on September 30, 2013. See “Certain Relationships and Transactions—Investment Management Agreement” for more information.</w:t>
      </w:r>
    </w:p>
    <w:p>
      <w:pPr>
        <w:ind w:left="460" w:right="20" w:hanging="452"/>
        <w:spacing w:after="0" w:line="281"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right="20" w:hanging="452"/>
        <w:spacing w:after="0" w:line="29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of September 30, 2013, we had $284.5 million of unused borrowing capacity, subject to maintenance of the applicable total assets to debt ratio, under the 1940 Act, and $145.5 million in borrowings outstanding under our $430.0 million Credit Facility and had $71.3 million in aggregate principal of 2025 Notes at an annual interest rate of 6.25%. As of September 30, 2013, SBIC LP had $150.0 million outstanding with a weighted average annual interest rate of 3.70%, exclusive of the 3.43% of upfront fees (4.04% inclusive of the 3.43% upfront fee). We may use proceeds of an offering of securities under this registration statement to repay outstanding obligations under our Credit Facility. After completing any such offering, we may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79" w:lineRule="auto"/>
        <w:rPr>
          <w:sz w:val="20"/>
          <w:szCs w:val="20"/>
          <w:color w:val="auto"/>
        </w:rPr>
      </w:pPr>
      <w:r>
        <w:rPr>
          <w:rFonts w:ascii="Arial" w:cs="Arial" w:eastAsia="Arial" w:hAnsi="Arial"/>
          <w:sz w:val="17"/>
          <w:szCs w:val="17"/>
          <w:color w:val="auto"/>
        </w:rPr>
        <w:t>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77" w:lineRule="exact"/>
        <w:rPr>
          <w:sz w:val="20"/>
          <w:szCs w:val="20"/>
          <w:color w:val="auto"/>
        </w:rPr>
      </w:pPr>
    </w:p>
    <w:p>
      <w:pPr>
        <w:ind w:left="460" w:right="120" w:hanging="452"/>
        <w:spacing w:after="0" w:line="259"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92" w:lineRule="exact"/>
        <w:rPr>
          <w:rFonts w:ascii="Arial" w:cs="Arial" w:eastAsia="Arial" w:hAnsi="Arial"/>
          <w:sz w:val="18"/>
          <w:szCs w:val="18"/>
          <w:color w:val="auto"/>
        </w:rPr>
      </w:pPr>
    </w:p>
    <w:p>
      <w:pPr>
        <w:ind w:left="460" w:right="260" w:hanging="452"/>
        <w:spacing w:after="0" w:line="297"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27 of this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3.50% sales load (underwriting discounts and commissions) and offering expenses totaling 0.34%, (2) total net annual expenses of 5.66% of average net assets attributable to common shares as set forth in the table above (other than performance-based incentive fees) and (3) a 5% annual return.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You would pay the following expenses on a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1,000 common stock investment</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47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Assuming a 5% annual return (assumes no return from net realized</w:t>
            </w:r>
          </w:p>
        </w:tc>
        <w:tc>
          <w:tcPr>
            <w:tcW w:w="3340" w:type="dxa"/>
            <w:vAlign w:val="bottom"/>
            <w:tcBorders>
              <w:top w:val="single" w:sz="8" w:color="CCEEFF"/>
            </w:tcBorders>
            <w:shd w:val="clear" w:color="auto" w:fill="CCEEFF"/>
          </w:tcPr>
          <w:p>
            <w:pPr>
              <w:ind w:left="180"/>
              <w:spacing w:after="0" w:line="182" w:lineRule="exact"/>
              <w:rPr>
                <w:sz w:val="20"/>
                <w:szCs w:val="20"/>
                <w:color w:val="auto"/>
              </w:rPr>
            </w:pPr>
            <w:r>
              <w:rPr>
                <w:rFonts w:ascii="Arial" w:cs="Arial" w:eastAsia="Arial" w:hAnsi="Arial"/>
                <w:sz w:val="18"/>
                <w:szCs w:val="18"/>
                <w:color w:val="auto"/>
              </w:rPr>
              <w:t>capital gains or net unrealized capital</w:t>
            </w:r>
          </w:p>
        </w:tc>
        <w:tc>
          <w:tcPr>
            <w:tcW w:w="1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44"/>
        </w:trPr>
        <w:tc>
          <w:tcPr>
            <w:tcW w:w="8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appreciation)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9"/>
              </w:rPr>
              <w:t>200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306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r>
      <w:tr>
        <w:trPr>
          <w:trHeight w:val="202"/>
        </w:trPr>
        <w:tc>
          <w:tcPr>
            <w:tcW w:w="8040" w:type="dxa"/>
            <w:vAlign w:val="bottom"/>
            <w:gridSpan w:val="2"/>
          </w:tcPr>
          <w:p>
            <w:pPr>
              <w:spacing w:after="0" w:line="201" w:lineRule="exact"/>
              <w:rPr>
                <w:sz w:val="20"/>
                <w:szCs w:val="20"/>
                <w:color w:val="auto"/>
              </w:rPr>
            </w:pPr>
            <w:r>
              <w:rPr>
                <w:rFonts w:ascii="Arial" w:cs="Arial" w:eastAsia="Arial" w:hAnsi="Arial"/>
                <w:sz w:val="18"/>
                <w:szCs w:val="18"/>
                <w:color w:val="auto"/>
                <w:w w:val="99"/>
              </w:rPr>
              <w:t>Assuming a 5% annual return (assumes return from only realized capital gains and thus subject to the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040" w:type="dxa"/>
            <w:vAlign w:val="bottom"/>
            <w:gridSpan w:val="2"/>
          </w:tcPr>
          <w:p>
            <w:pPr>
              <w:ind w:left="180"/>
              <w:spacing w:after="0"/>
              <w:rPr>
                <w:sz w:val="20"/>
                <w:szCs w:val="20"/>
                <w:color w:val="auto"/>
              </w:rPr>
            </w:pPr>
            <w:r>
              <w:rPr>
                <w:rFonts w:ascii="Arial" w:cs="Arial" w:eastAsia="Arial" w:hAnsi="Arial"/>
                <w:sz w:val="18"/>
                <w:szCs w:val="18"/>
                <w:color w:val="auto"/>
              </w:rPr>
              <w:t>capital gains incentive fee)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226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346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bl>
    <w:p>
      <w:pPr>
        <w:spacing w:after="0" w:line="20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NAV. Under certain circumstances, reinvestment of dividends and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and 2025 Notes, or any securities we may issue, may decline, and you may lose all or part of your investment.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right="20" w:firstLine="228"/>
        <w:spacing w:after="0" w:line="264"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7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debt and equity capital. As a BDC, we are generally not able to issue additional shares of our common stock at a price less than NAV without first obtaining approval for such issuance from our stockholders and our independent directors. Additionally, our ability to incur indebtedness is limited by the asset coverage requirements for a BDC, as defined in the 1940 Act, which we refer to as the asset coverage ratio, exclusive of the SBA debentures pursuant to our SEC exemptive relief. Declining portfolio values negatively impact our ability to borrow additional funds under our Credit Facility because our NAV is reduced for purposes of the asset coverage requirement.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295" w:lineRule="exact"/>
        <w:rPr>
          <w:sz w:val="20"/>
          <w:szCs w:val="20"/>
          <w:color w:val="auto"/>
        </w:rPr>
      </w:pPr>
    </w:p>
    <w:p>
      <w:pPr>
        <w:ind w:right="320" w:firstLine="228"/>
        <w:spacing w:after="0" w:line="277"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our Credit Facility, the 2025 Notes and SBA debentures.</w:t>
      </w:r>
    </w:p>
    <w:p>
      <w:pPr>
        <w:spacing w:after="0" w:line="62"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In addition to the applicable asset coverage ratio that restricts our ability to borrow under our Credit Facility, the Credit Facility and the indenture governing the 2025 Notes contain various covenants which, if not complied with, could accelerate repayment under the Credit Facility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78"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24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addition to the Credit Facility, we have issued the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as applicable. This could have a material adverse effect on our operations, as it would reduce availability under the Credit Facility and could trigger mandatory prepayment obligations under the terms of the Credit Facility and the 2025 Notes.</w:t>
      </w:r>
    </w:p>
    <w:p>
      <w:pPr>
        <w:spacing w:after="0" w:line="296" w:lineRule="exact"/>
        <w:rPr>
          <w:sz w:val="20"/>
          <w:szCs w:val="20"/>
          <w:color w:val="auto"/>
        </w:rPr>
      </w:pPr>
    </w:p>
    <w:p>
      <w:pPr>
        <w:ind w:right="600" w:firstLine="228"/>
        <w:spacing w:after="0" w:line="277"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88"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and 2025 Notes.</w:t>
      </w:r>
    </w:p>
    <w:p>
      <w:pPr>
        <w:spacing w:after="0" w:line="289" w:lineRule="exact"/>
        <w:rPr>
          <w:sz w:val="20"/>
          <w:szCs w:val="20"/>
          <w:color w:val="auto"/>
        </w:rPr>
      </w:pPr>
    </w:p>
    <w:p>
      <w:pPr>
        <w:ind w:right="500" w:firstLine="228"/>
        <w:spacing w:after="0" w:line="277" w:lineRule="auto"/>
        <w:rPr>
          <w:sz w:val="20"/>
          <w:szCs w:val="20"/>
          <w:color w:val="auto"/>
        </w:rPr>
      </w:pPr>
      <w:r>
        <w:rPr>
          <w:rFonts w:ascii="Arial" w:cs="Arial" w:eastAsia="Arial" w:hAnsi="Arial"/>
          <w:sz w:val="18"/>
          <w:szCs w:val="18"/>
          <w:b w:val="1"/>
          <w:bCs w:val="1"/>
          <w:i w:val="1"/>
          <w:iCs w:val="1"/>
          <w:color w:val="auto"/>
        </w:rPr>
        <w:t>Following periods of volatility in the market price of a company’s securities, securities class action litigation has often been brought against that company.</w:t>
      </w:r>
    </w:p>
    <w:p>
      <w:pPr>
        <w:spacing w:after="0" w:line="6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If the trading price of our stock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14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quality of our credit portfolio could have a material adverse effect on our capital, financial condition and results of operations. If interest rates rise, some of our portfolio companies may not be able to pay the escalating interest on our loans and may default.</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277" w:lineRule="exact"/>
        <w:rPr>
          <w:sz w:val="20"/>
          <w:szCs w:val="20"/>
          <w:color w:val="auto"/>
        </w:rPr>
      </w:pPr>
    </w:p>
    <w:p>
      <w:pPr>
        <w:ind w:right="240" w:firstLine="228"/>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300" w:lineRule="exact"/>
        <w:rPr>
          <w:sz w:val="20"/>
          <w:szCs w:val="20"/>
          <w:color w:val="auto"/>
        </w:rPr>
      </w:pPr>
    </w:p>
    <w:p>
      <w:pPr>
        <w:jc w:val="both"/>
        <w:ind w:right="400" w:firstLine="228"/>
        <w:spacing w:after="0" w:line="264"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73"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our Investment Management Agreement or Administration Agreement discussed above is terminated, our costs under new agreements that we enter into may increase. In addition, we will likely incur significant time and expense in locating alternative parties to provide the services we expect to receive under our Investment Management Agreement and Administration Agreement. Any new investment management agreement would also be subject to approval by our stockholders.</w:t>
      </w:r>
    </w:p>
    <w:p>
      <w:pPr>
        <w:spacing w:after="0" w:line="295" w:lineRule="exact"/>
        <w:rPr>
          <w:sz w:val="20"/>
          <w:szCs w:val="20"/>
          <w:color w:val="auto"/>
        </w:rPr>
      </w:pPr>
    </w:p>
    <w:p>
      <w:pPr>
        <w:ind w:right="260" w:firstLine="228"/>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business depends on the communications and information systems of the Investment Adviser and the Administrator. Any failure or interruption of such systems could cause delays or other problems in our activities. This, in turn,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time to time, and we can offer no assurance that we will be able to identify and make investments that are consistent with our investment objectives.</w:t>
      </w:r>
    </w:p>
    <w:p>
      <w:pPr>
        <w:spacing w:after="0" w:line="237" w:lineRule="exact"/>
        <w:rPr>
          <w:sz w:val="20"/>
          <w:szCs w:val="20"/>
          <w:color w:val="auto"/>
        </w:rPr>
      </w:pPr>
    </w:p>
    <w:p>
      <w:pPr>
        <w:ind w:right="440" w:firstLine="456"/>
        <w:spacing w:after="0" w:line="257"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not replicate the historical performance of other investment companies with which our investment professionals have been affiliated.</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business development company would reduce our operating flexibility.</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4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For federal income tax purposes, we include in income certain amounts that we have not yet received in cash, such as original issue discount, or OID, and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pacing w:after="0" w:line="266" w:lineRule="exact"/>
        <w:rPr>
          <w:sz w:val="20"/>
          <w:szCs w:val="20"/>
          <w:color w:val="auto"/>
        </w:rPr>
      </w:pPr>
    </w:p>
    <w:p>
      <w:pPr>
        <w:ind w:right="320" w:firstLine="228"/>
        <w:spacing w:after="0" w:line="375"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7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be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Regulations governing our operation as a business development company will affect our ability to, and the way in which we, raise additional capital.</w:t>
      </w:r>
    </w:p>
    <w:p>
      <w:pPr>
        <w:spacing w:after="0" w:line="15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distributions or issue additional senior securities would be restricted if our asset coverage requirements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94" w:lineRule="exact"/>
        <w:rPr>
          <w:sz w:val="20"/>
          <w:szCs w:val="20"/>
          <w:color w:val="auto"/>
        </w:rPr>
      </w:pPr>
    </w:p>
    <w:p>
      <w:pPr>
        <w:ind w:left="900" w:hanging="325"/>
        <w:spacing w:after="0" w:line="273"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Senior Securities. </w:t>
      </w:r>
      <w:r>
        <w:rPr>
          <w:rFonts w:ascii="Arial" w:cs="Arial" w:eastAsia="Arial" w:hAnsi="Arial"/>
          <w:sz w:val="17"/>
          <w:szCs w:val="17"/>
          <w:color w:val="auto"/>
        </w:rPr>
        <w:t>As a result of issuing senior securities, we are exposed to typical risks associated with leverage, including an increased risk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 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205" w:lineRule="exact"/>
        <w:rPr>
          <w:rFonts w:ascii="Arial" w:cs="Arial" w:eastAsia="Arial" w:hAnsi="Arial"/>
          <w:sz w:val="17"/>
          <w:szCs w:val="17"/>
          <w:color w:val="auto"/>
        </w:rPr>
      </w:pPr>
    </w:p>
    <w:p>
      <w:pPr>
        <w:ind w:left="900" w:hanging="325"/>
        <w:spacing w:after="0" w:line="286"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201"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89" w:lineRule="auto"/>
        <w:rPr>
          <w:sz w:val="20"/>
          <w:szCs w:val="20"/>
          <w:color w:val="auto"/>
        </w:rPr>
      </w:pPr>
      <w:r>
        <w:rPr>
          <w:rFonts w:ascii="Arial" w:cs="Arial" w:eastAsia="Arial" w:hAnsi="Arial"/>
          <w:sz w:val="16"/>
          <w:szCs w:val="16"/>
          <w:color w:val="auto"/>
        </w:rPr>
        <w:t>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94" w:lineRule="exact"/>
        <w:rPr>
          <w:sz w:val="20"/>
          <w:szCs w:val="20"/>
          <w:color w:val="auto"/>
        </w:rPr>
      </w:pPr>
    </w:p>
    <w:p>
      <w:pPr>
        <w:ind w:left="900" w:hanging="325"/>
        <w:spacing w:after="0" w:line="25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status.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 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SBA-guaranteed debentures are non-recourse to us, have a 10-year maturity, and may be prepaid at any time without penalty. The interest rate of SBA-guaranteed debentures is fixed at the time of issuance at a market-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driven spread over 10-year U.S. Treasury Notes. Leverage through SBA-guaranteed debentures is subject to required capitalization thresholds. SBA current regulations limit the amount that our SBIC Funds may borrow to a maximum of $150 million for any one SBIC, which is up to twice its regulatory capital, and a maximum of $225 million as part of a group of SBICs under common control.</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amounts that we use to service our indebtedness are not available for distribution to our common stockholders.</w:t>
      </w:r>
    </w:p>
    <w:p>
      <w:pPr>
        <w:spacing w:after="0" w:line="17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current debt is governed by the terms of our 2025 Notes,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June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indebtedness outstanding pursuant to our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in this range.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8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September 30, 2013, we had outstanding borrowings of $145.5 million under our Credit Facility, $71.3 million outstanding under our 2025 Notes and $150.0 million outstanding under the SBA debentures. Our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consolidated debt outstanding was $366.8 million and had a weighted average annual interest rate at the time of 4.05% exclusive of the fee on undrawn commitment on our Credit Facility of 0.50% and 3.43% of upfront fees on the SBA debentures. Accordingly, to cover the annual interest on our borrowings outstanding at September 30, 2013, at the then current rate, we would have to receive an annual yield of at least 1.39%.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5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is designed to illustrate the effect on return to a holder of our common stock of the leverage created by our use of borrowing at September 30, 2013 of 32% of total assets (including such borrowed funds), at a weighted average rate at the time of 4.05%, and assumes hypothetical annual returns on our portfolio of minus 10 to plus 10 percent. The table also assumes that we will maintain a constant level and weighted average rate of leverage. The amount of leverage and cost of borrowings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5"/>
                <w:szCs w:val="15"/>
                <w:color w:val="auto"/>
              </w:rPr>
              <w:t>(1)</w:t>
            </w:r>
          </w:p>
        </w:tc>
        <w:tc>
          <w:tcPr>
            <w:tcW w:w="2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w:t>
            </w:r>
          </w:p>
        </w:tc>
        <w:tc>
          <w:tcPr>
            <w:tcW w:w="1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4"/>
        </w:trPr>
        <w:tc>
          <w:tcPr>
            <w:tcW w:w="486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5"/>
                <w:szCs w:val="15"/>
                <w:color w:val="auto"/>
              </w:rPr>
              <w:t>(2)</w:t>
            </w:r>
          </w:p>
        </w:tc>
        <w:tc>
          <w:tcPr>
            <w:tcW w:w="2220" w:type="dxa"/>
            <w:vAlign w:val="bottom"/>
          </w:tcPr>
          <w:p>
            <w:pPr>
              <w:jc w:val="right"/>
              <w:ind w:right="230"/>
              <w:spacing w:after="0"/>
              <w:rPr>
                <w:sz w:val="20"/>
                <w:szCs w:val="20"/>
                <w:color w:val="auto"/>
              </w:rPr>
            </w:pPr>
            <w:r>
              <w:rPr>
                <w:rFonts w:ascii="Arial" w:cs="Arial" w:eastAsia="Arial" w:hAnsi="Arial"/>
                <w:sz w:val="18"/>
                <w:szCs w:val="18"/>
                <w:color w:val="auto"/>
              </w:rPr>
              <w:t>(18.7)%</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(10.4)%</w:t>
            </w:r>
          </w:p>
        </w:tc>
        <w:tc>
          <w:tcPr>
            <w:tcW w:w="1140" w:type="dxa"/>
            <w:vAlign w:val="bottom"/>
          </w:tcPr>
          <w:p>
            <w:pPr>
              <w:ind w:left="320"/>
              <w:spacing w:after="0"/>
              <w:rPr>
                <w:sz w:val="20"/>
                <w:szCs w:val="20"/>
                <w:color w:val="auto"/>
              </w:rPr>
            </w:pPr>
            <w:r>
              <w:rPr>
                <w:rFonts w:ascii="Arial" w:cs="Arial" w:eastAsia="Arial" w:hAnsi="Arial"/>
                <w:sz w:val="18"/>
                <w:szCs w:val="18"/>
                <w:color w:val="auto"/>
              </w:rPr>
              <w:t>(2.1)%</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6.2%</w:t>
            </w:r>
          </w:p>
        </w:tc>
        <w:tc>
          <w:tcPr>
            <w:tcW w:w="90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960" w:hanging="452"/>
        <w:spacing w:after="0" w:line="25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assumed portfolio return is required by regulation of the SEC and is not a prediction of, and does not represent, our projected or actual performance.</w:t>
      </w:r>
    </w:p>
    <w:p>
      <w:pPr>
        <w:spacing w:after="0" w:line="1" w:lineRule="exact"/>
        <w:rPr>
          <w:rFonts w:ascii="Arial" w:cs="Arial" w:eastAsia="Arial" w:hAnsi="Arial"/>
          <w:sz w:val="18"/>
          <w:szCs w:val="18"/>
          <w:color w:val="auto"/>
        </w:rPr>
      </w:pPr>
    </w:p>
    <w:p>
      <w:pPr>
        <w:ind w:left="460" w:right="20" w:hanging="452"/>
        <w:spacing w:after="0" w:line="273"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2007, when we executed our original Credit Facility, through September 2013, the applicable London Interbank Offered Rate, or LIBOR, rate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8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(as defined below).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266" w:lineRule="exact"/>
        <w:rPr>
          <w:sz w:val="20"/>
          <w:szCs w:val="20"/>
          <w:color w:val="auto"/>
        </w:rPr>
      </w:pPr>
    </w:p>
    <w:p>
      <w:pPr>
        <w:ind w:right="100" w:firstLine="228"/>
        <w:spacing w:after="0" w:line="277" w:lineRule="auto"/>
        <w:rPr>
          <w:sz w:val="20"/>
          <w:szCs w:val="20"/>
          <w:color w:val="auto"/>
        </w:rPr>
      </w:pPr>
      <w:r>
        <w:rPr>
          <w:rFonts w:ascii="Arial" w:cs="Arial" w:eastAsia="Arial" w:hAnsi="Arial"/>
          <w:sz w:val="18"/>
          <w:szCs w:val="18"/>
          <w:b w:val="1"/>
          <w:bCs w:val="1"/>
          <w:i w:val="1"/>
          <w:iCs w:val="1"/>
          <w:color w:val="auto"/>
        </w:rPr>
        <w:t>We have and may in the future determine to fund a portion of our investments with debt securities, which would magnify the potential for loss and the risks of investing in us.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result of the issuance of the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are not available for the payment of distributions to our common stockholders.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117" w:lineRule="exact"/>
        <w:rPr>
          <w:sz w:val="20"/>
          <w:szCs w:val="20"/>
          <w:color w:val="auto"/>
        </w:rPr>
      </w:pPr>
    </w:p>
    <w:p>
      <w:pPr>
        <w:jc w:val="both"/>
        <w:ind w:right="340" w:firstLine="456"/>
        <w:spacing w:after="0" w:line="312"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255" w:lineRule="exact"/>
        <w:rPr>
          <w:sz w:val="20"/>
          <w:szCs w:val="20"/>
          <w:color w:val="auto"/>
        </w:rPr>
      </w:pPr>
    </w:p>
    <w:p>
      <w:pPr>
        <w:ind w:right="60" w:firstLine="228"/>
        <w:spacing w:after="0" w:line="277"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Credit Facility expires in February 2016.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275" w:lineRule="exact"/>
        <w:rPr>
          <w:sz w:val="20"/>
          <w:szCs w:val="20"/>
          <w:color w:val="auto"/>
        </w:rPr>
      </w:pPr>
    </w:p>
    <w:p>
      <w:pPr>
        <w:ind w:right="400" w:firstLine="228"/>
        <w:spacing w:after="0" w:line="277" w:lineRule="auto"/>
        <w:rPr>
          <w:sz w:val="20"/>
          <w:szCs w:val="20"/>
          <w:color w:val="auto"/>
        </w:rPr>
      </w:pPr>
      <w:r>
        <w:rPr>
          <w:rFonts w:ascii="Arial" w:cs="Arial" w:eastAsia="Arial" w:hAnsi="Arial"/>
          <w:sz w:val="18"/>
          <w:szCs w:val="18"/>
          <w:b w:val="1"/>
          <w:bCs w:val="1"/>
          <w:i w:val="1"/>
          <w:iCs w:val="1"/>
          <w:color w:val="auto"/>
        </w:rPr>
        <w:t>If we issue preferred stock, debt securities, convertible debt securities or units, the NAV and market value of our common stock may become more volatile.</w:t>
      </w:r>
    </w:p>
    <w:p>
      <w:pPr>
        <w:spacing w:after="0" w:line="62"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8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287"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any other affiliates that the Investment Adviser has or forms in the future, subject to compliance with applicable regulations and regulatory guidance and our allocation procedures. In certain circumstances, negotiated co-investments may be made only if we receive an order from the SEC permitting us to do so. We, the Investment Adviser and our affiliated funds have submitted an exemptive application to the SEC for such an order, but there can be no assurance that such order will be obtained.</w:t>
      </w:r>
    </w:p>
    <w:p>
      <w:pPr>
        <w:spacing w:after="0" w:line="18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a license agreement, or the License Agreement, with PennantPark Investment Advisers, pursuant to which our Investment Adviser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117"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include the following:</w:t>
      </w:r>
    </w:p>
    <w:p>
      <w:pPr>
        <w:spacing w:after="0" w:line="13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225"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if the subscription price or warrant price is less than our NAV per share of common stock at the time of such offering, then our stockholders would experience an immediate dilution of the aggregate NAV of their shares as a result of the offering. The amount of any such decrease in NAV is not predictable because it is not known at this time what the subscription price, warrant price or NAV per share will be on the expiration date of such rights offering or what proportion of our common stock will be purchased as a result of any such offering.</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the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and 2025 Notes. This will tend to mitigate volatility in our earnings and NAV. As a result of these factors, results for any period should not be relied upon as being indicative of performance in future periods.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July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cannot predict the effect the Dodd-Frank Act or implementing its regulations will have on our business, financial condition and results of operations.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121" w:lineRule="exact"/>
        <w:rPr>
          <w:sz w:val="20"/>
          <w:szCs w:val="20"/>
          <w:color w:val="auto"/>
        </w:rPr>
      </w:pPr>
    </w:p>
    <w:p>
      <w:pPr>
        <w:ind w:right="160" w:firstLine="228"/>
        <w:spacing w:after="0" w:line="277"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the Financial Accounting Standards Board, or FASB, Accounting Standards Codification, or ASC, 820, Fair Value Measurement.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17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if we believe that the underlying portfolio company has depreciated in value. As a result, there will be uncertainty as to the value of our portfolio investments.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changes in fair value are recorded in the Consolidated Statement of Operations as net change in unrealized appreciation or depreciation.</w:t>
      </w:r>
    </w:p>
    <w:p>
      <w:pPr>
        <w:spacing w:after="0" w:line="21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At September 30, 2013, all our portfolio assets were recorded at fair value as approved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than the values that we ultimately realize upon the disposal of such securities.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166"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8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8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55" w:lineRule="exact"/>
        <w:rPr>
          <w:sz w:val="20"/>
          <w:szCs w:val="20"/>
          <w:color w:val="auto"/>
        </w:rPr>
      </w:pPr>
    </w:p>
    <w:p>
      <w:pPr>
        <w:ind w:right="440" w:firstLine="228"/>
        <w:spacing w:after="0" w:line="277" w:lineRule="auto"/>
        <w:rPr>
          <w:sz w:val="20"/>
          <w:szCs w:val="20"/>
          <w:color w:val="auto"/>
        </w:rPr>
      </w:pPr>
      <w:r>
        <w:rPr>
          <w:rFonts w:ascii="Arial" w:cs="Arial" w:eastAsia="Arial" w:hAnsi="Arial"/>
          <w:sz w:val="18"/>
          <w:szCs w:val="18"/>
          <w:b w:val="1"/>
          <w:bCs w:val="1"/>
          <w:i w:val="1"/>
          <w:iCs w:val="1"/>
          <w:color w:val="auto"/>
        </w:rPr>
        <w:t>We rely in part on our over-the-counter securities, which faced liquidity constraints under recent market conditions, to provide us with additional liquidity.</w:t>
      </w:r>
    </w:p>
    <w:p>
      <w:pPr>
        <w:spacing w:after="0" w:line="6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invest primarily in senior secured loans, mezzanine debt and selected equity investments issued by U.S. middle-market companies.</w:t>
      </w:r>
    </w:p>
    <w:p>
      <w:pPr>
        <w:spacing w:after="0" w:line="237" w:lineRule="exact"/>
        <w:rPr>
          <w:sz w:val="20"/>
          <w:szCs w:val="20"/>
          <w:color w:val="auto"/>
        </w:rPr>
      </w:pPr>
    </w:p>
    <w:p>
      <w:pPr>
        <w:ind w:left="460"/>
        <w:spacing w:after="0" w:line="270" w:lineRule="auto"/>
        <w:rPr>
          <w:sz w:val="20"/>
          <w:szCs w:val="20"/>
          <w:color w:val="auto"/>
        </w:rPr>
      </w:pPr>
      <w:r>
        <w:rPr>
          <w:rFonts w:ascii="Arial" w:cs="Arial" w:eastAsia="Arial" w:hAnsi="Arial"/>
          <w:sz w:val="17"/>
          <w:szCs w:val="17"/>
          <w:b w:val="1"/>
          <w:bCs w:val="1"/>
          <w:i w:val="1"/>
          <w:iCs w:val="1"/>
          <w:color w:val="auto"/>
        </w:rPr>
        <w:t xml:space="preserve">Senior Secured Loans: </w:t>
      </w:r>
      <w:r>
        <w:rPr>
          <w:rFonts w:ascii="Arial" w:cs="Arial" w:eastAsia="Arial" w:hAnsi="Arial"/>
          <w:sz w:val="17"/>
          <w:szCs w:val="17"/>
          <w:color w:val="auto"/>
        </w:rPr>
        <w:t>When we extend senior secured loans, which we define to include first lien debt, we will generally take a security interest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82"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b w:val="1"/>
          <w:bCs w:val="1"/>
          <w:i w:val="1"/>
          <w:iCs w:val="1"/>
          <w:color w:val="auto"/>
        </w:rPr>
        <w:t xml:space="preserve">Mezzanine Debt: </w:t>
      </w:r>
      <w:r>
        <w:rPr>
          <w:rFonts w:ascii="Arial" w:cs="Arial" w:eastAsia="Arial" w:hAnsi="Arial"/>
          <w:sz w:val="17"/>
          <w:szCs w:val="17"/>
          <w:color w:val="auto"/>
        </w:rPr>
        <w:t>Our mezzanine debt investments, which we define to include second lien secured and subordinated debt, will generally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subordinated 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78" w:lineRule="exact"/>
        <w:rPr>
          <w:sz w:val="20"/>
          <w:szCs w:val="20"/>
          <w:color w:val="auto"/>
        </w:rPr>
      </w:pPr>
    </w:p>
    <w:p>
      <w:pPr>
        <w:ind w:left="460" w:right="260"/>
        <w:spacing w:after="0" w:line="276" w:lineRule="auto"/>
        <w:rPr>
          <w:sz w:val="20"/>
          <w:szCs w:val="20"/>
          <w:color w:val="auto"/>
        </w:rPr>
      </w:pPr>
      <w:r>
        <w:rPr>
          <w:rFonts w:ascii="Arial" w:cs="Arial" w:eastAsia="Arial" w:hAnsi="Arial"/>
          <w:sz w:val="17"/>
          <w:szCs w:val="17"/>
          <w:b w:val="1"/>
          <w:bCs w:val="1"/>
          <w:i w:val="1"/>
          <w:iCs w:val="1"/>
          <w:color w:val="auto"/>
        </w:rPr>
        <w:t xml:space="preserve">Equity Investments: </w:t>
      </w:r>
      <w:r>
        <w:rPr>
          <w:rFonts w:ascii="Arial" w:cs="Arial" w:eastAsia="Arial" w:hAnsi="Arial"/>
          <w:sz w:val="17"/>
          <w:szCs w:val="17"/>
          <w:color w:val="auto"/>
        </w:rPr>
        <w:t>We have made and expect to continue to make select equity investments. In addition, when we invest in senior secured loans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31" w:lineRule="exact"/>
        <w:rPr>
          <w:sz w:val="20"/>
          <w:szCs w:val="20"/>
          <w:color w:val="auto"/>
        </w:rPr>
      </w:pPr>
    </w:p>
    <w:p>
      <w:pPr>
        <w:ind w:left="900" w:right="120" w:hanging="325"/>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400" w:hanging="325"/>
        <w:spacing w:after="0" w:line="308" w:lineRule="auto"/>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51" w:lineRule="exact"/>
        <w:rPr>
          <w:rFonts w:ascii="Arial" w:cs="Arial" w:eastAsia="Arial" w:hAnsi="Arial"/>
          <w:sz w:val="17"/>
          <w:szCs w:val="17"/>
          <w:color w:val="auto"/>
        </w:rPr>
      </w:pPr>
    </w:p>
    <w:p>
      <w:pPr>
        <w:ind w:left="900" w:right="200" w:hanging="325"/>
        <w:spacing w:after="0" w:line="34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29" w:lineRule="exact"/>
        <w:rPr>
          <w:rFonts w:ascii="Arial" w:cs="Arial" w:eastAsia="Arial" w:hAnsi="Arial"/>
          <w:sz w:val="16"/>
          <w:szCs w:val="16"/>
          <w:color w:val="auto"/>
        </w:rPr>
      </w:pPr>
    </w:p>
    <w:p>
      <w:pPr>
        <w:ind w:left="900" w:right="200" w:hanging="325"/>
        <w:spacing w:after="0" w:line="302"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59" w:lineRule="exact"/>
        <w:rPr>
          <w:rFonts w:ascii="Arial" w:cs="Arial" w:eastAsia="Arial" w:hAnsi="Arial"/>
          <w:sz w:val="16"/>
          <w:szCs w:val="16"/>
          <w:color w:val="auto"/>
        </w:rPr>
      </w:pPr>
    </w:p>
    <w:p>
      <w:pPr>
        <w:ind w:left="900" w:right="64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80" w:firstLine="228"/>
        <w:spacing w:after="0" w:line="264" w:lineRule="auto"/>
        <w:rPr>
          <w:sz w:val="20"/>
          <w:szCs w:val="20"/>
          <w:color w:val="auto"/>
        </w:rPr>
      </w:pPr>
      <w:r>
        <w:rPr>
          <w:rFonts w:ascii="Arial" w:cs="Arial" w:eastAsia="Arial" w:hAnsi="Arial"/>
          <w:sz w:val="18"/>
          <w:szCs w:val="18"/>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73" w:lineRule="exact"/>
        <w:rPr>
          <w:sz w:val="20"/>
          <w:szCs w:val="20"/>
          <w:color w:val="auto"/>
        </w:rPr>
      </w:pPr>
    </w:p>
    <w:p>
      <w:pPr>
        <w:jc w:val="both"/>
        <w:ind w:right="240" w:firstLine="456"/>
        <w:spacing w:after="0" w:line="257"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286" w:lineRule="exact"/>
        <w:rPr>
          <w:sz w:val="20"/>
          <w:szCs w:val="20"/>
          <w:color w:val="auto"/>
        </w:rPr>
      </w:pPr>
    </w:p>
    <w:p>
      <w:pPr>
        <w:ind w:right="560" w:firstLine="228"/>
        <w:spacing w:after="0" w:line="277"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6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7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8"/>
        <w:spacing w:after="0" w:line="34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296" w:lineRule="exact"/>
        <w:rPr>
          <w:sz w:val="20"/>
          <w:szCs w:val="20"/>
          <w:color w:val="auto"/>
        </w:rPr>
      </w:pPr>
    </w:p>
    <w:p>
      <w:pPr>
        <w:ind w:right="100" w:firstLine="228"/>
        <w:spacing w:after="0" w:line="264"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95" w:lineRule="exact"/>
        <w:rPr>
          <w:sz w:val="20"/>
          <w:szCs w:val="20"/>
          <w:color w:val="auto"/>
        </w:rPr>
      </w:pPr>
    </w:p>
    <w:p>
      <w:pPr>
        <w:ind w:right="400" w:firstLine="228"/>
        <w:spacing w:after="0" w:line="277"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5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121" w:lineRule="exact"/>
        <w:rPr>
          <w:sz w:val="20"/>
          <w:szCs w:val="20"/>
          <w:color w:val="auto"/>
        </w:rPr>
      </w:pPr>
    </w:p>
    <w:p>
      <w:pPr>
        <w:jc w:val="both"/>
        <w:ind w:right="260" w:firstLine="228"/>
        <w:spacing w:after="0" w:line="340" w:lineRule="auto"/>
        <w:rPr>
          <w:sz w:val="20"/>
          <w:szCs w:val="20"/>
          <w:color w:val="auto"/>
        </w:rPr>
      </w:pPr>
      <w:r>
        <w:rPr>
          <w:rFonts w:ascii="Arial" w:cs="Arial" w:eastAsia="Arial" w:hAnsi="Arial"/>
          <w:sz w:val="15"/>
          <w:szCs w:val="15"/>
          <w:b w:val="1"/>
          <w:bCs w:val="1"/>
          <w:i w:val="1"/>
          <w:iCs w:val="1"/>
          <w:color w:val="auto"/>
        </w:rPr>
        <w:t>We may again obtain the approval of our stockholders to issue shares of our common stock at prices below the then current NAV per share of our common stock. If we receive such approval from stockholders in the future, we may again issue shares of our common stock at a price below the then current NAV per share of common stock. Any such issuance could materially dilute your interest in our common stock and reduce our NAV per share.</w:t>
      </w:r>
    </w:p>
    <w:p>
      <w:pPr>
        <w:spacing w:after="0" w:line="2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 that we make at a price below our then current NAV in the future in a prospectus supplement issued in connection with any such offering.</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11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 offering of securities in ways with which you may not agree.</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24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right="180" w:firstLine="571"/>
        <w:spacing w:after="0" w:line="277"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79" w:lineRule="exact"/>
        <w:rPr>
          <w:sz w:val="20"/>
          <w:szCs w:val="20"/>
          <w:color w:val="auto"/>
        </w:rPr>
      </w:pPr>
    </w:p>
    <w:p>
      <w:pPr>
        <w:ind w:right="380" w:firstLine="228"/>
        <w:spacing w:after="0" w:line="277" w:lineRule="auto"/>
        <w:rPr>
          <w:sz w:val="20"/>
          <w:szCs w:val="20"/>
          <w:color w:val="auto"/>
        </w:rPr>
      </w:pPr>
      <w:r>
        <w:rPr>
          <w:rFonts w:ascii="Arial" w:cs="Arial" w:eastAsia="Arial" w:hAnsi="Arial"/>
          <w:sz w:val="18"/>
          <w:szCs w:val="18"/>
          <w:b w:val="1"/>
          <w:bCs w:val="1"/>
          <w:i w:val="1"/>
          <w:iCs w:val="1"/>
          <w:color w:val="auto"/>
        </w:rPr>
        <w:t>We may be unable to invest the net proceeds raised from offerings on acceptable terms, which would harm our financial condition and operating results.</w:t>
      </w:r>
    </w:p>
    <w:p>
      <w:pPr>
        <w:spacing w:after="0" w:line="62"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20"/>
          </w:cols>
          <w:pgMar w:left="240" w:top="459"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investment criteria or that any investment we complete using the proceeds from an offering will produce a sufficient return.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31" w:lineRule="exact"/>
        <w:rPr>
          <w:sz w:val="20"/>
          <w:szCs w:val="20"/>
          <w:color w:val="auto"/>
        </w:rPr>
      </w:pPr>
    </w:p>
    <w:p>
      <w:pPr>
        <w:ind w:left="9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of substantial amounts of our securities may have an adverse effect on the market price of our securities.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297" w:lineRule="exact"/>
        <w:rPr>
          <w:sz w:val="20"/>
          <w:szCs w:val="20"/>
          <w:color w:val="auto"/>
        </w:rPr>
      </w:pPr>
    </w:p>
    <w:p>
      <w:pPr>
        <w:ind w:right="220" w:firstLine="228"/>
        <w:spacing w:after="0" w:line="277"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 Oxley Act, and other rules implemented by the SEC and the listing standards of the NASDAQ Stock Market LLC and the NYSE.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8"/>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6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6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121" w:lineRule="exact"/>
        <w:rPr>
          <w:sz w:val="20"/>
          <w:szCs w:val="20"/>
          <w:color w:val="auto"/>
        </w:rPr>
      </w:pPr>
    </w:p>
    <w:p>
      <w:pPr>
        <w:ind w:right="140" w:firstLine="228"/>
        <w:spacing w:after="0" w:line="277" w:lineRule="auto"/>
        <w:rPr>
          <w:sz w:val="20"/>
          <w:szCs w:val="20"/>
          <w:color w:val="auto"/>
        </w:rPr>
      </w:pPr>
      <w:r>
        <w:rPr>
          <w:rFonts w:ascii="Arial" w:cs="Arial" w:eastAsia="Arial" w:hAnsi="Arial"/>
          <w:sz w:val="18"/>
          <w:szCs w:val="18"/>
          <w:b w:val="1"/>
          <w:bCs w:val="1"/>
          <w:i w:val="1"/>
          <w:iCs w:val="1"/>
          <w:color w:val="auto"/>
        </w:rPr>
        <w:t>The 2025 Notes are unsecured and therefore are effectively subordinated to any secured indebtedness we have currently incurred or may incur in the future.</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2025 Notes are not secured by any of our assets or any of the assets of our subsidiaries. As a result, the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2025 Notes. As of September 30, 2013, we had $145.5 million outstanding under the Credit Facility. The Credit Facility is secured by substantially all of the assets in our portfolio (other than assets held by our SBIC Funds), and the indebtedness under the Credit Facility is therefore effectively senior in right of payment to the 2025 Notes to the extent of the value of such assets.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2025 Notes are structurally subordinated to the indebtedness and other liabilities of our subsidiaries.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2025 Notes are obligations exclusively of PennantPark Investment Corporation and not of any of our subsidiaries. None of our subsidiaries are or act as guarantors of the 2025 Notes and the 2025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2025 Notes.</w:t>
      </w:r>
    </w:p>
    <w:p>
      <w:pPr>
        <w:spacing w:after="0" w:line="18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2025 Notes) with respect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2025 Notes are structurally subordinated to all indebtedness and other liabilities (including trade payables) of our subsidiaries and any subsidiaries that we may in the future acquire or establish as financing vehicles or otherwise. As of September 30, 2013, SBIC LP had $150.0 million of SBA debentures outstanding. All of such indebtedness is structurally senior to the 2025 Notes. In addition, our subsidiaries may incur substantial additional indebtedness in the future, all of which would be structurally senior to the 2025 Notes.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indenture under which the 2025 Notes were issued contains limited protection for holders of the 2025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indenture under which the 2025 Notes were issued offers limited protection to holders of the 2025 Notes. The terms of the indenture and the 2025 Notes do not restrict our or any of our subsidiaries’ ability to engage in, or otherwise be a party to, a variety of corporate transactions, circumstances or events that could have an adverse impact on investment in the 2025 Notes. In particular, the terms of the indenture and the 2025 Notes do not place any restrictions on our or our subsidiaries’ ability to:</w:t>
      </w:r>
    </w:p>
    <w:p>
      <w:pPr>
        <w:spacing w:after="0" w:line="92" w:lineRule="exact"/>
        <w:rPr>
          <w:sz w:val="20"/>
          <w:szCs w:val="20"/>
          <w:color w:val="auto"/>
        </w:rPr>
      </w:pPr>
    </w:p>
    <w:p>
      <w:pPr>
        <w:ind w:left="900" w:right="40" w:hanging="325"/>
        <w:spacing w:after="0" w:line="25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2025 Notes, (2) any indebtedness or other obligations that would be secured and therefore rank effectively senior in right of payment to the 2025 Notes to the extent of the values of the assets securing such debt, (3) indebtedness of ours that is guaranteed by one or more of our subsidiaries and which therefore would rank structurally senior to the 2025 Notes and (4) securities, indebtedness or other obligations issued or incurred by our subsidiaries that would be senior in right of payment to our equity interests in our subsidiaries and therefore would rank structurally senior in right of payment to the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97"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the 2025 Notes;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indenture does not require us to offer to purchase the 2025 Notes in connection with a change of control or any other event.</w:t>
      </w:r>
    </w:p>
    <w:p>
      <w:pPr>
        <w:spacing w:after="0" w:line="23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Furthermore, the terms of the indenture and the 2025 Notes do not protect holders of the 2025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2025 Notes may have important consequences for a holder of the 2025 Notes, including making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 more difficult for us to satisfy our obligations with respect to the 2025 Notes or negatively affecting the trading value of the 2025 Notes.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2025 Notes. In addition, other debt we issue or incur in the future could contain more protections for its holders than the indenture and the 2025 Notes, including additional covenants and events of default. The issuance or incurrence of any such debt with incremental protections could affect the market for and trading levels and prices of the 2025 Notes.</w:t>
      </w:r>
    </w:p>
    <w:p>
      <w:pPr>
        <w:spacing w:after="0" w:line="255" w:lineRule="exact"/>
        <w:rPr>
          <w:sz w:val="20"/>
          <w:szCs w:val="20"/>
          <w:color w:val="auto"/>
        </w:rPr>
      </w:pPr>
    </w:p>
    <w:p>
      <w:pPr>
        <w:jc w:val="both"/>
        <w:ind w:right="60" w:firstLine="228"/>
        <w:spacing w:after="0" w:line="264" w:lineRule="auto"/>
        <w:rPr>
          <w:sz w:val="20"/>
          <w:szCs w:val="20"/>
          <w:color w:val="auto"/>
        </w:rPr>
      </w:pPr>
      <w:r>
        <w:rPr>
          <w:rFonts w:ascii="Arial" w:cs="Arial" w:eastAsia="Arial" w:hAnsi="Arial"/>
          <w:sz w:val="18"/>
          <w:szCs w:val="18"/>
          <w:b w:val="1"/>
          <w:bCs w:val="1"/>
          <w:i w:val="1"/>
          <w:iCs w:val="1"/>
          <w:color w:val="auto"/>
        </w:rPr>
        <w:t>An active trading market for the 2025 Notes may not develop, which could limit the market price of the 2025 Notes or the ability of holders of the 2025 Notes to sell them. If a rating agency assigns the 2025 Notes a non-investment grade rating, the 2025 Notes may be subject to greater price volatility than similar securities without such a rating.</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listed the 2025 Notes on the NYSE. However, we cannot provide any assurances that an active trading market will develop for the 2025 Notes or that holders of the 2025 Notes will be able to sell their 2025 Notes. The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2025 Notes a non-investment grade rating, the 2025 Notes may be subject to greater price volatility than securities of similar maturity without such a non-investment grade rating. The underwriters may discontinue any market-making in the 2025 Notes at any time at their sole discretion. Accordingly, we cannot assure holders of the 2025 Notes that a liquid trading market will develop for the 2025 Notes, that they will be able to sell their 2025 Notes at a particular time or that the price holders receive upon such sale will be favorable. To the extent an active trading market does not develop, the liquidity and trading price for the 2025 Notes may be harmed. Accordingly, holders of the 2025 Notes may be required to bear the financial risk of an investment in the 2025 Notes for an indefinite period of time.</w:t>
      </w:r>
    </w:p>
    <w:p>
      <w:pPr>
        <w:spacing w:after="0" w:line="2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Payments made under the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2025 Notes, unless the foreign financial institution or non-financial foreign entity complies with certain information reporting, withholding, identification, certification and related requirements imposed by FATCA. Holders of the 2025 Notes should consult their own tax advisors regarding FATCA and how it may affect their investment in the 2025 Notes.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52" w:lineRule="exact"/>
        <w:rPr>
          <w:sz w:val="20"/>
          <w:szCs w:val="20"/>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66"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of September 30, 2013, we had $284.5 million of unused borrowing capacity, subject to maintenance of the applicable total assets to debt ratio, as set forth in the 1940 Act, and $145.5 million (including a temporary draw of $28.0 million) in borrowings outstanding under our $430.0 million Credit Facility. Borrowings under our Credit Facility bear interest at an annual rate equal to LIBOR plus 275 basis points per annum. At September 30, 2013, the weighted average interest rate on the Credit Facility was 3.33%. The Credit Facility is a revolving facility with a stated maturity date of February 21, 2016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for more information.</w:t>
      </w:r>
    </w:p>
    <w:p>
      <w:pPr>
        <w:spacing w:after="0" w:line="16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NAV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rPr>
              <w:t>For the years ended September 30,</w:t>
            </w: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90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7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7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7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  129,187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113,392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$ 91,738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$ 60,140</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expenses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62,189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56,323</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39,093</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28,065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66,998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57,069</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52,645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32,075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realized and unrealized gain (loss)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24,780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6,284</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(42,382)</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(15,539)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91,778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63,353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10,263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16,535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year end)</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10.13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5"/>
                <w:szCs w:val="15"/>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1.08</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1.25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5"/>
                <w:szCs w:val="15"/>
                <w:color w:val="auto"/>
              </w:rPr>
              <w:t>(1)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5"/>
                <w:szCs w:val="15"/>
                <w:color w:val="auto"/>
              </w:rPr>
              <w:t>(1)</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1.20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0.24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0.56</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5"/>
                <w:szCs w:val="15"/>
                <w:color w:val="auto"/>
              </w:rPr>
              <w:t>(1),(2)</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324"/>
        </w:trPr>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1,153,327</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1,018,968</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928,738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711,494</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investment portfolio</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1,078,176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990,480</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827,549</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664,724</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469,760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5"/>
                <w:szCs w:val="15"/>
                <w:color w:val="auto"/>
              </w:rPr>
              <w:t>(3)</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363,900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294,452</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388,792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233,641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175,475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NAV</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697,506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669,717</w:t>
            </w: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462,657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386,575</w:t>
            </w: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300,580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5"/>
                <w:szCs w:val="15"/>
                <w:color w:val="auto"/>
              </w:rPr>
              <w:t>(4)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17.37%</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28.71%</w:t>
            </w:r>
          </w:p>
        </w:tc>
        <w:tc>
          <w:tcPr>
            <w:tcW w:w="1120" w:type="dxa"/>
            <w:vAlign w:val="bottom"/>
            <w:gridSpan w:val="3"/>
          </w:tcPr>
          <w:p>
            <w:pPr>
              <w:jc w:val="right"/>
              <w:ind w:right="140"/>
              <w:spacing w:after="0"/>
              <w:rPr>
                <w:sz w:val="20"/>
                <w:szCs w:val="20"/>
                <w:color w:val="auto"/>
              </w:rPr>
            </w:pPr>
            <w:r>
              <w:rPr>
                <w:rFonts w:ascii="Arial" w:cs="Arial" w:eastAsia="Arial" w:hAnsi="Arial"/>
                <w:sz w:val="18"/>
                <w:szCs w:val="18"/>
                <w:color w:val="auto"/>
              </w:rPr>
              <w:t>(7.37)%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44.79%</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r>
              <w:rPr>
                <w:rFonts w:ascii="Arial" w:cs="Arial" w:eastAsia="Arial" w:hAnsi="Arial"/>
                <w:sz w:val="15"/>
                <w:szCs w:val="15"/>
                <w:color w:val="auto"/>
              </w:rPr>
              <w:t>(5)</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Yield on debt portfolio (at year end)</w:t>
            </w:r>
            <w:r>
              <w:rPr>
                <w:rFonts w:ascii="Arial" w:cs="Arial" w:eastAsia="Arial" w:hAnsi="Arial"/>
                <w:sz w:val="15"/>
                <w:szCs w:val="15"/>
                <w:color w:val="auto"/>
              </w:rPr>
              <w:t>(5)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13.3%</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years.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taxable income calculated in accordance with income tax regulations, which may differ from amounts determined under GAAP.</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fair value.</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Unaudited.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33,725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32,958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17,099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17,655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14,063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18,181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12,910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10,360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22,479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13,786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26,972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28,541</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10.43</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r>
      <w:tr>
        <w:trPr>
          <w:trHeight w:val="365"/>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16,742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9,759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14,997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(12,151)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16,638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17,690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3,420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26,397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15,846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r>
      <w:tr>
        <w:trPr>
          <w:trHeight w:val="365"/>
        </w:trPr>
        <w:tc>
          <w:tcPr>
            <w:tcW w:w="7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Q4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Q3</w:t>
            </w:r>
          </w:p>
        </w:tc>
        <w:tc>
          <w:tcPr>
            <w:tcW w:w="10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15,095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13,220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(46,260)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14,351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(31,165)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2,319</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25,522</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0.71</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10.13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11.08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11.30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65"/>
        </w:trPr>
        <w:tc>
          <w:tcPr>
            <w:tcW w:w="7520" w:type="dxa"/>
            <w:vAlign w:val="bottom"/>
          </w:tcPr>
          <w:p>
            <w:pPr>
              <w:ind w:left="56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7"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primary operating expenses include the payment of Management Fees (as defined below)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94" w:lineRule="exact"/>
        <w:rPr>
          <w:sz w:val="20"/>
          <w:szCs w:val="20"/>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associated with our reporting and compliance obligations under the 1940 Act, the 1958 Act and applicable federal and state securities laws;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8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980" w:type="dxa"/>
            <w:vAlign w:val="bottom"/>
          </w:tcPr>
          <w:p>
            <w:pPr>
              <w:ind w:left="1100"/>
              <w:spacing w:after="0"/>
              <w:rPr>
                <w:sz w:val="20"/>
                <w:szCs w:val="20"/>
                <w:color w:val="auto"/>
              </w:rPr>
            </w:pPr>
            <w:r>
              <w:rPr>
                <w:rFonts w:ascii="Arial" w:cs="Arial" w:eastAsia="Arial" w:hAnsi="Arial"/>
                <w:sz w:val="18"/>
                <w:szCs w:val="18"/>
                <w:b w:val="1"/>
                <w:bCs w:val="1"/>
                <w:color w:val="auto"/>
                <w:w w:val="93"/>
              </w:rPr>
              <w:t>Estimated Annual Expenses (as a Percentage of Average Total Assets)</w:t>
            </w:r>
            <w:r>
              <w:rPr>
                <w:rFonts w:ascii="Arial" w:cs="Arial" w:eastAsia="Arial" w:hAnsi="Arial"/>
                <w:sz w:val="15"/>
                <w:szCs w:val="15"/>
                <w:b w:val="1"/>
                <w:bCs w:val="1"/>
                <w:color w:val="auto"/>
                <w:w w:val="93"/>
              </w:rPr>
              <w:t>(1)</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w:t>
            </w:r>
            <w:r>
              <w:rPr>
                <w:rFonts w:ascii="Arial" w:cs="Arial" w:eastAsia="Arial" w:hAnsi="Arial"/>
                <w:sz w:val="15"/>
                <w:szCs w:val="15"/>
                <w:color w:val="auto"/>
                <w:w w:val="97"/>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Incentive fees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1.60%</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1.53%</w:t>
            </w:r>
            <w:r>
              <w:rPr>
                <w:rFonts w:ascii="Arial" w:cs="Arial" w:eastAsia="Arial" w:hAnsi="Arial"/>
                <w:sz w:val="15"/>
                <w:szCs w:val="15"/>
                <w:color w:val="auto"/>
                <w:w w:val="97"/>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expenses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0.21%</w:t>
            </w:r>
            <w:r>
              <w:rPr>
                <w:rFonts w:ascii="Arial" w:cs="Arial" w:eastAsia="Arial" w:hAnsi="Arial"/>
                <w:sz w:val="15"/>
                <w:szCs w:val="15"/>
                <w:color w:val="auto"/>
                <w:w w:val="97"/>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annual expenses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5.34%</w:t>
            </w:r>
            <w:r>
              <w:rPr>
                <w:rFonts w:ascii="Arial" w:cs="Arial" w:eastAsia="Arial" w:hAnsi="Arial"/>
                <w:sz w:val="15"/>
                <w:szCs w:val="15"/>
                <w:color w:val="auto"/>
                <w:w w:val="97"/>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Average total assets equals average adjusted gross assets for the three months ended September 30, 2013.</w:t>
      </w:r>
    </w:p>
    <w:p>
      <w:pPr>
        <w:spacing w:after="0" w:line="23" w:lineRule="exact"/>
        <w:rPr>
          <w:rFonts w:ascii="Arial" w:cs="Arial" w:eastAsia="Arial" w:hAnsi="Arial"/>
          <w:sz w:val="18"/>
          <w:szCs w:val="18"/>
          <w:color w:val="auto"/>
        </w:rPr>
      </w:pPr>
    </w:p>
    <w:p>
      <w:pPr>
        <w:ind w:left="460" w:right="78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2.00% of our average adjusted gross assets. See “Certain Relationships and Transactions—Investment Management Agreement” for more information.</w:t>
      </w:r>
    </w:p>
    <w:p>
      <w:pPr>
        <w:ind w:left="460" w:right="20" w:hanging="452"/>
        <w:spacing w:after="0" w:line="28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6" w:lineRule="exact"/>
        <w:rPr>
          <w:rFonts w:ascii="Arial" w:cs="Arial" w:eastAsia="Arial" w:hAnsi="Arial"/>
          <w:sz w:val="16"/>
          <w:szCs w:val="16"/>
          <w:color w:val="auto"/>
        </w:rPr>
      </w:pPr>
    </w:p>
    <w:p>
      <w:pPr>
        <w:ind w:left="460" w:hanging="452"/>
        <w:spacing w:after="0" w:line="269"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of September 30, 2013, we had $284.5 million of unused borrowing capacity, subject to maintenance of the applicable total assets to debt ratio, which is defined in the 1940 Act, and $145.5 million in borrowings outstanding under our $430 million Credit Facility and had $71.3 million in aggregate principal of 2025 Notes at an annual interest rate of 6.25%. As of September 30, 2013,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00"/>
        <w:spacing w:after="0" w:line="256" w:lineRule="auto"/>
        <w:rPr>
          <w:sz w:val="20"/>
          <w:szCs w:val="20"/>
          <w:color w:val="auto"/>
        </w:rPr>
      </w:pPr>
      <w:r>
        <w:rPr>
          <w:rFonts w:ascii="Arial" w:cs="Arial" w:eastAsia="Arial" w:hAnsi="Arial"/>
          <w:sz w:val="18"/>
          <w:szCs w:val="18"/>
          <w:color w:val="auto"/>
        </w:rPr>
        <w:t>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for more information.</w:t>
      </w:r>
    </w:p>
    <w:p>
      <w:pPr>
        <w:ind w:left="460" w:right="12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1"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September 30,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73"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7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For the fiscal year ended September 30, 2013, we purchased $504.4 million of investments in 14 new and 26 existing portfolio companies with a weighted average yield of 12.7% on debt investments. This compares to purchasing $328.3 million in 13 new and 17 existing portfolio companies with an overall weighted average yield of 13.3% on debt investments, and purchasing $479.7 million in 17 new and 11 existing portfolio companies with an overall weighted average yield of 13.7% on debt investments for the fiscal years ended September 30, 2012 and 2011, respectively.</w:t>
      </w:r>
    </w:p>
    <w:p>
      <w:pPr>
        <w:spacing w:after="0" w:line="17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For the fiscal year ended September 30, 2013, sales and repayments generated proceeds of $437.1 million. For the fiscal years ended September 30, 2012 and 2011, sales and repayments generated proceeds of $201.7 million and $304.0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discussion of our financial condition and results of operations are based upon our Consolidated Financial Statements, which have been prepared in accordance with U.S. generally accepted accounting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19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the preliminary valuations of the Investment Adviser and those of the independent valuation firms on a quarterly basis, periodically assesses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valuation methodologies of the independent valuation firms, and responds to and supplements the valuation recommendations of the independent valuation firms to reflect any comments; and</w:t>
      </w:r>
    </w:p>
    <w:p>
      <w:pPr>
        <w:spacing w:after="0" w:line="76" w:lineRule="exact"/>
        <w:rPr>
          <w:sz w:val="20"/>
          <w:szCs w:val="20"/>
          <w:color w:val="auto"/>
        </w:rPr>
      </w:pPr>
    </w:p>
    <w:p>
      <w:pPr>
        <w:ind w:left="900" w:right="10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420" w:right="760" w:hanging="944"/>
        <w:spacing w:after="0" w:line="277" w:lineRule="auto"/>
        <w:tabs>
          <w:tab w:leader="none" w:pos="14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420" w:right="560" w:hanging="944"/>
        <w:spacing w:after="0" w:line="264" w:lineRule="auto"/>
        <w:tabs>
          <w:tab w:leader="none" w:pos="14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420" w:right="600" w:hanging="944"/>
        <w:spacing w:after="0" w:line="277"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fiscal years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117"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117" w:lineRule="exact"/>
        <w:rPr>
          <w:sz w:val="20"/>
          <w:szCs w:val="20"/>
          <w:color w:val="auto"/>
        </w:rPr>
      </w:pPr>
    </w:p>
    <w:p>
      <w:pPr>
        <w:ind w:right="100" w:firstLine="571"/>
        <w:spacing w:after="0" w:line="264"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117"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w:t>
      </w:r>
    </w:p>
    <w:p>
      <w:pPr>
        <w:spacing w:after="0" w:line="2" w:lineRule="exact"/>
        <w:rPr>
          <w:sz w:val="20"/>
          <w:szCs w:val="20"/>
          <w:color w:val="auto"/>
        </w:rPr>
      </w:pPr>
    </w:p>
    <w:p>
      <w:pPr>
        <w:ind w:firstLine="8"/>
        <w:spacing w:after="0" w:line="254"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available for such distributions in the manner described above, we have retained and may continue to retain such net capital gains or net ordinary income to provide us with additional liquidity.</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our results of operations for the fiscal years ended September 30, 2013, 2012 and 2011.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Investment income for the fiscal year ended September 30, 2013 was $129.2 million and was attributable to $38.9 million from senior secured loan investments, $31.9 million from second lien secured debt investments, $55.1 million from subordinated debt investments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pacing w:after="0" w:line="17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Expenses for the fiscal year ended September 30, 2013 totaled $62.2 million. Base management fees for the same period totaled $21.3 million, incentive fees totaled $16.8 million, debt related interest and expenses totaled $18.1 million (including $2.8 million associated with the 2025 Notes and expanding our Credit Facility) and general and administrative expenses totaled $6.0 million. The increase in expenses over the prior year was primarily due to increased borrowing costs and the growth of our portfolio.</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Expenses for the fiscal year ended September 30, 2012 totaled $56.3 million. Base management fees for the same period totaled $17.5 million, incentive fees totaled $14.2 million, Credit Facility and SBA debentures related expenses totaled $17.1 million (including $5.4 million of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8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Expenses for the fiscal year ended September 30, 2011 totaled $39.1 million. Base management fees for the same period totaled $14.9 million, incentive fees totaled $13.2 million, Credit Facility and SBA debentures related expenses totaled $5.3 million, general and administrative expenses totaled $5.5 million and an excise tax</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of $0.2 million was incurred. The increase in expenses over the prior year was the result of the growth of our portfolio as well as increased borrowing costs.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Net investment income totaled $67.0 million or $1.01 per share, $57.1 million or $1.08 per share and $52.6 million or $1.25 per share for the fiscal years ended September 30, 2013, 2012 and 2011, respectively. The increase in net investment income was the result of the growth of our portfolio, while the per share net investment income decrease was the result of share issuances.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Sales and repayments of investments for the fiscal years ended September 30, 2013, 2012 and 2011 totaled $437.1 million, $201.7 million and $304.0 million, respectively, and net realized gains (losses) totaled $17.7 million, $(12.8) million and $16.3 million, respectively. Net realized gains increased over the prior year primarily due to sales, restructurings and repayments of our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or Depreciation on Investments, Credit Facility and 2025 Notes</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Net change in unrealized (depreciation) appreciation on investments totaled $4.8 million, $20.6 million and $(46.8) million for the fiscal years ended September 30, 2013, 2012 and 2011, respectively. Net change in unrealized (appreciation) depreciation on our Credit Facility and 2025 Notes totaled $2.3 million, $(1.6) million and $(11.9) million for the same periods, respectively. The decrease in net unrealized change in appreciation on investments from the fiscal year ended September 30, 2011 to the fiscal year ended September 30, 2013 was due to the overall variations in the leveraged finance markets. The increase in net unrealized change in depreciation (appreciation) on our Credit Facility and 2025 Notes was the result of the fluctuating interest rate environment.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increase in net assets resulting from operations totaled $91.8 million or $1.39 per share, $63.4 million or $1.20 per share, and $10.3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$0.24 per share for the fiscal years ended September 30, 2013, 2012 and 2011, respectively. The net increase in net assets from operations was higher than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prior years primarily due to realized gains and continued growth in net investment income.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7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2016, and a one-year term-out period following its third year. Borrowings under the Credit Facility bear interest at 275 basis points over LIBOR. As of September 30, 2013 and 2012, we had $284.5 million and $235.0 million of unused borrowing capacity, respectively, subject to the regulatory restrictions that the 1940 Act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imposes on us as a BDC. The Credit Facility is secured by substantially all of our assets excluding assets held by our SBIC Funds.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stockholders’ equity of the sum of</w:t>
      </w:r>
    </w:p>
    <w:p>
      <w:pPr>
        <w:spacing w:after="0" w:line="46" w:lineRule="exact"/>
        <w:rPr>
          <w:sz w:val="20"/>
          <w:szCs w:val="20"/>
          <w:color w:val="auto"/>
        </w:rPr>
      </w:pPr>
    </w:p>
    <w:p>
      <w:pPr>
        <w:ind w:right="100" w:firstLine="8"/>
        <w:spacing w:after="0" w:line="269" w:lineRule="auto"/>
        <w:tabs>
          <w:tab w:leader="none" w:pos="245" w:val="left"/>
        </w:tabs>
        <w:numPr>
          <w:ilvl w:val="0"/>
          <w:numId w:val="64"/>
        </w:numPr>
        <w:rPr>
          <w:rFonts w:ascii="Arial" w:cs="Arial" w:eastAsia="Arial" w:hAnsi="Arial"/>
          <w:sz w:val="17"/>
          <w:szCs w:val="17"/>
          <w:color w:val="auto"/>
        </w:rPr>
      </w:pPr>
      <w:r>
        <w:rPr>
          <w:rFonts w:ascii="Arial" w:cs="Arial" w:eastAsia="Arial" w:hAnsi="Arial"/>
          <w:sz w:val="17"/>
          <w:szCs w:val="17"/>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2013, we were in compliance with the terms of our Credit Facility.</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93"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fiscal year ended September 30, 2013 we sold 0.7 million shares of common stock pursuant to the underwriters’ exercise of the overallotment option, resulting in net proceeds of $7.3 million. This compares to selling 19.4 million shares of our common stock resulting in net proceeds of $198.9 million for the fiscal year ended September 30, 2012.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9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58"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paid-in and is subject to customary regulatory requirements including but not limited to an examination by the SBA. We have funded SBIC LP with $75.0 million of equity capital and had SBA debentures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outstanding of $150.0 million as of September 30, 2013. Effective January 2013, our wholly-owned subsidiary, SBIC II, received a license from the SBA to operate as an SBIC under the 1958 Act.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7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2013 and 2012, our $150.0 million in debt commitments were fully drawn with a weighted average interest rate of 3.70% exclusive of the 3.43% in upfront fees (4.04% after upfront fees). The SBA debentures upfront fees of 3.43% consist of a commitment fee of 1.00% and an issuance at a 2.43% discount to face. Both fees will be amortized over the lives of the loans. Our fixed rate SBA debentures as of September 30, 2013 and 2012 are as follows:</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3580" w:type="dxa"/>
            <w:vAlign w:val="bottom"/>
            <w:vMerge w:val="restart"/>
          </w:tcPr>
          <w:p>
            <w:pPr>
              <w:spacing w:after="0"/>
              <w:rPr>
                <w:sz w:val="14"/>
                <w:szCs w:val="14"/>
                <w:color w:val="auto"/>
              </w:rPr>
            </w:pPr>
          </w:p>
        </w:tc>
        <w:tc>
          <w:tcPr>
            <w:tcW w:w="14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Maturity</w:t>
            </w:r>
          </w:p>
        </w:tc>
        <w:tc>
          <w:tcPr>
            <w:tcW w:w="800" w:type="dxa"/>
            <w:vAlign w:val="bottom"/>
            <w:vMerge w:val="restart"/>
          </w:tcPr>
          <w:p>
            <w:pPr>
              <w:spacing w:after="0"/>
              <w:rPr>
                <w:sz w:val="14"/>
                <w:szCs w:val="14"/>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All-in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358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CCEEFF"/>
            </w:tcBorders>
            <w:vMerge w:val="continue"/>
          </w:tcPr>
          <w:p>
            <w:pPr>
              <w:spacing w:after="0"/>
              <w:rPr>
                <w:sz w:val="14"/>
                <w:szCs w:val="1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 xml:space="preserve">Coupon Rate </w:t>
            </w:r>
            <w:r>
              <w:rPr>
                <w:rFonts w:ascii="Arial" w:cs="Arial" w:eastAsia="Arial" w:hAnsi="Arial"/>
                <w:sz w:val="12"/>
                <w:szCs w:val="12"/>
                <w:b w:val="1"/>
                <w:bCs w:val="1"/>
                <w:color w:val="auto"/>
                <w:w w:val="90"/>
              </w:rPr>
              <w:t>(1)</w:t>
            </w:r>
          </w:p>
        </w:tc>
        <w:tc>
          <w:tcPr>
            <w:tcW w:w="4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September 1, 2020</w:t>
            </w:r>
          </w:p>
        </w:tc>
        <w:tc>
          <w:tcPr>
            <w:tcW w:w="8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2200" w:type="dxa"/>
            <w:vAlign w:val="bottom"/>
            <w:gridSpan w:val="2"/>
          </w:tcPr>
          <w:p>
            <w:pPr>
              <w:ind w:left="40"/>
              <w:spacing w:after="0"/>
              <w:rPr>
                <w:sz w:val="20"/>
                <w:szCs w:val="20"/>
                <w:color w:val="auto"/>
              </w:rPr>
            </w:pPr>
            <w:r>
              <w:rPr>
                <w:rFonts w:ascii="Arial" w:cs="Arial" w:eastAsia="Arial" w:hAnsi="Arial"/>
                <w:sz w:val="18"/>
                <w:szCs w:val="18"/>
                <w:color w:val="auto"/>
              </w:rPr>
              <w:t>March 1, 2021</w:t>
            </w:r>
          </w:p>
        </w:tc>
        <w:tc>
          <w:tcPr>
            <w:tcW w:w="1460" w:type="dxa"/>
            <w:vAlign w:val="bottom"/>
            <w:gridSpan w:val="2"/>
          </w:tcPr>
          <w:p>
            <w:pPr>
              <w:ind w:left="66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2021</w:t>
            </w:r>
          </w:p>
        </w:tc>
        <w:tc>
          <w:tcPr>
            <w:tcW w:w="9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60" w:type="dxa"/>
            <w:vAlign w:val="bottom"/>
            <w:gridSpan w:val="2"/>
          </w:tcPr>
          <w:p>
            <w:pPr>
              <w:ind w:left="660"/>
              <w:spacing w:after="0"/>
              <w:rPr>
                <w:sz w:val="20"/>
                <w:szCs w:val="20"/>
                <w:color w:val="auto"/>
              </w:rPr>
            </w:pPr>
            <w:r>
              <w:rPr>
                <w:rFonts w:ascii="Arial" w:cs="Arial" w:eastAsia="Arial" w:hAnsi="Arial"/>
                <w:sz w:val="18"/>
                <w:szCs w:val="18"/>
                <w:color w:val="auto"/>
              </w:rPr>
              <w:t>3.70%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3.43% of upfront fees.</w:t>
      </w:r>
    </w:p>
    <w:p>
      <w:pPr>
        <w:spacing w:after="0" w:line="225"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2013, our SBIC Funds were in compliance with their regulatory requirements.</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September 30, 2013 and September 30, 2012, we had cash equivalents of $58.4 million and $7.6 million, respectively, available for investing and general corporate purposes. This was primarily the result of repayments in SBIC LP. We believe our liquidity and capital resources are sufficient to take advantage of market opportunities.</w:t>
      </w:r>
    </w:p>
    <w:p>
      <w:pPr>
        <w:spacing w:after="0" w:line="181"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Our operating activities provided cash of $40.3 million for the fiscal year ended September 30, 2013, and our financing activities provided cash proceeds of $10.6 million for the same period. Our operating activities used cash primarily for investing that was offset by proceeds from sales and repayments on our investments and issuance of the 2025 Notes.</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cash proceeds of $207.6 million for the same period. Our operating activities used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cash primarily for investing that was provided primarily from proceeds from our follow-on public offering of common stock and draws under our Credit Facility and SBA debentures.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 summary of our significant contractual payment obligations as of September 30, 2013, including borrowings under our multi-currency Credit Facility and other contractual obligations,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4"/>
                <w:szCs w:val="14"/>
                <w:b w:val="1"/>
                <w:bCs w:val="1"/>
                <w:color w:val="auto"/>
              </w:rPr>
              <w:t>Payments due by period (millions)</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0"/>
                <w:szCs w:val="10"/>
                <w:color w:val="auto"/>
              </w:rPr>
            </w:pPr>
          </w:p>
        </w:tc>
        <w:tc>
          <w:tcPr>
            <w:tcW w:w="90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Less than</w:t>
            </w:r>
          </w:p>
        </w:tc>
        <w:tc>
          <w:tcPr>
            <w:tcW w:w="800" w:type="dxa"/>
            <w:vAlign w:val="bottom"/>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1-3</w:t>
            </w:r>
          </w:p>
        </w:tc>
        <w:tc>
          <w:tcPr>
            <w:tcW w:w="58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3-5</w:t>
            </w:r>
          </w:p>
        </w:tc>
        <w:tc>
          <w:tcPr>
            <w:tcW w:w="600" w:type="dxa"/>
            <w:vAlign w:val="bottom"/>
          </w:tcPr>
          <w:p>
            <w:pPr>
              <w:spacing w:after="0"/>
              <w:rPr>
                <w:sz w:val="10"/>
                <w:szCs w:val="10"/>
                <w:color w:val="auto"/>
              </w:rPr>
            </w:pPr>
          </w:p>
        </w:tc>
        <w:tc>
          <w:tcPr>
            <w:tcW w:w="6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years</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2"/>
              </w:rPr>
              <w:t>years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2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SBA debentures</w:t>
            </w:r>
          </w:p>
        </w:tc>
        <w:tc>
          <w:tcPr>
            <w:tcW w:w="264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5"/>
                <w:szCs w:val="15"/>
                <w:color w:val="auto"/>
              </w:rPr>
              <w:t>(1)</w:t>
            </w:r>
          </w:p>
        </w:tc>
        <w:tc>
          <w:tcPr>
            <w:tcW w:w="21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58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5"/>
                <w:szCs w:val="15"/>
                <w:color w:val="auto"/>
              </w:rPr>
              <w:t>(2)</w:t>
            </w:r>
          </w:p>
        </w:tc>
        <w:tc>
          <w:tcPr>
            <w:tcW w:w="2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w:t>
            </w:r>
          </w:p>
        </w:tc>
        <w:tc>
          <w:tcPr>
            <w:tcW w:w="1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60" w:hanging="452"/>
        <w:spacing w:after="0" w:line="25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weighted average interest rate on the total debt outstanding as of September 30, 2013 was 4.05%, exclusive of the fee on the undrawn commitment of 0.50% on the Credit Facility and 3.43% of upfront fees on SBIC LP’s SBA debentures.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Unfunded investments described in the Consolidated Statement of Assets and Liabilities represent unfunded delayed draws on investments.</w:t>
      </w:r>
    </w:p>
    <w:p>
      <w:pPr>
        <w:spacing w:after="0" w:line="22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66"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Administration Agreement. Any new investment management agreement would also be subject to approval by our stockholders.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 the ordinary course of business, have guaranteed certain obligations of our controlled affiliate, SuttonPark Holdings, Inc. and its subsidiaries, or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SPH. The guaranties are only triggered if there were administrative errors in acquiring assets which SPH subsequently sold or securitized.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2013 our maximum guaranty is $13.0 million. Based on SPH’s and industry historical loss rates, we believe the risk of loss is remote, thus,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not recorded a liability associated with the guaranties. The current guaranties will decline over time.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engage in no off-balance sheet arrangements, including any risk management of commodity pricing or other hedging practices.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w:t>
      </w:r>
    </w:p>
    <w:p>
      <w:pPr>
        <w:spacing w:after="0" w:line="2" w:lineRule="exact"/>
        <w:rPr>
          <w:sz w:val="20"/>
          <w:szCs w:val="20"/>
          <w:color w:val="auto"/>
        </w:rPr>
      </w:pPr>
    </w:p>
    <w:p>
      <w:pPr>
        <w:ind w:right="40" w:firstLine="8"/>
        <w:spacing w:after="0" w:line="253"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2013, 2012 and 2011, we elected to retain a portion of our calendar year income and incurred an excise tax of approximately $(0.1) million, $0.3 million and $0.2 million, respectively.</w:t>
      </w:r>
    </w:p>
    <w:p>
      <w:pPr>
        <w:spacing w:after="0" w:line="19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During the fiscal years ended September 30, 2013, 2012 and 2011, we declared distributions of $1.12, $1.12 and $1.07 per share, respectively, for total distributions of $74.4 million, $60.1 million and $46.3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24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annually, we will suffer adverse tax consequences, including possible loss of RIC status. We cannot assure stockholders that they will receive any distributions at a particular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our Form 8-K filed on November 25,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are subject to financial market risks, including changes in interest rates. As of September 30, 2013, our debt portfolio consisted of 52% fixed-rate investments and 48% variable-rate investments (including 44%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Change In Interest</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Change In Interest Rates</w:t>
            </w:r>
          </w:p>
        </w:tc>
        <w:tc>
          <w:tcPr>
            <w:tcW w:w="4980" w:type="dxa"/>
            <w:vAlign w:val="bottom"/>
            <w:gridSpan w:val="3"/>
          </w:tcPr>
          <w:p>
            <w:pPr>
              <w:jc w:val="center"/>
              <w:ind w:left="2274"/>
              <w:spacing w:after="0" w:line="149" w:lineRule="exact"/>
              <w:rPr>
                <w:sz w:val="20"/>
                <w:szCs w:val="20"/>
                <w:color w:val="auto"/>
              </w:rPr>
            </w:pPr>
            <w:r>
              <w:rPr>
                <w:rFonts w:ascii="Arial" w:cs="Arial" w:eastAsia="Arial" w:hAnsi="Arial"/>
                <w:sz w:val="14"/>
                <w:szCs w:val="14"/>
                <w:b w:val="1"/>
                <w:bCs w:val="1"/>
                <w:color w:val="auto"/>
                <w:w w:val="95"/>
              </w:rPr>
              <w:t>Income, Net Of Interest</w:t>
            </w:r>
          </w:p>
        </w:tc>
        <w:tc>
          <w:tcPr>
            <w:tcW w:w="124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71"/>
        </w:trPr>
        <w:tc>
          <w:tcPr>
            <w:tcW w:w="1540" w:type="dxa"/>
            <w:vAlign w:val="bottom"/>
            <w:vMerge w:val="continue"/>
          </w:tcPr>
          <w:p>
            <w:pPr>
              <w:spacing w:after="0"/>
              <w:rPr>
                <w:sz w:val="14"/>
                <w:szCs w:val="14"/>
                <w:color w:val="auto"/>
              </w:rPr>
            </w:pPr>
          </w:p>
        </w:tc>
        <w:tc>
          <w:tcPr>
            <w:tcW w:w="2940" w:type="dxa"/>
            <w:vAlign w:val="bottom"/>
          </w:tcPr>
          <w:p>
            <w:pPr>
              <w:spacing w:after="0"/>
              <w:rPr>
                <w:sz w:val="14"/>
                <w:szCs w:val="14"/>
                <w:color w:val="auto"/>
              </w:rPr>
            </w:pPr>
          </w:p>
        </w:tc>
        <w:tc>
          <w:tcPr>
            <w:tcW w:w="2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Expense (in thousands)</w:t>
            </w:r>
          </w:p>
        </w:tc>
        <w:tc>
          <w:tcPr>
            <w:tcW w:w="12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1%</w:t>
            </w:r>
          </w:p>
        </w:tc>
        <w:tc>
          <w:tcPr>
            <w:tcW w:w="29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5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20"/>
                <w:szCs w:val="20"/>
                <w:color w:val="auto"/>
              </w:rPr>
            </w:pPr>
            <w:r>
              <w:rPr>
                <w:rFonts w:ascii="Arial" w:cs="Arial" w:eastAsia="Arial" w:hAnsi="Arial"/>
                <w:sz w:val="18"/>
                <w:szCs w:val="18"/>
                <w:color w:val="auto"/>
              </w:rPr>
              <w:t>Up 2%</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Pr>
          <w:p>
            <w:pPr>
              <w:spacing w:after="0"/>
              <w:rPr>
                <w:sz w:val="18"/>
                <w:szCs w:val="18"/>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Up 3%</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40" w:type="dxa"/>
            <w:vAlign w:val="bottom"/>
          </w:tcPr>
          <w:p>
            <w:pPr>
              <w:spacing w:after="0"/>
              <w:rPr>
                <w:sz w:val="20"/>
                <w:szCs w:val="20"/>
                <w:color w:val="auto"/>
              </w:rPr>
            </w:pPr>
            <w:r>
              <w:rPr>
                <w:rFonts w:ascii="Arial" w:cs="Arial" w:eastAsia="Arial" w:hAnsi="Arial"/>
                <w:sz w:val="18"/>
                <w:szCs w:val="18"/>
                <w:color w:val="auto"/>
              </w:rPr>
              <w:t>Up 4%</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6,378</w:t>
            </w:r>
          </w:p>
        </w:tc>
        <w:tc>
          <w:tcPr>
            <w:tcW w:w="580" w:type="dxa"/>
            <w:vAlign w:val="bottom"/>
          </w:tcPr>
          <w:p>
            <w:pPr>
              <w:spacing w:after="0"/>
              <w:rPr>
                <w:sz w:val="20"/>
                <w:szCs w:val="20"/>
                <w:color w:val="auto"/>
              </w:rPr>
            </w:pPr>
          </w:p>
        </w:tc>
        <w:tc>
          <w:tcPr>
            <w:tcW w:w="6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660" w:firstLine="456"/>
        <w:spacing w:after="0" w:line="279" w:lineRule="auto"/>
        <w:rPr>
          <w:sz w:val="20"/>
          <w:szCs w:val="20"/>
          <w:color w:val="auto"/>
        </w:rPr>
      </w:pPr>
      <w:r>
        <w:rPr>
          <w:rFonts w:ascii="Arial" w:cs="Arial" w:eastAsia="Arial" w:hAnsi="Arial"/>
          <w:sz w:val="17"/>
          <w:szCs w:val="17"/>
          <w:color w:val="auto"/>
        </w:rPr>
        <w:t>Information about our senior securities is shown in the following table as of September 30, 2013, 2012, 2011, 2010, 2009 and 2008 is from our Consolidated Financial Statements, which has been audited by KPMG LLP,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4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Amount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Coverage</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320" w:type="dxa"/>
            <w:vAlign w:val="bottom"/>
            <w:vMerge w:val="restart"/>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Value Per</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vMerge w:val="continue"/>
          </w:tcPr>
          <w:p>
            <w:pPr>
              <w:spacing w:after="0"/>
              <w:rPr>
                <w:sz w:val="14"/>
                <w:szCs w:val="14"/>
                <w:color w:val="auto"/>
              </w:rPr>
            </w:pPr>
          </w:p>
        </w:tc>
        <w:tc>
          <w:tcPr>
            <w:tcW w:w="532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Outstanding</w:t>
            </w:r>
            <w:r>
              <w:rPr>
                <w:rFonts w:ascii="Arial" w:cs="Arial" w:eastAsia="Arial" w:hAnsi="Arial"/>
                <w:sz w:val="12"/>
                <w:szCs w:val="12"/>
                <w:b w:val="1"/>
                <w:bCs w:val="1"/>
                <w:color w:val="auto"/>
                <w:w w:val="96"/>
              </w:rPr>
              <w:t>(1)</w:t>
            </w:r>
          </w:p>
        </w:tc>
        <w:tc>
          <w:tcPr>
            <w:tcW w:w="4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8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Unit</w:t>
            </w:r>
            <w:r>
              <w:rPr>
                <w:rFonts w:ascii="Arial" w:cs="Arial" w:eastAsia="Arial" w:hAnsi="Arial"/>
                <w:sz w:val="12"/>
                <w:szCs w:val="12"/>
                <w:b w:val="1"/>
                <w:bCs w:val="1"/>
                <w:color w:val="auto"/>
                <w:w w:val="95"/>
              </w:rPr>
              <w:t>(3)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Facility, SBA debentures and 2025 Notes</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2013</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216,750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4,261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24.79</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5"/>
                <w:szCs w:val="15"/>
                <w:color w:val="auto"/>
              </w:rPr>
              <w:t>(4)</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5,636</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5"/>
                <w:szCs w:val="15"/>
                <w:color w:val="auto"/>
              </w:rPr>
              <w:t>(4)</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240,900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2,937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247,600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2,655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60" w:type="dxa"/>
            <w:vAlign w:val="bottom"/>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225,100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40"/>
              <w:spacing w:after="0"/>
              <w:rPr>
                <w:sz w:val="20"/>
                <w:szCs w:val="20"/>
                <w:color w:val="auto"/>
              </w:rPr>
            </w:pPr>
            <w:r>
              <w:rPr>
                <w:rFonts w:ascii="Arial" w:cs="Arial" w:eastAsia="Arial" w:hAnsi="Arial"/>
                <w:sz w:val="18"/>
                <w:szCs w:val="18"/>
                <w:color w:val="auto"/>
              </w:rPr>
              <w:t>2,713</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202,000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2,043</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average market value per unit is derived based on the monthly average closing price of the 2025 Notes trading on NYSE under the symbol “PNTA” since issuance, which were issued in increments of $25 per unit.</w:t>
      </w:r>
    </w:p>
    <w:p>
      <w:pPr>
        <w:ind w:left="460" w:right="40" w:hanging="452"/>
        <w:spacing w:after="0" w:line="261"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These amounts exclude SBIC LP’s SBA debentures from our asset coverage per unit computation pursuant to an exemptive relief letter provided by the SEC in June 2011.</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September 30, 2013, 2012, 2011, 2010, 2009 and 2008, the ratios of earnings to fixed charges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10"/>
          </w:tcPr>
          <w:p>
            <w:pPr>
              <w:jc w:val="right"/>
              <w:ind w:right="720"/>
              <w:spacing w:after="0"/>
              <w:rPr>
                <w:sz w:val="20"/>
                <w:szCs w:val="20"/>
                <w:color w:val="auto"/>
              </w:rPr>
            </w:pPr>
            <w:r>
              <w:rPr>
                <w:rFonts w:ascii="Arial" w:cs="Arial" w:eastAsia="Arial" w:hAnsi="Arial"/>
                <w:sz w:val="14"/>
                <w:szCs w:val="14"/>
                <w:b w:val="1"/>
                <w:bCs w:val="1"/>
                <w:color w:val="auto"/>
                <w:w w:val="96"/>
              </w:rPr>
              <w:t>For the Fiscal Years Ended 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5"/>
                <w:szCs w:val="15"/>
                <w:b w:val="1"/>
                <w:bCs w:val="1"/>
                <w:color w:val="auto"/>
              </w:rPr>
              <w:t>(1)</w:t>
            </w: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Net investment income (after taxes)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$ 66,998</w:t>
            </w:r>
          </w:p>
        </w:tc>
        <w:tc>
          <w:tcPr>
            <w:tcW w:w="2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57,069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52,645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32,075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Net realized gain (losses) gains on investments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17,687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(15,417)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Add: Net change in unrealized appreciation (depreciation)</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19,082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(58,641)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$ 91,777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63,353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10,263</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16,535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5"/>
                <w:szCs w:val="15"/>
                <w:b w:val="1"/>
                <w:bCs w:val="1"/>
                <w:color w:val="auto"/>
              </w:rPr>
              <w:t>(2)</w:t>
            </w:r>
          </w:p>
        </w:tc>
        <w:tc>
          <w:tcPr>
            <w:tcW w:w="7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expenses on debt</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$ 15,384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11,681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7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Earnings include net realized and unrealized gains or losses. Net realized and unrealized gains or losses can vary substantially from period to period.</w:t>
      </w:r>
    </w:p>
    <w:p>
      <w:pPr>
        <w:spacing w:after="0" w:line="46"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Fixed charges include interest and related expenses on our Credit Facility, which is indexed to LIBOR and fluctuate with changes in interest rates, the 2025 Notes and SBA debentures and amortization of debt issuance costs on our SBA debentures.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premium or (discount) to our NAV and quarterly distributions per share since October 1, 2008. On December 6, 2013, the last reported closing price of our common stock was $11.93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89"/>
              </w:rPr>
              <w:t>Premium</w:t>
            </w: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9"/>
              </w:rPr>
              <w:t>Premium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80" w:type="dxa"/>
            <w:vAlign w:val="bottom"/>
            <w:gridSpan w:val="5"/>
            <w:vMerge w:val="restart"/>
          </w:tcPr>
          <w:p>
            <w:pPr>
              <w:ind w:left="360"/>
              <w:spacing w:after="0"/>
              <w:rPr>
                <w:sz w:val="20"/>
                <w:szCs w:val="20"/>
                <w:color w:val="auto"/>
              </w:rPr>
            </w:pPr>
            <w:r>
              <w:rPr>
                <w:rFonts w:ascii="Arial" w:cs="Arial" w:eastAsia="Arial" w:hAnsi="Arial"/>
                <w:sz w:val="12"/>
                <w:szCs w:val="12"/>
                <w:b w:val="1"/>
                <w:bCs w:val="1"/>
                <w:color w:val="auto"/>
              </w:rPr>
              <w:t>Closing Sales Price</w:t>
            </w:r>
          </w:p>
        </w:tc>
        <w:tc>
          <w:tcPr>
            <w:tcW w:w="1200" w:type="dxa"/>
            <w:vAlign w:val="bottom"/>
            <w:gridSpan w:val="2"/>
          </w:tcPr>
          <w:p>
            <w:pPr>
              <w:jc w:val="center"/>
              <w:ind w:right="520"/>
              <w:spacing w:after="0" w:line="135" w:lineRule="exact"/>
              <w:rPr>
                <w:sz w:val="20"/>
                <w:szCs w:val="20"/>
                <w:color w:val="auto"/>
              </w:rPr>
            </w:pPr>
            <w:r>
              <w:rPr>
                <w:rFonts w:ascii="Arial" w:cs="Arial" w:eastAsia="Arial" w:hAnsi="Arial"/>
                <w:sz w:val="12"/>
                <w:szCs w:val="12"/>
                <w:b w:val="1"/>
                <w:bCs w:val="1"/>
                <w:color w:val="auto"/>
                <w:w w:val="87"/>
              </w:rPr>
              <w:t>(Discount)</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7"/>
              </w:rPr>
              <w:t>(Discount)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1200" w:type="dxa"/>
            <w:vAlign w:val="bottom"/>
            <w:gridSpan w:val="2"/>
            <w:vMerge w:val="restart"/>
          </w:tcPr>
          <w:p>
            <w:pPr>
              <w:jc w:val="center"/>
              <w:ind w:right="540"/>
              <w:spacing w:after="0" w:line="135" w:lineRule="exact"/>
              <w:rPr>
                <w:sz w:val="20"/>
                <w:szCs w:val="20"/>
                <w:color w:val="auto"/>
              </w:rPr>
            </w:pPr>
            <w:r>
              <w:rPr>
                <w:rFonts w:ascii="Arial" w:cs="Arial" w:eastAsia="Arial" w:hAnsi="Arial"/>
                <w:sz w:val="12"/>
                <w:szCs w:val="12"/>
                <w:b w:val="1"/>
                <w:bCs w:val="1"/>
                <w:color w:val="auto"/>
                <w:w w:val="86"/>
              </w:rPr>
              <w:t>of High Sales</w:t>
            </w:r>
          </w:p>
        </w:tc>
        <w:tc>
          <w:tcPr>
            <w:tcW w:w="960" w:type="dxa"/>
            <w:vAlign w:val="bottom"/>
            <w:gridSpan w:val="2"/>
            <w:vMerge w:val="restart"/>
          </w:tcPr>
          <w:p>
            <w:pPr>
              <w:jc w:val="center"/>
              <w:ind w:right="340"/>
              <w:spacing w:after="0" w:line="135" w:lineRule="exact"/>
              <w:rPr>
                <w:sz w:val="20"/>
                <w:szCs w:val="20"/>
                <w:color w:val="auto"/>
              </w:rPr>
            </w:pPr>
            <w:r>
              <w:rPr>
                <w:rFonts w:ascii="Arial" w:cs="Arial" w:eastAsia="Arial" w:hAnsi="Arial"/>
                <w:sz w:val="12"/>
                <w:szCs w:val="12"/>
                <w:b w:val="1"/>
                <w:bCs w:val="1"/>
                <w:color w:val="auto"/>
                <w:w w:val="84"/>
              </w:rPr>
              <w:t>of Low Sales</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Period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2"/>
                <w:szCs w:val="12"/>
                <w:b w:val="1"/>
                <w:bCs w:val="1"/>
                <w:color w:val="auto"/>
                <w:w w:val="86"/>
              </w:rPr>
              <w:t>Price to</w:t>
            </w: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6"/>
              </w:rPr>
              <w:t>Price to</w:t>
            </w:r>
          </w:p>
        </w:tc>
        <w:tc>
          <w:tcPr>
            <w:tcW w:w="2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Distributions</w:t>
            </w:r>
          </w:p>
        </w:tc>
        <w:tc>
          <w:tcPr>
            <w:tcW w:w="0" w:type="dxa"/>
            <w:vAlign w:val="bottom"/>
          </w:tcPr>
          <w:p>
            <w:pPr>
              <w:spacing w:after="0"/>
              <w:rPr>
                <w:sz w:val="1"/>
                <w:szCs w:val="1"/>
                <w:color w:val="auto"/>
              </w:rPr>
            </w:pPr>
          </w:p>
        </w:tc>
      </w:tr>
      <w:tr>
        <w:trPr>
          <w:trHeight w:val="143"/>
        </w:trPr>
        <w:tc>
          <w:tcPr>
            <w:tcW w:w="4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NAV</w:t>
            </w:r>
            <w:r>
              <w:rPr>
                <w:rFonts w:ascii="Arial" w:cs="Arial" w:eastAsia="Arial" w:hAnsi="Arial"/>
                <w:sz w:val="9"/>
                <w:szCs w:val="9"/>
                <w:b w:val="1"/>
                <w:bCs w:val="1"/>
                <w:color w:val="auto"/>
              </w:rPr>
              <w:t>(1)</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High</w:t>
            </w:r>
          </w:p>
        </w:tc>
        <w:tc>
          <w:tcPr>
            <w:tcW w:w="220" w:type="dxa"/>
            <w:vAlign w:val="bottom"/>
          </w:tcPr>
          <w:p>
            <w:pPr>
              <w:spacing w:after="0"/>
              <w:rPr>
                <w:sz w:val="12"/>
                <w:szCs w:val="12"/>
                <w:color w:val="auto"/>
              </w:rPr>
            </w:pPr>
          </w:p>
        </w:tc>
        <w:tc>
          <w:tcPr>
            <w:tcW w:w="1040" w:type="dxa"/>
            <w:vAlign w:val="bottom"/>
            <w:gridSpan w:val="2"/>
          </w:tcPr>
          <w:p>
            <w:pPr>
              <w:ind w:left="200"/>
              <w:spacing w:after="0"/>
              <w:rPr>
                <w:sz w:val="20"/>
                <w:szCs w:val="20"/>
                <w:color w:val="auto"/>
              </w:rPr>
            </w:pPr>
            <w:r>
              <w:rPr>
                <w:rFonts w:ascii="Arial" w:cs="Arial" w:eastAsia="Arial" w:hAnsi="Arial"/>
                <w:sz w:val="11"/>
                <w:szCs w:val="11"/>
                <w:b w:val="1"/>
                <w:bCs w:val="1"/>
                <w:color w:val="auto"/>
              </w:rPr>
              <w:t>Low</w:t>
            </w:r>
          </w:p>
        </w:tc>
        <w:tc>
          <w:tcPr>
            <w:tcW w:w="1200" w:type="dxa"/>
            <w:vAlign w:val="bottom"/>
            <w:gridSpan w:val="2"/>
          </w:tcPr>
          <w:p>
            <w:pPr>
              <w:jc w:val="center"/>
              <w:ind w:right="520"/>
              <w:spacing w:after="0"/>
              <w:rPr>
                <w:sz w:val="20"/>
                <w:szCs w:val="20"/>
                <w:color w:val="auto"/>
              </w:rPr>
            </w:pPr>
            <w:r>
              <w:rPr>
                <w:rFonts w:ascii="Arial" w:cs="Arial" w:eastAsia="Arial" w:hAnsi="Arial"/>
                <w:sz w:val="12"/>
                <w:szCs w:val="12"/>
                <w:b w:val="1"/>
                <w:bCs w:val="1"/>
                <w:color w:val="auto"/>
                <w:w w:val="98"/>
              </w:rPr>
              <w:t>NAV</w:t>
            </w:r>
            <w:r>
              <w:rPr>
                <w:rFonts w:ascii="Arial" w:cs="Arial" w:eastAsia="Arial" w:hAnsi="Arial"/>
                <w:sz w:val="9"/>
                <w:szCs w:val="9"/>
                <w:b w:val="1"/>
                <w:bCs w:val="1"/>
                <w:color w:val="auto"/>
                <w:w w:val="98"/>
              </w:rPr>
              <w:t>(2)</w:t>
            </w:r>
          </w:p>
        </w:tc>
        <w:tc>
          <w:tcPr>
            <w:tcW w:w="9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NAV</w:t>
            </w:r>
            <w:r>
              <w:rPr>
                <w:rFonts w:ascii="Arial" w:cs="Arial" w:eastAsia="Arial" w:hAnsi="Arial"/>
                <w:sz w:val="9"/>
                <w:szCs w:val="9"/>
                <w:b w:val="1"/>
                <w:bCs w:val="1"/>
                <w:color w:val="auto"/>
                <w:w w:val="93"/>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Declared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Fiscal Year Ending September 30, 2014</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 (through December 6, 2013)</w:t>
            </w: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N/A</w:t>
            </w:r>
          </w:p>
        </w:tc>
        <w:tc>
          <w:tcPr>
            <w:tcW w:w="620" w:type="dxa"/>
            <w:vAlign w:val="bottom"/>
          </w:tcPr>
          <w:p>
            <w:pPr>
              <w:jc w:val="right"/>
              <w:spacing w:after="0"/>
              <w:rPr>
                <w:sz w:val="20"/>
                <w:szCs w:val="20"/>
                <w:color w:val="auto"/>
              </w:rPr>
            </w:pPr>
            <w:r>
              <w:rPr>
                <w:rFonts w:ascii="Arial" w:cs="Arial" w:eastAsia="Arial" w:hAnsi="Arial"/>
                <w:sz w:val="16"/>
                <w:szCs w:val="16"/>
                <w:color w:val="auto"/>
              </w:rPr>
              <w:t>$  12.17</w:t>
            </w:r>
          </w:p>
        </w:tc>
        <w:tc>
          <w:tcPr>
            <w:tcW w:w="20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  10.83</w:t>
            </w:r>
          </w:p>
        </w:tc>
        <w:tc>
          <w:tcPr>
            <w:tcW w:w="1200" w:type="dxa"/>
            <w:vAlign w:val="bottom"/>
            <w:gridSpan w:val="2"/>
          </w:tcPr>
          <w:p>
            <w:pPr>
              <w:jc w:val="right"/>
              <w:ind w:right="400"/>
              <w:spacing w:after="0"/>
              <w:rPr>
                <w:sz w:val="20"/>
                <w:szCs w:val="20"/>
                <w:color w:val="auto"/>
              </w:rPr>
            </w:pPr>
            <w:r>
              <w:rPr>
                <w:rFonts w:ascii="Arial" w:cs="Arial" w:eastAsia="Arial" w:hAnsi="Arial"/>
                <w:sz w:val="16"/>
                <w:szCs w:val="16"/>
                <w:color w:val="auto"/>
              </w:rPr>
              <w:t>N/A%</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N/A%</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280"/>
              <w:spacing w:after="0"/>
              <w:rPr>
                <w:sz w:val="20"/>
                <w:szCs w:val="20"/>
                <w:color w:val="auto"/>
              </w:rPr>
            </w:pPr>
            <w:r>
              <w:rPr>
                <w:rFonts w:ascii="Arial" w:cs="Arial" w:eastAsia="Arial" w:hAnsi="Arial"/>
                <w:sz w:val="16"/>
                <w:szCs w:val="16"/>
                <w:color w:val="auto"/>
                <w:w w:val="86"/>
              </w:rPr>
              <w:t>0.28</w:t>
            </w:r>
            <w:r>
              <w:rPr>
                <w:rFonts w:ascii="Arial" w:cs="Arial" w:eastAsia="Arial" w:hAnsi="Arial"/>
                <w:sz w:val="27"/>
                <w:szCs w:val="27"/>
                <w:color w:val="auto"/>
                <w:w w:val="86"/>
                <w:vertAlign w:val="superscript"/>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2013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10.49</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11.83</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10.97</w:t>
            </w: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10.43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10.45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10.50</w:t>
            </w:r>
          </w:p>
        </w:tc>
        <w:tc>
          <w:tcPr>
            <w:tcW w:w="620" w:type="dxa"/>
            <w:vAlign w:val="bottom"/>
          </w:tcPr>
          <w:p>
            <w:pPr>
              <w:jc w:val="right"/>
              <w:spacing w:after="0"/>
              <w:rPr>
                <w:sz w:val="20"/>
                <w:szCs w:val="20"/>
                <w:color w:val="auto"/>
              </w:rPr>
            </w:pPr>
            <w:r>
              <w:rPr>
                <w:rFonts w:ascii="Arial" w:cs="Arial" w:eastAsia="Arial" w:hAnsi="Arial"/>
                <w:sz w:val="16"/>
                <w:szCs w:val="16"/>
                <w:color w:val="auto"/>
              </w:rPr>
              <w:t>12.18</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11.01</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54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11.10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10.07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305"/>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September 30, 2012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10.22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11.44</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10.36</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10.16</w:t>
            </w:r>
          </w:p>
        </w:tc>
        <w:tc>
          <w:tcPr>
            <w:tcW w:w="620" w:type="dxa"/>
            <w:vAlign w:val="bottom"/>
          </w:tcPr>
          <w:p>
            <w:pPr>
              <w:jc w:val="right"/>
              <w:spacing w:after="0"/>
              <w:rPr>
                <w:sz w:val="20"/>
                <w:szCs w:val="20"/>
                <w:color w:val="auto"/>
              </w:rPr>
            </w:pPr>
            <w:r>
              <w:rPr>
                <w:rFonts w:ascii="Arial" w:cs="Arial" w:eastAsia="Arial" w:hAnsi="Arial"/>
                <w:sz w:val="16"/>
                <w:szCs w:val="16"/>
                <w:color w:val="auto"/>
              </w:rPr>
              <w:t>10.70</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9.27</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10.38</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11.23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10.31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10.19</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11.02</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8.57</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2011</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10.13</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11.52</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8.89</w:t>
            </w: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10.97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11.30</w:t>
            </w:r>
          </w:p>
        </w:tc>
        <w:tc>
          <w:tcPr>
            <w:tcW w:w="620" w:type="dxa"/>
            <w:vAlign w:val="bottom"/>
          </w:tcPr>
          <w:p>
            <w:pPr>
              <w:jc w:val="right"/>
              <w:spacing w:after="0"/>
              <w:rPr>
                <w:sz w:val="20"/>
                <w:szCs w:val="20"/>
                <w:color w:val="auto"/>
              </w:rPr>
            </w:pPr>
            <w:r>
              <w:rPr>
                <w:rFonts w:ascii="Arial" w:cs="Arial" w:eastAsia="Arial" w:hAnsi="Arial"/>
                <w:sz w:val="16"/>
                <w:szCs w:val="16"/>
                <w:color w:val="auto"/>
              </w:rPr>
              <w:t>13.05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11.21</w:t>
            </w: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10.60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b w:val="1"/>
                <w:bCs w:val="1"/>
                <w:color w:val="auto"/>
              </w:rPr>
              <w:t>Fiscal Year Ended September 30, 2010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Fourth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10.69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9.17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Third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10.94</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11.84</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9.02</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Second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11.07</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8.88</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First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11.86</w:t>
            </w:r>
          </w:p>
        </w:tc>
        <w:tc>
          <w:tcPr>
            <w:tcW w:w="620" w:type="dxa"/>
            <w:vAlign w:val="bottom"/>
          </w:tcPr>
          <w:p>
            <w:pPr>
              <w:jc w:val="right"/>
              <w:spacing w:after="0"/>
              <w:rPr>
                <w:sz w:val="20"/>
                <w:szCs w:val="20"/>
                <w:color w:val="auto"/>
              </w:rPr>
            </w:pPr>
            <w:r>
              <w:rPr>
                <w:rFonts w:ascii="Arial" w:cs="Arial" w:eastAsia="Arial" w:hAnsi="Arial"/>
                <w:sz w:val="16"/>
                <w:szCs w:val="16"/>
                <w:color w:val="auto"/>
              </w:rPr>
              <w:t>9.15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7.63</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(23)</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(36)</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Fiscal Year Ended September 30, 2009</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Fourth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11.85</w:t>
            </w:r>
          </w:p>
        </w:tc>
        <w:tc>
          <w:tcPr>
            <w:tcW w:w="620" w:type="dxa"/>
            <w:vAlign w:val="bottom"/>
          </w:tcPr>
          <w:p>
            <w:pPr>
              <w:jc w:val="right"/>
              <w:spacing w:after="0"/>
              <w:rPr>
                <w:sz w:val="20"/>
                <w:szCs w:val="20"/>
                <w:color w:val="auto"/>
              </w:rPr>
            </w:pPr>
            <w:r>
              <w:rPr>
                <w:rFonts w:ascii="Arial" w:cs="Arial" w:eastAsia="Arial" w:hAnsi="Arial"/>
                <w:sz w:val="16"/>
                <w:szCs w:val="16"/>
                <w:color w:val="auto"/>
              </w:rPr>
              <w:t>9.06</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6.28</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(24)</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Third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11.72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3.85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(35)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64"/>
        </w:trPr>
        <w:tc>
          <w:tcPr>
            <w:tcW w:w="4740" w:type="dxa"/>
            <w:vAlign w:val="bottom"/>
            <w:gridSpan w:val="2"/>
          </w:tcPr>
          <w:p>
            <w:pPr>
              <w:spacing w:after="0"/>
              <w:rPr>
                <w:sz w:val="20"/>
                <w:szCs w:val="20"/>
                <w:color w:val="auto"/>
              </w:rPr>
            </w:pPr>
            <w:r>
              <w:rPr>
                <w:rFonts w:ascii="Arial" w:cs="Arial" w:eastAsia="Arial" w:hAnsi="Arial"/>
                <w:sz w:val="16"/>
                <w:szCs w:val="16"/>
                <w:color w:val="auto"/>
              </w:rPr>
              <w:t>Second quarter</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6"/>
                <w:szCs w:val="16"/>
                <w:color w:val="auto"/>
              </w:rPr>
              <w:t>12.00</w:t>
            </w:r>
          </w:p>
        </w:tc>
        <w:tc>
          <w:tcPr>
            <w:tcW w:w="620" w:type="dxa"/>
            <w:vAlign w:val="bottom"/>
          </w:tcPr>
          <w:p>
            <w:pPr>
              <w:jc w:val="right"/>
              <w:spacing w:after="0"/>
              <w:rPr>
                <w:sz w:val="20"/>
                <w:szCs w:val="20"/>
                <w:color w:val="auto"/>
              </w:rPr>
            </w:pPr>
            <w:r>
              <w:rPr>
                <w:rFonts w:ascii="Arial" w:cs="Arial" w:eastAsia="Arial" w:hAnsi="Arial"/>
                <w:sz w:val="16"/>
                <w:szCs w:val="16"/>
                <w:color w:val="auto"/>
              </w:rPr>
              <w:t>4.05</w:t>
            </w:r>
          </w:p>
        </w:tc>
        <w:tc>
          <w:tcPr>
            <w:tcW w:w="200" w:type="dxa"/>
            <w:vAlign w:val="bottom"/>
          </w:tcPr>
          <w:p>
            <w:pPr>
              <w:spacing w:after="0"/>
              <w:rPr>
                <w:sz w:val="22"/>
                <w:szCs w:val="22"/>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6"/>
                <w:szCs w:val="16"/>
                <w:color w:val="auto"/>
              </w:rPr>
              <w:t>2.64</w:t>
            </w:r>
          </w:p>
        </w:tc>
        <w:tc>
          <w:tcPr>
            <w:tcW w:w="1200" w:type="dxa"/>
            <w:vAlign w:val="bottom"/>
            <w:gridSpan w:val="2"/>
          </w:tcPr>
          <w:p>
            <w:pPr>
              <w:jc w:val="right"/>
              <w:ind w:right="480"/>
              <w:spacing w:after="0"/>
              <w:rPr>
                <w:sz w:val="20"/>
                <w:szCs w:val="20"/>
                <w:color w:val="auto"/>
              </w:rPr>
            </w:pPr>
            <w:r>
              <w:rPr>
                <w:rFonts w:ascii="Arial" w:cs="Arial" w:eastAsia="Arial" w:hAnsi="Arial"/>
                <w:sz w:val="16"/>
                <w:szCs w:val="16"/>
                <w:color w:val="auto"/>
              </w:rPr>
              <w:t>(66)</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6"/>
                <w:szCs w:val="16"/>
                <w:color w:val="auto"/>
              </w:rPr>
              <w:t>First quarter</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10.24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20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2.35</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9" w:lineRule="exact"/>
        <w:rPr>
          <w:sz w:val="20"/>
          <w:szCs w:val="20"/>
          <w:color w:val="auto"/>
        </w:rPr>
      </w:pPr>
    </w:p>
    <w:p>
      <w:pPr>
        <w:ind w:left="340" w:right="280" w:hanging="332"/>
        <w:spacing w:after="0" w:line="266"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Calculated as of the respective high or low closing sales price divided by the quarter end NAV.</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Includes distribution of $0.28 per share payable January 2, 2014 to stockholders of record as of December 20, 2013.</w:t>
      </w:r>
    </w:p>
    <w:p>
      <w:pPr>
        <w:spacing w:after="0" w:line="226"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2013, we had 11 stockholders of record.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900" w:right="38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6" w:lineRule="exact"/>
        <w:rPr>
          <w:sz w:val="20"/>
          <w:szCs w:val="20"/>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existing stockholders who purchase a relatively small amount of shares in the offering or a relatively large amount of shares in the offering; and</w:t>
      </w:r>
    </w:p>
    <w:p>
      <w:pPr>
        <w:spacing w:after="0" w:line="142" w:lineRule="exact"/>
        <w:rPr>
          <w:rFonts w:ascii="Arial" w:cs="Arial" w:eastAsia="Arial" w:hAnsi="Arial"/>
          <w:sz w:val="17"/>
          <w:szCs w:val="17"/>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1</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2</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5"/>
              </w:rPr>
              <w:t>Example 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00" w:type="dxa"/>
            <w:vAlign w:val="bottom"/>
          </w:tcPr>
          <w:p>
            <w:pPr>
              <w:spacing w:after="0"/>
              <w:rPr>
                <w:sz w:val="12"/>
                <w:szCs w:val="12"/>
                <w:color w:val="auto"/>
              </w:rPr>
            </w:pPr>
          </w:p>
        </w:tc>
        <w:tc>
          <w:tcPr>
            <w:tcW w:w="20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00" w:type="dxa"/>
            <w:vAlign w:val="bottom"/>
          </w:tcPr>
          <w:p>
            <w:pPr>
              <w:spacing w:after="0"/>
              <w:rPr>
                <w:sz w:val="12"/>
                <w:szCs w:val="12"/>
                <w:color w:val="auto"/>
              </w:rPr>
            </w:pPr>
          </w:p>
        </w:tc>
        <w:tc>
          <w:tcPr>
            <w:tcW w:w="180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Prior to Sale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at 5% Discount</w:t>
            </w:r>
          </w:p>
        </w:tc>
        <w:tc>
          <w:tcPr>
            <w:tcW w:w="100" w:type="dxa"/>
            <w:vAlign w:val="bottom"/>
          </w:tcPr>
          <w:p>
            <w:pPr>
              <w:spacing w:after="0"/>
              <w:rPr>
                <w:sz w:val="14"/>
                <w:szCs w:val="14"/>
                <w:color w:val="auto"/>
              </w:rPr>
            </w:pPr>
          </w:p>
        </w:tc>
        <w:tc>
          <w:tcPr>
            <w:tcW w:w="20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4"/>
              </w:rPr>
              <w:t>at 10% Discount</w:t>
            </w:r>
          </w:p>
        </w:tc>
        <w:tc>
          <w:tcPr>
            <w:tcW w:w="10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1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0"/>
              </w:rPr>
              <w:t>Sale</w:t>
            </w: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NAV per 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9.98</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0.95%</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0.91%</w:t>
            </w: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0.80%</w:t>
            </w: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(20.00)%</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NAV held by stockholder 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95,000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w w:val="94"/>
              </w:rPr>
              <w:t>Total investment by stockholder A (assumed to be $10.00 per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300"/>
              <w:spacing w:after="0"/>
              <w:rPr>
                <w:sz w:val="20"/>
                <w:szCs w:val="20"/>
                <w:color w:val="auto"/>
              </w:rPr>
            </w:pPr>
            <w:r>
              <w:rPr>
                <w:rFonts w:ascii="Arial" w:cs="Arial" w:eastAsia="Arial" w:hAnsi="Arial"/>
                <w:sz w:val="14"/>
                <w:szCs w:val="14"/>
                <w:color w:val="auto"/>
              </w:rPr>
              <w:t>share)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Total dilution to stockholder A (total NAV less total</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NAV per share held by stockholder A</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9.98</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w w:val="97"/>
              </w:rPr>
              <w:t>Investment per share held by stockholder A (assumed to be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tcPr>
          <w:p>
            <w:pPr>
              <w:ind w:left="300"/>
              <w:spacing w:after="0"/>
              <w:rPr>
                <w:sz w:val="20"/>
                <w:szCs w:val="20"/>
                <w:color w:val="auto"/>
              </w:rPr>
            </w:pPr>
            <w:r>
              <w:rPr>
                <w:rFonts w:ascii="Arial" w:cs="Arial" w:eastAsia="Arial" w:hAnsi="Arial"/>
                <w:sz w:val="14"/>
                <w:szCs w:val="14"/>
                <w:color w:val="auto"/>
              </w:rPr>
              <w:t>$10.00 per share on shares held prior to sale)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5"/>
                <w:szCs w:val="15"/>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6"/>
              </w:rPr>
              <w:t>Dilution per share held by stockholder A (NAV per share less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9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investment per share)</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(0.09)</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(0.50)</w:t>
            </w:r>
          </w:p>
        </w:tc>
        <w:tc>
          <w:tcPr>
            <w:tcW w:w="3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94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 (dilution per share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300"/>
              <w:spacing w:after="0"/>
              <w:rPr>
                <w:sz w:val="20"/>
                <w:szCs w:val="20"/>
                <w:color w:val="auto"/>
              </w:rPr>
            </w:pPr>
            <w:r>
              <w:rPr>
                <w:rFonts w:ascii="Arial" w:cs="Arial" w:eastAsia="Arial" w:hAnsi="Arial"/>
                <w:sz w:val="14"/>
                <w:szCs w:val="14"/>
                <w:color w:val="auto"/>
              </w:rPr>
              <w:t>divided by investment per share)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(0.20)%</w:t>
            </w: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(0.90)%</w:t>
            </w:r>
          </w:p>
        </w:tc>
        <w:tc>
          <w:tcPr>
            <w:tcW w:w="100" w:type="dxa"/>
            <w:vAlign w:val="bottom"/>
          </w:tcPr>
          <w:p>
            <w:pPr>
              <w:spacing w:after="0"/>
              <w:rPr>
                <w:sz w:val="17"/>
                <w:szCs w:val="17"/>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6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25% discount offering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Prior to Sale</w:t>
            </w:r>
          </w:p>
        </w:tc>
        <w:tc>
          <w:tcPr>
            <w:tcW w:w="100" w:type="dxa"/>
            <w:vAlign w:val="bottom"/>
          </w:tcPr>
          <w:p>
            <w:pPr>
              <w:spacing w:after="0"/>
              <w:rPr>
                <w:sz w:val="14"/>
                <w:szCs w:val="14"/>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50% Participation</w:t>
            </w:r>
          </w:p>
        </w:tc>
        <w:tc>
          <w:tcPr>
            <w:tcW w:w="120" w:type="dxa"/>
            <w:vAlign w:val="bottom"/>
          </w:tcPr>
          <w:p>
            <w:pPr>
              <w:spacing w:after="0"/>
              <w:rPr>
                <w:sz w:val="14"/>
                <w:szCs w:val="14"/>
                <w:color w:val="auto"/>
              </w:rPr>
            </w:pPr>
          </w:p>
        </w:tc>
        <w:tc>
          <w:tcPr>
            <w:tcW w:w="1880" w:type="dxa"/>
            <w:vAlign w:val="bottom"/>
            <w:gridSpan w:val="4"/>
          </w:tcPr>
          <w:p>
            <w:pPr>
              <w:ind w:left="24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jc w:val="right"/>
              <w:ind w:right="148"/>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62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Below NAV</w:t>
            </w:r>
          </w:p>
        </w:tc>
        <w:tc>
          <w:tcPr>
            <w:tcW w:w="10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Sale</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Sale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Offering Price</w:t>
            </w: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5"/>
                <w:szCs w:val="15"/>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7.89</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5"/>
                <w:szCs w:val="15"/>
                <w:color w:val="auto"/>
              </w:rPr>
            </w:pPr>
          </w:p>
        </w:tc>
        <w:tc>
          <w:tcPr>
            <w:tcW w:w="70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proceeds per share to issuer</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7.50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b w:val="1"/>
                <w:bCs w:val="1"/>
                <w:i w:val="1"/>
                <w:iCs w:val="1"/>
                <w:color w:val="auto"/>
              </w:rPr>
              <w:t>Increases in Shares and Decrease to NAV</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1,000,000</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1,250,000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25.00 %</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1,250,000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NAV per share</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9.50</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(5.00)%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9.50</w:t>
            </w:r>
          </w:p>
        </w:tc>
        <w:tc>
          <w:tcPr>
            <w:tcW w:w="40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(Dilution)/Accretion to Participating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5"/>
                <w:szCs w:val="15"/>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10,000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11,250</w:t>
            </w:r>
          </w:p>
        </w:tc>
        <w:tc>
          <w:tcPr>
            <w:tcW w:w="380" w:type="dxa"/>
            <w:vAlign w:val="bottom"/>
          </w:tcPr>
          <w:p>
            <w:pPr>
              <w:spacing w:after="0"/>
              <w:rPr>
                <w:sz w:val="15"/>
                <w:szCs w:val="15"/>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12.50 %</w:t>
            </w:r>
          </w:p>
        </w:tc>
        <w:tc>
          <w:tcPr>
            <w:tcW w:w="120" w:type="dxa"/>
            <w:vAlign w:val="bottom"/>
          </w:tcPr>
          <w:p>
            <w:pPr>
              <w:spacing w:after="0"/>
              <w:rPr>
                <w:sz w:val="15"/>
                <w:szCs w:val="15"/>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13,750</w:t>
            </w:r>
          </w:p>
        </w:tc>
        <w:tc>
          <w:tcPr>
            <w:tcW w:w="400" w:type="dxa"/>
            <w:vAlign w:val="bottom"/>
          </w:tcPr>
          <w:p>
            <w:pPr>
              <w:spacing w:after="0"/>
              <w:rPr>
                <w:sz w:val="15"/>
                <w:szCs w:val="15"/>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37.50 %</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0.90%</w:t>
            </w: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1.10%</w:t>
            </w: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NAV held by stockholder A</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106,875</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6.88 %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130,625</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30.63 %</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Total investment by stockholder A (assumed to be $10.00 per share on shares held prior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to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109,863</w:t>
            </w:r>
          </w:p>
        </w:tc>
        <w:tc>
          <w:tcPr>
            <w:tcW w:w="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9.86 %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129,588</w:t>
            </w:r>
          </w:p>
        </w:tc>
        <w:tc>
          <w:tcPr>
            <w:tcW w:w="4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29.59 %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(dilution)/accretion to stockholder A (total NAV less total investment)</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(2,988)</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1,037</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78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NAV per share held by stockholder A</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3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4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Investment per share held by stockholder A (assumed to be $10.00 per share on shares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held prior to sale)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9.77</w:t>
            </w:r>
          </w:p>
        </w:tc>
        <w:tc>
          <w:tcPr>
            <w:tcW w:w="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(2.30)%</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40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(Dilution)/accretion per share held by stockholder A (NAV per share less investment per</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w:t>
            </w:r>
          </w:p>
        </w:tc>
        <w:tc>
          <w:tcPr>
            <w:tcW w:w="8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(0.27)</w:t>
            </w:r>
          </w:p>
        </w:tc>
        <w:tc>
          <w:tcPr>
            <w:tcW w:w="3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0.08</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78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(dilution)/accretion to stockholder A (dilution/accretion per share divided by</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80" w:type="dxa"/>
            <w:vAlign w:val="bottom"/>
          </w:tcPr>
          <w:p>
            <w:pPr>
              <w:ind w:left="28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0.85%</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from NAV per share, although it is not possible to predict the level of market price decline that may occur. Actual sales prices and discounts may differ from the presentation below.</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2"/>
              </w:rPr>
              <w:t>Example 1</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2"/>
              </w:rPr>
              <w:t>Example 2</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left="428"/>
              <w:spacing w:after="0"/>
              <w:rPr>
                <w:sz w:val="20"/>
                <w:szCs w:val="20"/>
                <w:color w:val="auto"/>
              </w:rPr>
            </w:pPr>
            <w:r>
              <w:rPr>
                <w:rFonts w:ascii="Arial" w:cs="Arial" w:eastAsia="Arial" w:hAnsi="Arial"/>
                <w:sz w:val="14"/>
                <w:szCs w:val="14"/>
                <w:b w:val="1"/>
                <w:bCs w:val="1"/>
                <w:color w:val="auto"/>
                <w:w w:val="95"/>
              </w:rPr>
              <w:t>Example 3</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left="408"/>
              <w:spacing w:after="0" w:line="149" w:lineRule="exact"/>
              <w:rPr>
                <w:sz w:val="20"/>
                <w:szCs w:val="20"/>
                <w:color w:val="auto"/>
              </w:rPr>
            </w:pPr>
            <w:r>
              <w:rPr>
                <w:rFonts w:ascii="Arial" w:cs="Arial" w:eastAsia="Arial" w:hAnsi="Arial"/>
                <w:sz w:val="14"/>
                <w:szCs w:val="14"/>
                <w:b w:val="1"/>
                <w:bCs w:val="1"/>
                <w:color w:val="auto"/>
                <w:w w:val="99"/>
              </w:rPr>
              <w:t>5% Offering</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9"/>
              </w:rPr>
              <w:t>Prior to Sale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at 5% Discount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10%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jc w:val="right"/>
              <w:ind w:right="16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w w:val="98"/>
              </w:rPr>
              <w:t>Following</w:t>
            </w:r>
          </w:p>
        </w:tc>
        <w:tc>
          <w:tcPr>
            <w:tcW w:w="62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Below NAV</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Sale</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Sale</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Offering Price</w:t>
            </w: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Price per share to public</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Net offering proceeds per share to issuer</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i w:val="1"/>
                <w:iCs w:val="1"/>
                <w:color w:val="auto"/>
              </w:rPr>
              <w:t>Decrease to NAV</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Total shares outstanding</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5.00 %</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1,100,000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10.00 %</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1,250,000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NAV per share</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9.98</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(0.20)%</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9.91</w:t>
            </w:r>
          </w:p>
        </w:tc>
        <w:tc>
          <w:tcPr>
            <w:tcW w:w="4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(0.90)%</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b w:val="1"/>
                <w:bCs w:val="1"/>
                <w:i w:val="1"/>
                <w:iCs w:val="1"/>
                <w:color w:val="auto"/>
              </w:rPr>
              <w:t>Dilution to Stockholder A</w:t>
            </w: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Shares held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2,500</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spacing w:after="0"/>
              <w:rPr>
                <w:sz w:val="20"/>
                <w:szCs w:val="20"/>
                <w:color w:val="auto"/>
              </w:rPr>
            </w:pPr>
            <w:r>
              <w:rPr>
                <w:rFonts w:ascii="Arial" w:cs="Arial" w:eastAsia="Arial" w:hAnsi="Arial"/>
                <w:sz w:val="14"/>
                <w:szCs w:val="14"/>
                <w:color w:val="auto"/>
              </w:rPr>
              <w:t>Percentage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0.05%</w:t>
            </w: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0.90%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0.20%</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color w:val="auto"/>
              </w:rPr>
              <w:t>Total Asset Values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NAV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4,990</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9,910</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23,750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300"/>
              <w:spacing w:after="0"/>
              <w:rPr>
                <w:sz w:val="20"/>
                <w:szCs w:val="20"/>
                <w:color w:val="auto"/>
              </w:rPr>
            </w:pPr>
            <w:r>
              <w:rPr>
                <w:rFonts w:ascii="Arial" w:cs="Arial" w:eastAsia="Arial" w:hAnsi="Arial"/>
                <w:sz w:val="14"/>
                <w:szCs w:val="14"/>
                <w:color w:val="auto"/>
              </w:rPr>
              <w:t>Total investment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9,470</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19,725</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Total dilution to stockholder A (total NAV less</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investment)</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440</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4,025</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b w:val="1"/>
                <w:bCs w:val="1"/>
                <w:color w:val="auto"/>
              </w:rPr>
              <w:t>Per Share Amounts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NAV per share held by stockholder A</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9.98</w:t>
            </w:r>
          </w:p>
        </w:tc>
        <w:tc>
          <w:tcPr>
            <w:tcW w:w="4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w:t>
            </w:r>
          </w:p>
        </w:tc>
        <w:tc>
          <w:tcPr>
            <w:tcW w:w="4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9.50</w:t>
            </w:r>
          </w:p>
        </w:tc>
        <w:tc>
          <w:tcPr>
            <w:tcW w:w="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20" w:type="dxa"/>
            <w:vAlign w:val="bottom"/>
          </w:tcPr>
          <w:p>
            <w:pPr>
              <w:ind w:left="300"/>
              <w:spacing w:after="0"/>
              <w:rPr>
                <w:sz w:val="20"/>
                <w:szCs w:val="20"/>
                <w:color w:val="auto"/>
              </w:rPr>
            </w:pPr>
            <w:r>
              <w:rPr>
                <w:rFonts w:ascii="Arial" w:cs="Arial" w:eastAsia="Arial" w:hAnsi="Arial"/>
                <w:sz w:val="14"/>
                <w:szCs w:val="14"/>
                <w:color w:val="auto"/>
              </w:rPr>
              <w:t>Investment per share held by stockholder A</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9.47</w:t>
            </w:r>
          </w:p>
        </w:tc>
        <w:tc>
          <w:tcPr>
            <w:tcW w:w="40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7.89</w:t>
            </w:r>
          </w:p>
        </w:tc>
        <w:tc>
          <w:tcPr>
            <w:tcW w:w="4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Dilution per share held by stockholder A (NAV</w:t>
            </w: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per share less investment per share)</w:t>
            </w:r>
          </w:p>
        </w:tc>
        <w:tc>
          <w:tcPr>
            <w:tcW w:w="10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4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4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420" w:type="dxa"/>
            <w:vAlign w:val="bottom"/>
          </w:tcPr>
          <w:p>
            <w:pPr>
              <w:ind w:left="300"/>
              <w:spacing w:after="0" w:line="130" w:lineRule="exact"/>
              <w:rPr>
                <w:sz w:val="20"/>
                <w:szCs w:val="20"/>
                <w:color w:val="auto"/>
              </w:rPr>
            </w:pPr>
            <w:r>
              <w:rPr>
                <w:rFonts w:ascii="Arial" w:cs="Arial" w:eastAsia="Arial" w:hAnsi="Arial"/>
                <w:sz w:val="14"/>
                <w:szCs w:val="14"/>
                <w:color w:val="auto"/>
              </w:rPr>
              <w:t>Percentage dilution to stockholder A (dilution</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420" w:type="dxa"/>
            <w:vAlign w:val="bottom"/>
          </w:tcPr>
          <w:p>
            <w:pPr>
              <w:ind w:left="300"/>
              <w:spacing w:after="0"/>
              <w:rPr>
                <w:sz w:val="20"/>
                <w:szCs w:val="20"/>
                <w:color w:val="auto"/>
              </w:rPr>
            </w:pPr>
            <w:r>
              <w:rPr>
                <w:rFonts w:ascii="Arial" w:cs="Arial" w:eastAsia="Arial" w:hAnsi="Arial"/>
                <w:sz w:val="14"/>
                <w:szCs w:val="14"/>
                <w:color w:val="auto"/>
              </w:rPr>
              <w:t>per share divided by investment per share)</w:t>
            </w:r>
          </w:p>
        </w:tc>
        <w:tc>
          <w:tcPr>
            <w:tcW w:w="10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(0.20)%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4.65 %</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2008:</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Record Dates</w:t>
            </w:r>
          </w:p>
        </w:tc>
        <w:tc>
          <w:tcPr>
            <w:tcW w:w="3520" w:type="dxa"/>
            <w:vAlign w:val="bottom"/>
            <w:gridSpan w:val="3"/>
            <w:vMerge w:val="restart"/>
          </w:tcPr>
          <w:p>
            <w:pPr>
              <w:jc w:val="right"/>
              <w:ind w:right="1000"/>
              <w:spacing w:after="0"/>
              <w:rPr>
                <w:sz w:val="20"/>
                <w:szCs w:val="20"/>
                <w:color w:val="auto"/>
              </w:rPr>
            </w:pPr>
            <w:r>
              <w:rPr>
                <w:rFonts w:ascii="Arial" w:cs="Arial" w:eastAsia="Arial" w:hAnsi="Arial"/>
                <w:sz w:val="14"/>
                <w:szCs w:val="14"/>
                <w:b w:val="1"/>
                <w:bCs w:val="1"/>
                <w:color w:val="auto"/>
              </w:rPr>
              <w:t>Payment Dates</w:t>
            </w:r>
          </w:p>
        </w:tc>
        <w:tc>
          <w:tcPr>
            <w:tcW w:w="18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Distributions</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35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Fiscal Year</w:t>
            </w:r>
          </w:p>
        </w:tc>
        <w:tc>
          <w:tcPr>
            <w:tcW w:w="378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Ending September 30, 2014</w:t>
            </w:r>
          </w:p>
        </w:tc>
        <w:tc>
          <w:tcPr>
            <w:tcW w:w="16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December 20, 2013</w:t>
            </w:r>
          </w:p>
        </w:tc>
        <w:tc>
          <w:tcPr>
            <w:tcW w:w="1600" w:type="dxa"/>
            <w:vAlign w:val="bottom"/>
          </w:tcPr>
          <w:p>
            <w:pPr>
              <w:spacing w:after="0"/>
              <w:rPr>
                <w:sz w:val="20"/>
                <w:szCs w:val="20"/>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January 2, 2014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20, 2013</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2013</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22, 2013</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2013</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21, 2012</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2, 2013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20, 2012</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21, 2012</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2, 2012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22, 2012</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2, 2012</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23, 2011</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23, 2011</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3, 2011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20, 2011</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15, 2011</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2011</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17, 2010</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3, 2011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14, 2010</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24, 2010</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25, 2010</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2010</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24, 2009</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1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September 8, 2009</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October 1, 2009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June 24, 2009</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July 1, 2009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360"/>
              <w:spacing w:after="0"/>
              <w:rPr>
                <w:sz w:val="20"/>
                <w:szCs w:val="20"/>
                <w:color w:val="auto"/>
              </w:rPr>
            </w:pPr>
            <w:r>
              <w:rPr>
                <w:rFonts w:ascii="Arial" w:cs="Arial" w:eastAsia="Arial" w:hAnsi="Arial"/>
                <w:sz w:val="18"/>
                <w:szCs w:val="18"/>
                <w:color w:val="auto"/>
              </w:rPr>
              <w:t>March 25, 2009</w:t>
            </w:r>
          </w:p>
        </w:tc>
        <w:tc>
          <w:tcPr>
            <w:tcW w:w="16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Arial" w:cs="Arial" w:eastAsia="Arial" w:hAnsi="Arial"/>
                <w:sz w:val="18"/>
                <w:szCs w:val="18"/>
                <w:color w:val="auto"/>
              </w:rPr>
              <w:t>April 1, 2009</w:t>
            </w:r>
          </w:p>
        </w:tc>
        <w:tc>
          <w:tcPr>
            <w:tcW w:w="1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December 23, 2008</w:t>
            </w:r>
          </w:p>
        </w:tc>
        <w:tc>
          <w:tcPr>
            <w:tcW w:w="1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January 4, 2009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4"/>
        </w:trPr>
        <w:tc>
          <w:tcPr>
            <w:tcW w:w="4620" w:type="dxa"/>
            <w:vAlign w:val="bottom"/>
            <w:gridSpan w:val="2"/>
          </w:tcPr>
          <w:p>
            <w:pPr>
              <w:ind w:left="380"/>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A Form 1099-DIV will be sent to stockholders that will state the amount and composition of distributions and provide information with respect to appropriate tax treatment of our distributions.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did not engage in any sales of unregistered securities during the fiscal years ended September 30, 2013, 2012 and 2011, respectively.</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121" w:lineRule="exact"/>
        <w:rPr>
          <w:sz w:val="20"/>
          <w:szCs w:val="20"/>
          <w:color w:val="auto"/>
        </w:rPr>
      </w:pPr>
    </w:p>
    <w:p>
      <w:pPr>
        <w:ind w:right="160" w:firstLine="456"/>
        <w:spacing w:after="0" w:line="308" w:lineRule="auto"/>
        <w:rPr>
          <w:sz w:val="20"/>
          <w:szCs w:val="20"/>
          <w:color w:val="auto"/>
        </w:rPr>
      </w:pPr>
      <w:r>
        <w:rPr>
          <w:rFonts w:ascii="Arial" w:cs="Arial" w:eastAsia="Arial" w:hAnsi="Arial"/>
          <w:sz w:val="17"/>
          <w:szCs w:val="17"/>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14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17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70"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8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72" w:lineRule="exact"/>
        <w:rPr>
          <w:sz w:val="20"/>
          <w:szCs w:val="20"/>
          <w:color w:val="auto"/>
        </w:rPr>
      </w:pPr>
    </w:p>
    <w:p>
      <w:pPr>
        <w:ind w:left="900" w:hanging="325"/>
        <w:spacing w:after="0" w:line="261"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85" w:lineRule="exact"/>
        <w:rPr>
          <w:rFonts w:ascii="Arial" w:cs="Arial" w:eastAsia="Arial" w:hAnsi="Arial"/>
          <w:sz w:val="18"/>
          <w:szCs w:val="18"/>
          <w:color w:val="auto"/>
        </w:rPr>
      </w:pPr>
    </w:p>
    <w:p>
      <w:pPr>
        <w:ind w:left="900" w:right="22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From time to time, banks, finance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hedge funds and CLO funds have, and may again, withdraw capital from the middle-market, resulting in opportunities for alternative funding sources.</w:t>
      </w:r>
    </w:p>
    <w:p>
      <w:pPr>
        <w:spacing w:after="0" w:line="81"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that the current credit market dislocation for middle-market companies improves the risk-adjusted returns of our investments. </w:t>
      </w:r>
      <w:r>
        <w:rPr>
          <w:rFonts w:ascii="Arial" w:cs="Arial" w:eastAsia="Arial" w:hAnsi="Arial"/>
          <w:sz w:val="17"/>
          <w:szCs w:val="17"/>
          <w:color w:val="auto"/>
        </w:rPr>
        <w:t>In the current credit environment, market participants have reduced lending to middle-market and non-investment grade borrowers.</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there is less competition in our market, more conservative capital structures, higher yields and stronger covenants.</w:t>
      </w:r>
    </w:p>
    <w:p>
      <w:pPr>
        <w:spacing w:after="0" w:line="63"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7"/>
          <w:szCs w:val="17"/>
          <w:color w:val="auto"/>
        </w:rPr>
        <w:t>We expect that private equity firms will continue to be active investors in middle-market companies. These</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73"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We believe there is a substantial supply of opportunities. </w:t>
      </w:r>
      <w:r>
        <w:rPr>
          <w:rFonts w:ascii="Arial" w:cs="Arial" w:eastAsia="Arial" w:hAnsi="Arial"/>
          <w:sz w:val="17"/>
          <w:szCs w:val="17"/>
          <w:color w:val="auto"/>
        </w:rPr>
        <w:t>A high volume of financings will come due in the next few years. Additionally, we</w:t>
      </w:r>
      <w:r>
        <w:rPr>
          <w:rFonts w:ascii="Arial" w:cs="Arial" w:eastAsia="Arial" w:hAnsi="Arial"/>
          <w:sz w:val="17"/>
          <w:szCs w:val="17"/>
          <w:b w:val="1"/>
          <w:bCs w:val="1"/>
          <w:color w:val="auto"/>
        </w:rPr>
        <w:t xml:space="preserve"> </w:t>
      </w:r>
      <w:r>
        <w:rPr>
          <w:rFonts w:ascii="Arial" w:cs="Arial" w:eastAsia="Arial" w:hAnsi="Arial"/>
          <w:sz w:val="17"/>
          <w:szCs w:val="17"/>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13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14"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5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31" w:lineRule="exact"/>
        <w:rPr>
          <w:sz w:val="20"/>
          <w:szCs w:val="20"/>
          <w:color w:val="auto"/>
        </w:rPr>
      </w:pPr>
    </w:p>
    <w:p>
      <w:pPr>
        <w:ind w:left="900" w:hanging="325"/>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Ability to Source and Evaluate Transactions through our Investment Adviser’s Research Capability and Established Network</w:t>
      </w:r>
    </w:p>
    <w:p>
      <w:pPr>
        <w:spacing w:after="0" w:line="1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58" w:lineRule="exact"/>
        <w:rPr>
          <w:sz w:val="20"/>
          <w:szCs w:val="20"/>
          <w:color w:val="auto"/>
        </w:rPr>
      </w:pPr>
    </w:p>
    <w:p>
      <w:pPr>
        <w:jc w:val="both"/>
        <w:ind w:right="160" w:firstLine="456"/>
        <w:spacing w:after="0" w:line="297"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maintain a multi-currency $430.0 million Credit Facility which matures in February 2016 and is secured by substantially all of our investment portfolio assets (excluding the assets of our SBIC Funds), under which we had $145.5 million (including a $28.0 million temporary draw) and $145.0 million (including a $35.5 million temporary draw) of debt outstanding with a weighted average interest rate of 3.33% and 3.49% as of September 30, 2013 and 2012, respectively. Pricing of borrowings under our current Credit Facility is set at 275 basis points over LIBOR. As of September 30, 2013 and 2012, we had $284.5 million and $235.0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As of September 30, 2013 and 2012, SBIC LP had drawn $150.0 million in SBA debentures,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January 2013, we issued $71.3 million in aggregate principal amount of 2025 Notes. Interest on the 2025 Notes accrues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60"/>
          </w:cols>
          <w:pgMar w:left="240" w:top="459" w:right="3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6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Over time, we expect that our portfolio will continue to consist primarily of senior secured loans, mezzanine debt and, to a lesser extent, equity investments in qualifying assets such as private or thinly traded or small market-capitalization, U.S. middle 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214"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214"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200"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208"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ability, and a strong incentive, to contribute additional capital in difficult economic times should financial or operational issues arise so as to maintain their ownership position.</w:t>
      </w:r>
    </w:p>
    <w:p>
      <w:pPr>
        <w:spacing w:after="0" w:line="18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208"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Investment Adviser seeks to invest in portfolio companies that we believe will provide a steady stream of cash flow to repay our loans while also reinvesting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13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7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Upon the completion of due diligence and a decision to proceed with an investment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Investment Adviser monitors credit risk of each portfolio company regularly and periodically with a goal toward identifying early, and when able and appropriate, exiting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Typically, our mezzanine debt has maturities of three to ten years. Mezzanine debt may have interest-only payments in the early years with cash or PIK payments with amortization of principal deferred to the later years. In some cases, we may invest in debt securities that, by their terms, convert into equity or additional debt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securities or defers payment of interest for the first few years after our investment. Also, in some cases our mezzanine debt may be collateralized by a subordinated lien on some or all of the assets of the borrower.</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92" w:lineRule="exact"/>
        <w:rPr>
          <w:sz w:val="20"/>
          <w:szCs w:val="20"/>
          <w:color w:val="auto"/>
        </w:rPr>
      </w:pPr>
    </w:p>
    <w:p>
      <w:pPr>
        <w:ind w:left="900" w:right="200" w:hanging="67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75" w:lineRule="exact"/>
        <w:rPr>
          <w:rFonts w:ascii="Arial" w:cs="Arial" w:eastAsia="Arial" w:hAnsi="Arial"/>
          <w:sz w:val="18"/>
          <w:szCs w:val="18"/>
          <w:color w:val="auto"/>
        </w:rPr>
      </w:pPr>
    </w:p>
    <w:p>
      <w:pPr>
        <w:ind w:left="900" w:hanging="67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30" w:lineRule="exact"/>
        <w:rPr>
          <w:rFonts w:ascii="Arial" w:cs="Arial" w:eastAsia="Arial" w:hAnsi="Arial"/>
          <w:sz w:val="18"/>
          <w:szCs w:val="18"/>
          <w:color w:val="auto"/>
        </w:rPr>
      </w:pPr>
    </w:p>
    <w:p>
      <w:pPr>
        <w:jc w:val="both"/>
        <w:ind w:left="900" w:right="40" w:hanging="676"/>
        <w:spacing w:after="0" w:line="286"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6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93"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expect to hold most of our investments to maturity or repayment, but we may sell certain investments earlier if a liquidity event takes place, such as the sale or refinancing of a portfolio company. We also may turn over investments to better position the portfolio in light of market conditions.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117"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The Investment Adviser monitors our portfolio companies on an ongoing basis. The Investment Adviser also monitors the financial trends of each portfolio company to determine if it is meeting its business plan and to assess the appropriate course of action for each portfolio company.</w:t>
      </w:r>
    </w:p>
    <w:p>
      <w:pPr>
        <w:spacing w:after="0" w:line="3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76" w:lineRule="exact"/>
        <w:rPr>
          <w:sz w:val="20"/>
          <w:szCs w:val="20"/>
          <w:color w:val="auto"/>
        </w:rPr>
      </w:pPr>
    </w:p>
    <w:p>
      <w:pPr>
        <w:ind w:left="900" w:hanging="67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30" w:lineRule="exact"/>
        <w:rPr>
          <w:rFonts w:ascii="Arial" w:cs="Arial" w:eastAsia="Arial" w:hAnsi="Arial"/>
          <w:sz w:val="18"/>
          <w:szCs w:val="18"/>
          <w:color w:val="auto"/>
        </w:rPr>
      </w:pPr>
    </w:p>
    <w:p>
      <w:pPr>
        <w:ind w:left="900" w:right="480" w:hanging="67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67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30" w:lineRule="exact"/>
        <w:rPr>
          <w:rFonts w:ascii="Arial" w:cs="Arial" w:eastAsia="Arial" w:hAnsi="Arial"/>
          <w:sz w:val="18"/>
          <w:szCs w:val="18"/>
          <w:color w:val="auto"/>
        </w:rPr>
      </w:pPr>
    </w:p>
    <w:p>
      <w:pPr>
        <w:ind w:left="900" w:hanging="67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30" w:lineRule="exact"/>
        <w:rPr>
          <w:rFonts w:ascii="Arial" w:cs="Arial" w:eastAsia="Arial" w:hAnsi="Arial"/>
          <w:sz w:val="18"/>
          <w:szCs w:val="18"/>
          <w:color w:val="auto"/>
        </w:rPr>
      </w:pPr>
    </w:p>
    <w:p>
      <w:pPr>
        <w:ind w:left="900" w:hanging="67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Consolidated Portfolio</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Aerospace and Defense</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Environmental Services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Auto Sector</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Financial Services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Grocery</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Broadcasting and Entertainment</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Healthcare, Education and Childcare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Home &amp; Office Furnishings, Housewares &amp;</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Business Services</w:t>
            </w:r>
          </w:p>
        </w:tc>
        <w:tc>
          <w:tcPr>
            <w:tcW w:w="54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Arial" w:cs="Arial" w:eastAsia="Arial" w:hAnsi="Arial"/>
                <w:sz w:val="18"/>
                <w:szCs w:val="18"/>
                <w:color w:val="auto"/>
              </w:rPr>
              <w:t>Durable Consumer Products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Cable Television</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Hotels, Motels, Inns and Gaming</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Cargo Transportation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Insurance</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Chemicals, Plastics and Rubber</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w w:val="94"/>
              </w:rPr>
              <w:t>•   Leisure, Amusement, Motion Picture, Entertainment</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Logistics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Consumer Products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   Containers Packaging &amp; Glass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Media</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Distribution</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Mining, Steel, Iron and Non-Precious Metals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Diversified/Conglomerate Manufacturing</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Oil and Gas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Diversified/Conglomerate Services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Other Media</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w w:val="99"/>
              </w:rPr>
              <w:t>•   Diversified Natural Resources, Precious Metals and Minerals</w:t>
            </w: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   Personal, Food and Miscellaneous Services</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Education</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Printing and Publishing</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Electronics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Retail Stores</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ind w:left="120"/>
              <w:spacing w:after="0"/>
              <w:rPr>
                <w:sz w:val="20"/>
                <w:szCs w:val="20"/>
                <w:color w:val="auto"/>
              </w:rPr>
            </w:pPr>
            <w:r>
              <w:rPr>
                <w:rFonts w:ascii="Arial" w:cs="Arial" w:eastAsia="Arial" w:hAnsi="Arial"/>
                <w:sz w:val="18"/>
                <w:szCs w:val="18"/>
                <w:color w:val="auto"/>
              </w:rPr>
              <w:t>Energy/Utilities</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3900" w:type="dxa"/>
            <w:vAlign w:val="bottom"/>
          </w:tcPr>
          <w:p>
            <w:pPr>
              <w:ind w:left="120"/>
              <w:spacing w:after="0"/>
              <w:rPr>
                <w:sz w:val="20"/>
                <w:szCs w:val="20"/>
                <w:color w:val="auto"/>
              </w:rPr>
            </w:pPr>
            <w:r>
              <w:rPr>
                <w:rFonts w:ascii="Arial" w:cs="Arial" w:eastAsia="Arial" w:hAnsi="Arial"/>
                <w:sz w:val="18"/>
                <w:szCs w:val="18"/>
                <w:color w:val="auto"/>
              </w:rPr>
              <w:t>Telecommunications</w:t>
            </w:r>
          </w:p>
        </w:tc>
      </w:tr>
    </w:tbl>
    <w:p>
      <w:pPr>
        <w:spacing w:after="0" w:line="37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34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3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26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Pre-Paid Legal Services, Inc.</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Last Mile Funding, Corp. (3 PD, Inc.)</w:t>
            </w:r>
          </w:p>
        </w:tc>
        <w:tc>
          <w:tcPr>
            <w:tcW w:w="8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300" w:type="dxa"/>
            <w:vAlign w:val="bottom"/>
            <w:vMerge w:val="continue"/>
          </w:tcPr>
          <w:p>
            <w:pPr>
              <w:spacing w:after="0"/>
              <w:rPr>
                <w:sz w:val="17"/>
                <w:szCs w:val="17"/>
                <w:color w:val="auto"/>
              </w:rPr>
            </w:pPr>
          </w:p>
        </w:tc>
        <w:tc>
          <w:tcPr>
            <w:tcW w:w="416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49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Magnum Hunter Resources Corporation</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60" w:type="dxa"/>
            <w:vAlign w:val="bottom"/>
            <w:gridSpan w:val="2"/>
          </w:tcPr>
          <w:p>
            <w:pPr>
              <w:spacing w:after="0" w:line="201" w:lineRule="exact"/>
              <w:rPr>
                <w:sz w:val="20"/>
                <w:szCs w:val="20"/>
                <w:color w:val="auto"/>
              </w:rPr>
            </w:pPr>
            <w:r>
              <w:rPr>
                <w:rFonts w:ascii="Arial" w:cs="Arial" w:eastAsia="Arial" w:hAnsi="Arial"/>
                <w:sz w:val="18"/>
                <w:szCs w:val="18"/>
                <w:color w:val="auto"/>
              </w:rPr>
              <w:t>Magnum Hunter Resources Corporation</w:t>
            </w: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(Eureka Hunter Pipeline, LLC)</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1"/>
                <w:szCs w:val="21"/>
                <w:color w:val="auto"/>
              </w:rPr>
            </w:pPr>
          </w:p>
        </w:tc>
        <w:tc>
          <w:tcPr>
            <w:tcW w:w="4160" w:type="dxa"/>
            <w:vAlign w:val="bottom"/>
            <w:gridSpan w:val="2"/>
          </w:tcPr>
          <w:p>
            <w:pPr>
              <w:ind w:left="180"/>
              <w:spacing w:after="0"/>
              <w:rPr>
                <w:sz w:val="20"/>
                <w:szCs w:val="20"/>
                <w:color w:val="auto"/>
              </w:rPr>
            </w:pPr>
            <w:r>
              <w:rPr>
                <w:rFonts w:ascii="Arial" w:cs="Arial" w:eastAsia="Arial" w:hAnsi="Arial"/>
                <w:sz w:val="18"/>
                <w:szCs w:val="18"/>
                <w:color w:val="auto"/>
              </w:rPr>
              <w:t>(Eureka Hunter Pipeline, LLC)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 Energy and Infrastructure Services, Inc.</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9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Jacobs Entertainment, Inc.</w:t>
            </w:r>
          </w:p>
        </w:tc>
        <w:tc>
          <w:tcPr>
            <w:tcW w:w="56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160" w:type="dxa"/>
            <w:vAlign w:val="bottom"/>
            <w:gridSpan w:val="2"/>
          </w:tcPr>
          <w:p>
            <w:pPr>
              <w:spacing w:after="0" w:line="182" w:lineRule="exact"/>
              <w:rPr>
                <w:sz w:val="20"/>
                <w:szCs w:val="20"/>
                <w:color w:val="auto"/>
              </w:rPr>
            </w:pPr>
            <w:r>
              <w:rPr>
                <w:rFonts w:ascii="Arial" w:cs="Arial" w:eastAsia="Arial" w:hAnsi="Arial"/>
                <w:sz w:val="18"/>
                <w:szCs w:val="18"/>
                <w:color w:val="auto"/>
              </w:rPr>
              <w:t>New Service Champ Holdings, Inc.</w:t>
            </w: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5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160" w:type="dxa"/>
            <w:vAlign w:val="bottom"/>
            <w:gridSpan w:val="2"/>
            <w:vMerge w:val="restart"/>
          </w:tcPr>
          <w:p>
            <w:pPr>
              <w:ind w:left="180"/>
              <w:spacing w:after="0"/>
              <w:rPr>
                <w:sz w:val="20"/>
                <w:szCs w:val="20"/>
                <w:color w:val="auto"/>
              </w:rPr>
            </w:pPr>
            <w:r>
              <w:rPr>
                <w:rFonts w:ascii="Arial" w:cs="Arial" w:eastAsia="Arial" w:hAnsi="Arial"/>
                <w:sz w:val="18"/>
                <w:szCs w:val="18"/>
                <w:color w:val="auto"/>
              </w:rPr>
              <w:t>(Service Champ Inc.)</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LTI Flexible Products, Inc.</w:t>
            </w:r>
          </w:p>
        </w:tc>
        <w:tc>
          <w:tcPr>
            <w:tcW w:w="560" w:type="dxa"/>
            <w:vAlign w:val="bottom"/>
            <w:tcBorders>
              <w:bottom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4</w:t>
            </w:r>
          </w:p>
        </w:tc>
        <w:tc>
          <w:tcPr>
            <w:tcW w:w="300" w:type="dxa"/>
            <w:vAlign w:val="bottom"/>
            <w:vMerge w:val="continue"/>
          </w:tcPr>
          <w:p>
            <w:pPr>
              <w:spacing w:after="0"/>
              <w:rPr>
                <w:sz w:val="18"/>
                <w:szCs w:val="18"/>
                <w:color w:val="auto"/>
              </w:rPr>
            </w:pPr>
          </w:p>
        </w:tc>
        <w:tc>
          <w:tcPr>
            <w:tcW w:w="4160" w:type="dxa"/>
            <w:vAlign w:val="bottom"/>
            <w:tcBorders>
              <w:bottom w:val="single" w:sz="8" w:color="CCEEFF"/>
            </w:tcBorders>
            <w:gridSpan w:val="2"/>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Vestcom International, Inc.</w:t>
            </w:r>
          </w:p>
        </w:tc>
        <w:tc>
          <w:tcPr>
            <w:tcW w:w="56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4</w:t>
            </w:r>
          </w:p>
        </w:tc>
        <w:tc>
          <w:tcPr>
            <w:tcW w:w="300" w:type="dxa"/>
            <w:vAlign w:val="bottom"/>
          </w:tcPr>
          <w:p>
            <w:pPr>
              <w:spacing w:after="0"/>
              <w:rPr>
                <w:sz w:val="15"/>
                <w:szCs w:val="15"/>
                <w:color w:val="auto"/>
              </w:rPr>
            </w:pPr>
          </w:p>
        </w:tc>
        <w:tc>
          <w:tcPr>
            <w:tcW w:w="4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Pre-Paid Legal Services, Inc.</w:t>
            </w:r>
          </w:p>
        </w:tc>
        <w:tc>
          <w:tcPr>
            <w:tcW w:w="11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gridSpan w:val="3"/>
            <w:vMerge w:val="restart"/>
          </w:tcPr>
          <w:p>
            <w:pPr>
              <w:ind w:left="300"/>
              <w:spacing w:after="0" w:line="196" w:lineRule="exact"/>
              <w:rPr>
                <w:sz w:val="20"/>
                <w:szCs w:val="20"/>
                <w:color w:val="auto"/>
              </w:rPr>
            </w:pPr>
            <w:r>
              <w:rPr>
                <w:rFonts w:ascii="Arial" w:cs="Arial" w:eastAsia="Arial" w:hAnsi="Arial"/>
                <w:sz w:val="18"/>
                <w:szCs w:val="18"/>
                <w:color w:val="auto"/>
              </w:rPr>
              <w:t>American Gilsonite Company</w:t>
            </w:r>
          </w:p>
        </w:tc>
        <w:tc>
          <w:tcPr>
            <w:tcW w:w="116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Instant Web, Inc.</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2"/>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300" w:type="dxa"/>
            <w:vAlign w:val="bottom"/>
          </w:tcPr>
          <w:p>
            <w:pPr>
              <w:spacing w:after="0"/>
              <w:rPr>
                <w:sz w:val="5"/>
                <w:szCs w:val="5"/>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Penton Media, Inc.</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2"/>
                <w:szCs w:val="12"/>
                <w:color w:val="auto"/>
              </w:rPr>
            </w:pPr>
          </w:p>
        </w:tc>
        <w:tc>
          <w:tcPr>
            <w:tcW w:w="4160" w:type="dxa"/>
            <w:vAlign w:val="bottom"/>
            <w:gridSpan w:val="2"/>
            <w:vMerge w:val="continue"/>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920" w:type="dxa"/>
            <w:vAlign w:val="bottom"/>
            <w:gridSpan w:val="2"/>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4460" w:type="dxa"/>
            <w:vAlign w:val="bottom"/>
            <w:gridSpan w:val="3"/>
            <w:vMerge w:val="restart"/>
          </w:tcPr>
          <w:p>
            <w:pPr>
              <w:ind w:left="300"/>
              <w:spacing w:after="0"/>
              <w:rPr>
                <w:sz w:val="20"/>
                <w:szCs w:val="20"/>
                <w:color w:val="auto"/>
              </w:rPr>
            </w:pPr>
            <w:r>
              <w:rPr>
                <w:rFonts w:ascii="Arial" w:cs="Arial" w:eastAsia="Arial" w:hAnsi="Arial"/>
                <w:sz w:val="18"/>
                <w:szCs w:val="18"/>
                <w:color w:val="auto"/>
              </w:rPr>
              <w:t>Learning Care Group, Inc.</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TRAK Acquisition Corp.</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2"/>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300" w:type="dxa"/>
            <w:vAlign w:val="bottom"/>
          </w:tcPr>
          <w:p>
            <w:pPr>
              <w:spacing w:after="0"/>
              <w:rPr>
                <w:sz w:val="8"/>
                <w:szCs w:val="8"/>
                <w:color w:val="auto"/>
              </w:rPr>
            </w:pPr>
          </w:p>
        </w:tc>
        <w:tc>
          <w:tcPr>
            <w:tcW w:w="4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1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Varel International Energy Mezzanine Funding Corp.</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0"/>
                <w:szCs w:val="10"/>
                <w:color w:val="auto"/>
              </w:rPr>
            </w:pPr>
          </w:p>
        </w:tc>
        <w:tc>
          <w:tcPr>
            <w:tcW w:w="416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49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460" w:type="dxa"/>
            <w:vAlign w:val="bottom"/>
            <w:gridSpan w:val="3"/>
            <w:vMerge w:val="restart"/>
          </w:tcPr>
          <w:p>
            <w:pPr>
              <w:ind w:left="300"/>
              <w:spacing w:after="0"/>
              <w:rPr>
                <w:sz w:val="20"/>
                <w:szCs w:val="20"/>
                <w:color w:val="auto"/>
              </w:rPr>
            </w:pPr>
            <w:r>
              <w:rPr>
                <w:rFonts w:ascii="Arial" w:cs="Arial" w:eastAsia="Arial" w:hAnsi="Arial"/>
                <w:sz w:val="18"/>
                <w:szCs w:val="18"/>
                <w:color w:val="auto"/>
              </w:rPr>
              <w:t>Prince Mineral Holdings Corp.</w:t>
            </w: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6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2"/>
          </w:tcPr>
          <w:p>
            <w:pPr>
              <w:jc w:val="right"/>
              <w:ind w:right="1370"/>
              <w:spacing w:after="0"/>
              <w:rPr>
                <w:sz w:val="20"/>
                <w:szCs w:val="20"/>
                <w:color w:val="auto"/>
              </w:rPr>
            </w:pPr>
            <w:r>
              <w:rPr>
                <w:rFonts w:ascii="Arial" w:cs="Arial" w:eastAsia="Arial" w:hAnsi="Arial"/>
                <w:sz w:val="18"/>
                <w:szCs w:val="18"/>
                <w:color w:val="auto"/>
              </w:rPr>
              <w:t>74</w:t>
            </w:r>
          </w:p>
        </w:tc>
        <w:tc>
          <w:tcPr>
            <w:tcW w:w="2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67" w:name="page168"/>
    <w:bookmarkEnd w:id="1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4920" w:type="dxa"/>
            <w:vAlign w:val="bottom"/>
            <w:gridSpan w:val="3"/>
          </w:tcPr>
          <w:p>
            <w:pPr>
              <w:ind w:left="20"/>
              <w:spacing w:after="0"/>
              <w:rPr>
                <w:sz w:val="20"/>
                <w:szCs w:val="20"/>
                <w:color w:val="auto"/>
              </w:rPr>
            </w:pPr>
            <w:r>
              <w:rPr>
                <w:rFonts w:ascii="Arial" w:cs="Arial" w:eastAsia="Arial" w:hAnsi="Arial"/>
                <w:sz w:val="18"/>
                <w:szCs w:val="18"/>
                <w:b w:val="1"/>
                <w:bCs w:val="1"/>
                <w:color w:val="auto"/>
              </w:rPr>
              <w:t>Industry</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4320" w:type="dxa"/>
            <w:vAlign w:val="bottom"/>
            <w:gridSpan w:val="3"/>
          </w:tcPr>
          <w:p>
            <w:pPr>
              <w:ind w:left="300"/>
              <w:spacing w:after="0"/>
              <w:rPr>
                <w:sz w:val="20"/>
                <w:szCs w:val="20"/>
                <w:color w:val="auto"/>
              </w:rPr>
            </w:pPr>
            <w:r>
              <w:rPr>
                <w:rFonts w:ascii="Arial" w:cs="Arial" w:eastAsia="Arial" w:hAnsi="Arial"/>
                <w:sz w:val="18"/>
                <w:szCs w:val="18"/>
                <w:b w:val="1"/>
                <w:bCs w:val="1"/>
                <w:color w:val="auto"/>
              </w:rPr>
              <w:t>Industry</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2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Food and Miscellaneous Services</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3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Education &amp; Childcare</w:t>
            </w:r>
          </w:p>
        </w:tc>
        <w:tc>
          <w:tcPr>
            <w:tcW w:w="9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Personal,</w:t>
            </w:r>
          </w:p>
        </w:tc>
        <w:tc>
          <w:tcPr>
            <w:tcW w:w="4240" w:type="dxa"/>
            <w:vAlign w:val="bottom"/>
            <w:gridSpan w:val="2"/>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30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71"/>
              </w:rPr>
              <w:t>Healthcare,</w:t>
            </w:r>
          </w:p>
        </w:tc>
        <w:tc>
          <w:tcPr>
            <w:tcW w:w="334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20" w:type="dxa"/>
            <w:vAlign w:val="bottom"/>
            <w:gridSpan w:val="3"/>
          </w:tcPr>
          <w:p>
            <w:pPr>
              <w:ind w:left="20"/>
              <w:spacing w:after="0"/>
              <w:rPr>
                <w:sz w:val="20"/>
                <w:szCs w:val="20"/>
                <w:color w:val="auto"/>
              </w:rPr>
            </w:pPr>
            <w:r>
              <w:rPr>
                <w:rFonts w:ascii="Arial" w:cs="Arial" w:eastAsia="Arial" w:hAnsi="Arial"/>
                <w:sz w:val="18"/>
                <w:szCs w:val="18"/>
                <w:color w:val="auto"/>
              </w:rPr>
              <w:t>Printing and Publishing</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2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Energy / Utilities</w:t>
            </w:r>
          </w:p>
        </w:tc>
        <w:tc>
          <w:tcPr>
            <w:tcW w:w="5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w:t>
            </w:r>
          </w:p>
        </w:tc>
        <w:tc>
          <w:tcPr>
            <w:tcW w:w="30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Arial" w:cs="Arial" w:eastAsia="Arial" w:hAnsi="Arial"/>
                <w:sz w:val="18"/>
                <w:szCs w:val="18"/>
                <w:color w:val="auto"/>
              </w:rPr>
              <w:t>Auto Sector</w:t>
            </w:r>
          </w:p>
        </w:tc>
        <w:tc>
          <w:tcPr>
            <w:tcW w:w="12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3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020" w:type="dxa"/>
            <w:vAlign w:val="bottom"/>
            <w:gridSpan w:val="2"/>
            <w:vMerge w:val="restart"/>
            <w:shd w:val="clear" w:color="auto" w:fill="CCEEFF"/>
          </w:tcPr>
          <w:p>
            <w:pPr>
              <w:spacing w:after="0" w:line="196" w:lineRule="exact"/>
              <w:rPr>
                <w:sz w:val="20"/>
                <w:szCs w:val="20"/>
                <w:color w:val="auto"/>
              </w:rPr>
            </w:pPr>
            <w:r>
              <w:rPr>
                <w:rFonts w:ascii="Arial" w:cs="Arial" w:eastAsia="Arial" w:hAnsi="Arial"/>
                <w:sz w:val="18"/>
                <w:szCs w:val="18"/>
                <w:color w:val="auto"/>
              </w:rPr>
              <w:t>Business Services</w:t>
            </w:r>
          </w:p>
        </w:tc>
        <w:tc>
          <w:tcPr>
            <w:tcW w:w="1260" w:type="dxa"/>
            <w:vAlign w:val="bottom"/>
            <w:gridSpan w:val="2"/>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vMerge w:val="restart"/>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Electronics</w:t>
            </w:r>
          </w:p>
        </w:tc>
        <w:tc>
          <w:tcPr>
            <w:tcW w:w="560" w:type="dxa"/>
            <w:vAlign w:val="bottom"/>
            <w:tcBorders>
              <w:bottom w:val="single" w:sz="8" w:color="CCEEFF"/>
            </w:tcBorders>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7</w:t>
            </w:r>
          </w:p>
        </w:tc>
        <w:tc>
          <w:tcPr>
            <w:tcW w:w="300" w:type="dxa"/>
            <w:vAlign w:val="bottom"/>
            <w:vMerge w:val="continue"/>
          </w:tcPr>
          <w:p>
            <w:pPr>
              <w:spacing w:after="0"/>
              <w:rPr>
                <w:sz w:val="18"/>
                <w:szCs w:val="18"/>
                <w:color w:val="auto"/>
              </w:rPr>
            </w:pPr>
          </w:p>
        </w:tc>
        <w:tc>
          <w:tcPr>
            <w:tcW w:w="4020" w:type="dxa"/>
            <w:vAlign w:val="bottom"/>
            <w:gridSpan w:val="2"/>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Healthcare, Education &amp; Childcare</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4320" w:type="dxa"/>
            <w:vAlign w:val="bottom"/>
            <w:gridSpan w:val="3"/>
          </w:tcPr>
          <w:p>
            <w:pPr>
              <w:ind w:left="300"/>
              <w:spacing w:after="0" w:line="142" w:lineRule="exact"/>
              <w:rPr>
                <w:sz w:val="20"/>
                <w:szCs w:val="20"/>
                <w:color w:val="auto"/>
              </w:rPr>
            </w:pPr>
            <w:r>
              <w:rPr>
                <w:rFonts w:ascii="Arial" w:cs="Arial" w:eastAsia="Arial" w:hAnsi="Arial"/>
                <w:sz w:val="16"/>
                <w:szCs w:val="16"/>
                <w:color w:val="auto"/>
              </w:rPr>
              <w:t>Cargo Transport</w:t>
            </w:r>
          </w:p>
        </w:tc>
        <w:tc>
          <w:tcPr>
            <w:tcW w:w="126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3"/>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2"/>
                <w:szCs w:val="12"/>
                <w:color w:val="auto"/>
              </w:rPr>
            </w:pPr>
          </w:p>
        </w:tc>
        <w:tc>
          <w:tcPr>
            <w:tcW w:w="4020" w:type="dxa"/>
            <w:vAlign w:val="bottom"/>
            <w:gridSpan w:val="2"/>
            <w:vMerge w:val="continue"/>
            <w:shd w:val="clear" w:color="auto" w:fill="CCEEFF"/>
          </w:tcPr>
          <w:p>
            <w:pPr>
              <w:spacing w:after="0"/>
              <w:rPr>
                <w:sz w:val="12"/>
                <w:szCs w:val="12"/>
                <w:color w:val="auto"/>
              </w:rPr>
            </w:pPr>
          </w:p>
        </w:tc>
        <w:tc>
          <w:tcPr>
            <w:tcW w:w="126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920" w:type="dxa"/>
            <w:vAlign w:val="bottom"/>
            <w:gridSpan w:val="3"/>
            <w:vMerge w:val="continue"/>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4320" w:type="dxa"/>
            <w:vAlign w:val="bottom"/>
            <w:gridSpan w:val="3"/>
            <w:vMerge w:val="restart"/>
          </w:tcPr>
          <w:p>
            <w:pPr>
              <w:ind w:left="300"/>
              <w:spacing w:after="0"/>
              <w:rPr>
                <w:sz w:val="20"/>
                <w:szCs w:val="20"/>
                <w:color w:val="auto"/>
              </w:rPr>
            </w:pPr>
            <w:r>
              <w:rPr>
                <w:rFonts w:ascii="Arial" w:cs="Arial" w:eastAsia="Arial" w:hAnsi="Arial"/>
                <w:sz w:val="18"/>
                <w:szCs w:val="18"/>
                <w:color w:val="auto"/>
              </w:rPr>
              <w:t>Consumer Products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Chemicals, Plastics and Rubber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432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3"/>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Distribution</w:t>
            </w:r>
          </w:p>
        </w:tc>
        <w:tc>
          <w:tcPr>
            <w:tcW w:w="1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3"/>
            <w:vMerge w:val="restart"/>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0"/>
                <w:szCs w:val="10"/>
                <w:color w:val="auto"/>
              </w:rPr>
            </w:pPr>
          </w:p>
        </w:tc>
        <w:tc>
          <w:tcPr>
            <w:tcW w:w="4020" w:type="dxa"/>
            <w:vAlign w:val="bottom"/>
            <w:gridSpan w:val="2"/>
            <w:vMerge w:val="continue"/>
            <w:shd w:val="clear" w:color="auto" w:fill="CCEEFF"/>
          </w:tcPr>
          <w:p>
            <w:pPr>
              <w:spacing w:after="0"/>
              <w:rPr>
                <w:sz w:val="10"/>
                <w:szCs w:val="10"/>
                <w:color w:val="auto"/>
              </w:rPr>
            </w:pPr>
          </w:p>
        </w:tc>
        <w:tc>
          <w:tcPr>
            <w:tcW w:w="126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3"/>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4320" w:type="dxa"/>
            <w:vAlign w:val="bottom"/>
            <w:gridSpan w:val="3"/>
            <w:vMerge w:val="restart"/>
          </w:tcPr>
          <w:p>
            <w:pPr>
              <w:ind w:left="300"/>
              <w:spacing w:after="0"/>
              <w:rPr>
                <w:sz w:val="20"/>
                <w:szCs w:val="20"/>
                <w:color w:val="auto"/>
              </w:rPr>
            </w:pPr>
            <w:r>
              <w:rPr>
                <w:rFonts w:ascii="Arial" w:cs="Arial" w:eastAsia="Arial" w:hAnsi="Arial"/>
                <w:sz w:val="18"/>
                <w:szCs w:val="18"/>
                <w:color w:val="auto"/>
              </w:rPr>
              <w:t>Personal, Food and Miscellaneous Services</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4920" w:type="dxa"/>
            <w:vAlign w:val="bottom"/>
            <w:gridSpan w:val="3"/>
            <w:vMerge w:val="restart"/>
          </w:tcPr>
          <w:p>
            <w:pPr>
              <w:ind w:left="20"/>
              <w:spacing w:after="0"/>
              <w:rPr>
                <w:sz w:val="20"/>
                <w:szCs w:val="20"/>
                <w:color w:val="auto"/>
              </w:rPr>
            </w:pPr>
            <w:r>
              <w:rPr>
                <w:rFonts w:ascii="Arial" w:cs="Arial" w:eastAsia="Arial" w:hAnsi="Arial"/>
                <w:sz w:val="18"/>
                <w:szCs w:val="18"/>
                <w:color w:val="auto"/>
              </w:rPr>
              <w:t>Hotels, Motels, Inns and Gaming</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w:t>
            </w:r>
          </w:p>
        </w:tc>
        <w:tc>
          <w:tcPr>
            <w:tcW w:w="4320" w:type="dxa"/>
            <w:vAlign w:val="bottom"/>
            <w:gridSpan w:val="3"/>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3"/>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sought, and there can be no assurance that we will obtain, such an order.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46"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2013 Consolidated Financial Statements included elsewhere in this prospectus.</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Companies Less than 5% Owned</w:t>
            </w:r>
          </w:p>
        </w:tc>
        <w:tc>
          <w:tcPr>
            <w:tcW w:w="250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Acentia,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1.5%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3130 Fairview Park Drive, Ste. 800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Falls Church, VA 22042</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 High Ridge Park</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Stamford, CT 06850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AHC Mezzanine, LLC (Advanstar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Other Media</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350 Park Avenue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10022</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Aircell Business Aviation Services LLC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Communications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1250 North Arlington Heights Road, Ste. 500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Itasca, IL 60143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Alegeus Technologies,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Financial Services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(Alegeus Technologies Holdings Corp.)</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1601 Trapelo Rd.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Waltham, MA 02451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Gilsonite Company</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4"/>
              </w:rPr>
              <w:t>Diversified Natural Resources,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29950 South Bonanza Highway</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Precious Metals and Minerals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Bonanza, UT 84008</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American Surgical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Healthcare, Education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(AH Holdings, Inc.)</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Broadcasting and</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 Thompson St.</w:t>
            </w:r>
          </w:p>
        </w:tc>
        <w:tc>
          <w:tcPr>
            <w:tcW w:w="19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Entertainment</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Brand Energy and Infrastructure Services,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8"/>
              </w:rPr>
              <w:t>Energy / Utilities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1325 Cobb International Dr., Ste. A-1</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Kennesaw, GA 30152</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Carolina Beverage Group,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Beverage, Food and Tobacco</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110 Barley Park Lane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Mooresville, NC 28115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CEVA Group PLC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Cargo Transport</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 St. George Street</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London W1S 1FS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Kingdom</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Columbus International,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Communications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Ste. 205-207 Dowell House Cr.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Roebuck &amp; Palmetto Sts.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Bridgetown, Barbados, West Indies</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Electronics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1651 Wilkening Rd.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Schaumburg, IL 60173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Credit Infonet,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Personal, Food and</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4540 Honeywell Court</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Dayton, OH 45424</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CT Technologies Intermediate Holdings,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Business Services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(CT Technologies Intermediate Holdings, Inc.)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925 North Point Parkway, Ste. 350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Alpharetta, GA 30005</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Cydcor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3011 Townsgate Road, Ste. 400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Westlake Village, CA 91361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2181 East Aurora Road, Ste. 201</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Twinsburg, OH 44087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Escort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5440 West Chester Road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West Chester, OH 45069-2950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Eureka Hunter Pipeline, LLC (Magnum Hunter Resources Corporation)</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777 Post Oak Blvd., Ste. 650</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5"/>
              </w:rPr>
              <w:t>Energy/Utilities Oil and Gas</w:t>
            </w:r>
          </w:p>
        </w:tc>
        <w:tc>
          <w:tcPr>
            <w:tcW w:w="2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0.7%</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960" w:type="dxa"/>
            <w:vAlign w:val="bottom"/>
            <w:gridSpan w:val="2"/>
            <w:vMerge w:val="continue"/>
            <w:shd w:val="clear" w:color="auto" w:fill="CCEEFF"/>
          </w:tcPr>
          <w:p>
            <w:pPr>
              <w:spacing w:after="0"/>
              <w:rPr>
                <w:sz w:val="8"/>
                <w:szCs w:val="8"/>
                <w:color w:val="auto"/>
              </w:rPr>
            </w:pPr>
          </w:p>
        </w:tc>
        <w:tc>
          <w:tcPr>
            <w:tcW w:w="2480" w:type="dxa"/>
            <w:vAlign w:val="bottom"/>
            <w:gridSpan w:val="2"/>
            <w:vMerge w:val="continue"/>
            <w:shd w:val="clear" w:color="auto" w:fill="CCEEFF"/>
          </w:tcPr>
          <w:p>
            <w:pPr>
              <w:spacing w:after="0"/>
              <w:rPr>
                <w:sz w:val="8"/>
                <w:szCs w:val="8"/>
                <w:color w:val="auto"/>
              </w:rPr>
            </w:pPr>
          </w:p>
        </w:tc>
        <w:tc>
          <w:tcPr>
            <w:tcW w:w="1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020" w:type="dxa"/>
            <w:vAlign w:val="bottom"/>
            <w:gridSpan w:val="2"/>
            <w:vMerge w:val="continue"/>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80" w:type="dxa"/>
            <w:vAlign w:val="bottom"/>
            <w:gridSpan w:val="2"/>
            <w:vMerge w:val="restart"/>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80" w:type="dxa"/>
            <w:vAlign w:val="bottom"/>
            <w:gridSpan w:val="2"/>
            <w:vMerge w:val="continue"/>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Warrants</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Galls, LLC; Quartermaster,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Distribution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3.1%</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(CI (Galls) Prime Investment Holdings, LLC)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1340 Russell Cave Road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Lexington, KY 40505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 Sam Enterprises,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Consumer Products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 Parkway Dr., Ste. 270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Lincolnshire, IL 60069</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Greatwide Logistics Services,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Cargo Transport</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0.4%</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(Transportation 100 HoldCo, LLC)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12404 Park Central Dr., Ste. 300s</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Dallas, TX 75251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Hanley-Wood,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Other Media</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Ste. 600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IDQ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Auto Sector</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2901 West Kingsley Road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Garland, TX 75041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ILC Industries, LLC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Electronics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c/o ILC Holdings Inc.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 Maritime Plaza, Ste. 1555</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San Francisco, CA 94111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Infusystems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31700 Research Park Drive</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Madison Heights, MI 48071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Instant Web,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7951 Powers Boulevard</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Chanhassen, MN 55317</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3800 North Wilke Road, Ste. 155</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Childcare</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Heights, IL 60004</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Jackson Hewitt Tax Services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Personal, Food and</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 Sylvan Way, Ste. 301</w:t>
            </w:r>
          </w:p>
        </w:tc>
        <w:tc>
          <w:tcPr>
            <w:tcW w:w="19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Parsippany, NJ 07054</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Jacobs Entertainment,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Hotels, Motels, Inns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17301 W. Colfax Ave., Ste. 250</w:t>
            </w:r>
          </w:p>
        </w:tc>
        <w:tc>
          <w:tcPr>
            <w:tcW w:w="19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and Gaming</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Golden, CO 80401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JF Acquisition, LLC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Distribution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2.5%</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Raleigh, NC 27605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Pharmaceuticals,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(Kadmon Holdings, LLC)</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450 East 29</w:t>
            </w:r>
            <w:r>
              <w:rPr>
                <w:rFonts w:ascii="Arial" w:cs="Arial" w:eastAsia="Arial" w:hAnsi="Arial"/>
                <w:sz w:val="12"/>
                <w:szCs w:val="12"/>
                <w:color w:val="auto"/>
              </w:rPr>
              <w:t>th</w:t>
            </w:r>
            <w:r>
              <w:rPr>
                <w:rFonts w:ascii="Arial" w:cs="Arial" w:eastAsia="Arial" w:hAnsi="Arial"/>
                <w:sz w:val="14"/>
                <w:szCs w:val="14"/>
                <w:color w:val="auto"/>
              </w:rPr>
              <w:t xml:space="preserve"> Street, 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K2 Pure Solutions NoCal, L.P.</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Chemicals, Plastics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and Rubber</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Uniontown, OH 44685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Personal, Food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Lower Ragsdale Drive</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Miscelleneous Services</w:t>
            </w: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2, Ste. 400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Monterey, CA 93940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Learning Care Group (US) No. 2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Education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(Learning Care Group (US), Inc.)</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Novi, MI 48375</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LINC USA GP and LINC Energy Finance (USA), Inc.</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Louisiana Street, Ste. 1500</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Oil and Gas</w:t>
            </w:r>
          </w:p>
        </w:tc>
        <w:tc>
          <w:tcPr>
            <w:tcW w:w="24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Houston, TX 77002</w:t>
            </w: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480" w:type="dxa"/>
            <w:vAlign w:val="bottom"/>
            <w:tcBorders>
              <w:bottom w:val="single" w:sz="8" w:color="CCEEFF"/>
            </w:tcBorders>
            <w:gridSpan w:val="2"/>
            <w:vMerge w:val="continue"/>
            <w:shd w:val="clear" w:color="auto" w:fill="CCEEFF"/>
          </w:tcPr>
          <w:p>
            <w:pPr>
              <w:spacing w:after="0"/>
              <w:rPr>
                <w:sz w:val="13"/>
                <w:szCs w:val="13"/>
                <w:color w:val="auto"/>
              </w:rPr>
            </w:pPr>
          </w:p>
        </w:tc>
        <w:tc>
          <w:tcPr>
            <w:tcW w:w="1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LTI Flexible Products,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Chemical, Plastic</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600 S. McClure Road,</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and Rubber</w:t>
            </w: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Stanislaus County, CA 95357</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MSpark, Inc. (f/k/a MailSouth,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5040" w:type="dxa"/>
            <w:vAlign w:val="bottom"/>
            <w:gridSpan w:val="3"/>
            <w:vMerge w:val="continue"/>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Healthcare, Education</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(Paradigm Acquisition Corp.)</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and Childcare</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1277 Treat Boulevard, Ste. 800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Walnut Creek, CA 94597</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Other Media</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249 W. 17</w:t>
            </w:r>
            <w:r>
              <w:rPr>
                <w:rFonts w:ascii="Arial" w:cs="Arial" w:eastAsia="Arial" w:hAnsi="Arial"/>
                <w:sz w:val="12"/>
                <w:szCs w:val="12"/>
                <w:color w:val="auto"/>
              </w:rPr>
              <w:t>th</w:t>
            </w:r>
            <w:r>
              <w:rPr>
                <w:rFonts w:ascii="Arial" w:cs="Arial" w:eastAsia="Arial" w:hAnsi="Arial"/>
                <w:sz w:val="14"/>
                <w:szCs w:val="14"/>
                <w:color w:val="auto"/>
              </w:rPr>
              <w:t xml:space="preserve"> Street, 4</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10011</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Personal, Food and</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(MidOcean PPL Holdings, Inc.)</w:t>
            </w: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2"/>
              </w:rPr>
              <w:t>Miscellaneous Services</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Pre-Paid Way</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Ada, OK 74820</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Prince Mineral Holdings Corp.</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Mining, Steel, Iron and</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14 East 44th Street</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Non-Precious Metals</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 York, NY 10020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3"/>
              </w:rPr>
              <w:t>Other Media</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275 Grove Street, Ste. 2-130</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Newton, MA 02466</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ROC Finance LLC and ROC Finance 1 Corp.</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Hotels, Motels, Inns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Second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One Campus Maritus, 1086 Woodward Avenue,</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and Gaming</w:t>
            </w: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Detroit, MI 48226</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TRAK Acquisition Corp.</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0"/>
              </w:rPr>
              <w:t>Business Services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Brickell Bay Drive, 27</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Warrants</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Miami, FL 33131</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TZ Holdings, L.P. (Trizetto Group,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Insurance</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0.2%</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567 San Nicolas Drive, Ste. 360</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Newport Beach, CA 92660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1625 West Crosby Road, Ste. 124</w:t>
            </w:r>
          </w:p>
        </w:tc>
        <w:tc>
          <w:tcPr>
            <w:tcW w:w="19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1"/>
              </w:rPr>
              <w:t>Oil and Gas</w:t>
            </w:r>
          </w:p>
        </w:tc>
        <w:tc>
          <w:tcPr>
            <w:tcW w:w="24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Carrolton, TX 75006</w:t>
            </w: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480" w:type="dxa"/>
            <w:vAlign w:val="bottom"/>
            <w:tcBorders>
              <w:bottom w:val="single" w:sz="8" w:color="CCEEFF"/>
            </w:tcBorders>
            <w:gridSpan w:val="2"/>
            <w:vMerge w:val="continue"/>
            <w:shd w:val="clear" w:color="auto" w:fill="CCEEFF"/>
          </w:tcPr>
          <w:p>
            <w:pPr>
              <w:spacing w:after="0"/>
              <w:rPr>
                <w:sz w:val="13"/>
                <w:szCs w:val="13"/>
                <w:color w:val="auto"/>
              </w:rPr>
            </w:pPr>
          </w:p>
        </w:tc>
        <w:tc>
          <w:tcPr>
            <w:tcW w:w="194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Veritext Corp. (VText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3.6%</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50 Public Square, 29</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Cleveland, OH 44113</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Vestcom Parent Holdings, Inc.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4"/>
              </w:rPr>
              <w:t>Printing and Publishing</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(Vestcom International, Inc.)</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7304 Kanis Road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VRide Holdings,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Personal Transportation</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3.3%</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1220 Rankin Drive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Troy, MI 48083</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Worley Claims Services, LLC</w:t>
            </w: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1"/>
              </w:rPr>
              <w:t>Insurance</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303 Timber Creek,</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Hammond, LA 70403</w:t>
            </w: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AKA Diversified Holdings, Inc.</w:t>
            </w: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Retail</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7505 South Louise Avenue,</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Sioux Falls, SD 57108</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040" w:type="dxa"/>
            <w:vAlign w:val="bottom"/>
            <w:gridSpan w:val="3"/>
          </w:tcPr>
          <w:p>
            <w:pPr>
              <w:spacing w:after="0"/>
              <w:rPr>
                <w:sz w:val="20"/>
                <w:szCs w:val="20"/>
                <w:color w:val="auto"/>
              </w:rPr>
            </w:pPr>
            <w:r>
              <w:rPr>
                <w:rFonts w:ascii="Arial" w:cs="Arial" w:eastAsia="Arial" w:hAnsi="Arial"/>
                <w:sz w:val="14"/>
                <w:szCs w:val="14"/>
                <w:color w:val="auto"/>
              </w:rPr>
              <w:t>DirectBuy Holdings, Inc.</w:t>
            </w: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Consumer Products</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0" w:type="dxa"/>
            <w:vAlign w:val="bottom"/>
          </w:tcPr>
          <w:p>
            <w:pPr>
              <w:spacing w:after="0"/>
              <w:rPr>
                <w:sz w:val="1"/>
                <w:szCs w:val="1"/>
                <w:color w:val="auto"/>
              </w:rPr>
            </w:pPr>
          </w:p>
        </w:tc>
      </w:tr>
      <w:tr>
        <w:trPr>
          <w:trHeight w:val="149"/>
        </w:trPr>
        <w:tc>
          <w:tcPr>
            <w:tcW w:w="5040" w:type="dxa"/>
            <w:vAlign w:val="bottom"/>
            <w:gridSpan w:val="3"/>
          </w:tcPr>
          <w:p>
            <w:pPr>
              <w:spacing w:after="0" w:line="149" w:lineRule="exact"/>
              <w:rPr>
                <w:sz w:val="20"/>
                <w:szCs w:val="20"/>
                <w:color w:val="auto"/>
              </w:rPr>
            </w:pPr>
            <w:r>
              <w:rPr>
                <w:rFonts w:ascii="Arial" w:cs="Arial" w:eastAsia="Arial" w:hAnsi="Arial"/>
                <w:sz w:val="14"/>
                <w:szCs w:val="14"/>
                <w:color w:val="auto"/>
              </w:rPr>
              <w:t>8450 Broadway</w:t>
            </w: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40" w:type="dxa"/>
            <w:vAlign w:val="bottom"/>
            <w:gridSpan w:val="3"/>
          </w:tcPr>
          <w:p>
            <w:pPr>
              <w:spacing w:after="0"/>
              <w:rPr>
                <w:sz w:val="20"/>
                <w:szCs w:val="20"/>
                <w:color w:val="auto"/>
              </w:rPr>
            </w:pPr>
            <w:r>
              <w:rPr>
                <w:rFonts w:ascii="Arial" w:cs="Arial" w:eastAsia="Arial" w:hAnsi="Arial"/>
                <w:sz w:val="14"/>
                <w:szCs w:val="14"/>
                <w:color w:val="auto"/>
              </w:rPr>
              <w:t>Merrillville, IN 46410</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2500" w:type="dxa"/>
            <w:vAlign w:val="bottom"/>
          </w:tcPr>
          <w:p>
            <w:pPr>
              <w:spacing w:after="0"/>
              <w:rPr>
                <w:sz w:val="14"/>
                <w:szCs w:val="14"/>
                <w:color w:val="auto"/>
              </w:rPr>
            </w:pP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Nature of Business</w:t>
            </w:r>
          </w:p>
        </w:tc>
        <w:tc>
          <w:tcPr>
            <w:tcW w:w="2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Type of Investment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Voting Percentage</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5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2480" w:type="dxa"/>
            <w:vAlign w:val="bottom"/>
            <w:gridSpan w:val="2"/>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Ownership </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20" w:type="dxa"/>
            <w:vAlign w:val="bottom"/>
            <w:tcBorders>
              <w:top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18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EnviroSolutions Holdings,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Environmental Services</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5"/>
              </w:rPr>
              <w:t>13.7%</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11220 Asset Loop, Ste. 201</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Manassas, VA 20109</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PAS Technologies,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Aerospace and Defense</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tcPr>
          <w:p>
            <w:pPr>
              <w:jc w:val="center"/>
              <w:spacing w:after="0"/>
              <w:rPr>
                <w:sz w:val="20"/>
                <w:szCs w:val="20"/>
                <w:color w:val="auto"/>
              </w:rPr>
            </w:pPr>
            <w:r>
              <w:rPr>
                <w:rFonts w:ascii="Arial" w:cs="Arial" w:eastAsia="Arial" w:hAnsi="Arial"/>
                <w:sz w:val="14"/>
                <w:szCs w:val="14"/>
                <w:color w:val="auto"/>
                <w:w w:val="95"/>
              </w:rPr>
              <w:t>22.0%</w:t>
            </w:r>
            <w:r>
              <w:rPr>
                <w:rFonts w:ascii="Arial" w:cs="Arial" w:eastAsia="Arial" w:hAnsi="Arial"/>
                <w:sz w:val="12"/>
                <w:szCs w:val="12"/>
                <w:color w:val="auto"/>
                <w:w w:val="95"/>
              </w:rPr>
              <w:t>(2)</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(PAS Tech Holdings, Inc.)</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1234 Atlantic Street</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North Kansas City, MO 64116</w:t>
            </w: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5"/>
              </w:rPr>
              <w:t>Leisure, Amusement, Motion</w:t>
            </w:r>
          </w:p>
        </w:tc>
        <w:tc>
          <w:tcPr>
            <w:tcW w:w="248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2"/>
              </w:rPr>
              <w:t>Subordinated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(NCP-Performance)</w:t>
            </w:r>
          </w:p>
        </w:tc>
        <w:tc>
          <w:tcPr>
            <w:tcW w:w="2500" w:type="dxa"/>
            <w:vAlign w:val="bottom"/>
            <w:shd w:val="clear" w:color="auto" w:fill="CCEEFF"/>
          </w:tcPr>
          <w:p>
            <w:pPr>
              <w:spacing w:after="0"/>
              <w:rPr>
                <w:sz w:val="12"/>
                <w:szCs w:val="12"/>
                <w:color w:val="auto"/>
              </w:rPr>
            </w:pPr>
          </w:p>
        </w:tc>
        <w:tc>
          <w:tcPr>
            <w:tcW w:w="19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3"/>
              </w:rPr>
              <w:t>Pictures, Entertainment</w:t>
            </w:r>
          </w:p>
        </w:tc>
        <w:tc>
          <w:tcPr>
            <w:tcW w:w="24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 Performance Way</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Chapel Hill, NC 27514</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Service Champ,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Auto Sector</w:t>
            </w: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Subordinated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7.7%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180 New Britain Blvd.</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color w:val="auto"/>
              </w:rPr>
              <w:t>Chalfont, PA 18914</w:t>
            </w: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Companies 25% or More Owned</w:t>
            </w:r>
          </w:p>
        </w:tc>
        <w:tc>
          <w:tcPr>
            <w:tcW w:w="250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SuttonPark Holdings, Inc.</w:t>
            </w:r>
          </w:p>
        </w:tc>
        <w:tc>
          <w:tcPr>
            <w:tcW w:w="250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Business Services</w:t>
            </w: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First Lien Secured Debt</w:t>
            </w:r>
          </w:p>
        </w:tc>
        <w:tc>
          <w:tcPr>
            <w:tcW w:w="1940" w:type="dxa"/>
            <w:vAlign w:val="bottom"/>
          </w:tcPr>
          <w:p>
            <w:pPr>
              <w:jc w:val="center"/>
              <w:spacing w:after="0"/>
              <w:rPr>
                <w:sz w:val="20"/>
                <w:szCs w:val="20"/>
                <w:color w:val="auto"/>
              </w:rPr>
            </w:pPr>
            <w:r>
              <w:rPr>
                <w:rFonts w:ascii="Arial" w:cs="Arial" w:eastAsia="Arial" w:hAnsi="Arial"/>
                <w:sz w:val="14"/>
                <w:szCs w:val="14"/>
                <w:color w:val="auto"/>
                <w:w w:val="94"/>
              </w:rPr>
              <w:t>100.0%</w:t>
            </w:r>
            <w:r>
              <w:rPr>
                <w:rFonts w:ascii="Arial" w:cs="Arial" w:eastAsia="Arial" w:hAnsi="Arial"/>
                <w:sz w:val="12"/>
                <w:szCs w:val="12"/>
                <w:color w:val="auto"/>
                <w:w w:val="94"/>
              </w:rPr>
              <w:t>(2),(3)</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Subordinated Debt</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New York, NY 10022</w:t>
            </w:r>
          </w:p>
        </w:tc>
        <w:tc>
          <w:tcPr>
            <w:tcW w:w="25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Preferred Equity</w:t>
            </w: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Common Equity</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UP Support Services, Inc.</w:t>
            </w:r>
          </w:p>
        </w:tc>
        <w:tc>
          <w:tcPr>
            <w:tcW w:w="2500" w:type="dxa"/>
            <w:vAlign w:val="bottom"/>
            <w:shd w:val="clear" w:color="auto" w:fill="CCEEFF"/>
          </w:tcPr>
          <w:p>
            <w:pPr>
              <w:spacing w:after="0"/>
              <w:rPr>
                <w:sz w:val="11"/>
                <w:szCs w:val="11"/>
                <w:color w:val="auto"/>
              </w:rPr>
            </w:pPr>
          </w:p>
        </w:tc>
        <w:tc>
          <w:tcPr>
            <w:tcW w:w="19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rPr>
              <w:t>Oil &amp; Gas</w:t>
            </w:r>
          </w:p>
        </w:tc>
        <w:tc>
          <w:tcPr>
            <w:tcW w:w="248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First Lien Secured Debt</w:t>
            </w:r>
          </w:p>
        </w:tc>
        <w:tc>
          <w:tcPr>
            <w:tcW w:w="19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30.2%</w:t>
            </w:r>
            <w:r>
              <w:rPr>
                <w:rFonts w:ascii="Arial" w:cs="Arial" w:eastAsia="Arial" w:hAnsi="Arial"/>
                <w:sz w:val="12"/>
                <w:szCs w:val="12"/>
                <w:color w:val="auto"/>
                <w:w w:val="93"/>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4848 Loop Central Drive</w:t>
            </w:r>
          </w:p>
        </w:tc>
        <w:tc>
          <w:tcPr>
            <w:tcW w:w="25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Second Lien Secured Debt</w:t>
            </w:r>
          </w:p>
        </w:tc>
        <w:tc>
          <w:tcPr>
            <w:tcW w:w="1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Houston, TX 77081</w:t>
            </w:r>
          </w:p>
        </w:tc>
        <w:tc>
          <w:tcPr>
            <w:tcW w:w="2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Preferred Equity</w:t>
            </w: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where we have voting rights.</w:t>
      </w:r>
    </w:p>
    <w:p>
      <w:pPr>
        <w:ind w:left="340" w:hanging="332"/>
        <w:spacing w:after="0" w:line="221" w:lineRule="auto"/>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boards of directors.</w:t>
      </w:r>
    </w:p>
    <w:p>
      <w:pPr>
        <w:ind w:left="340" w:hanging="332"/>
        <w:spacing w:after="0"/>
        <w:tabs>
          <w:tab w:leader="none" w:pos="3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pacing w:after="0" w:line="19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7940" w:type="dxa"/>
            <w:vAlign w:val="bottom"/>
            <w:vMerge w:val="restart"/>
          </w:tcPr>
          <w:p>
            <w:pPr>
              <w:spacing w:after="0"/>
              <w:rPr>
                <w:sz w:val="14"/>
                <w:szCs w:val="14"/>
                <w:color w:val="auto"/>
              </w:rPr>
            </w:pPr>
          </w:p>
        </w:tc>
        <w:tc>
          <w:tcPr>
            <w:tcW w:w="2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34"/>
        </w:trPr>
        <w:tc>
          <w:tcPr>
            <w:tcW w:w="1420" w:type="dxa"/>
            <w:vAlign w:val="bottom"/>
            <w:tcBorders>
              <w:bottom w:val="single" w:sz="8" w:color="auto"/>
            </w:tcBorders>
            <w:vMerge w:val="continue"/>
          </w:tcPr>
          <w:p>
            <w:pPr>
              <w:spacing w:after="0"/>
              <w:rPr>
                <w:sz w:val="11"/>
                <w:szCs w:val="11"/>
                <w:color w:val="auto"/>
              </w:rPr>
            </w:pPr>
          </w:p>
        </w:tc>
        <w:tc>
          <w:tcPr>
            <w:tcW w:w="7940" w:type="dxa"/>
            <w:vAlign w:val="bottom"/>
            <w:vMerge w:val="continue"/>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Personal, Food and Miscellaneous Services</w:t>
            </w:r>
          </w:p>
        </w:tc>
        <w:tc>
          <w:tcPr>
            <w:tcW w:w="38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9360" w:type="dxa"/>
            <w:vAlign w:val="bottom"/>
            <w:gridSpan w:val="2"/>
            <w:vMerge w:val="continue"/>
            <w:shd w:val="clear" w:color="auto" w:fill="CCEEFF"/>
          </w:tcPr>
          <w:p>
            <w:pPr>
              <w:spacing w:after="0"/>
              <w:rPr>
                <w:sz w:val="11"/>
                <w:szCs w:val="11"/>
                <w:color w:val="auto"/>
              </w:rPr>
            </w:pPr>
          </w:p>
        </w:tc>
        <w:tc>
          <w:tcPr>
            <w:tcW w:w="1500" w:type="dxa"/>
            <w:vAlign w:val="bottom"/>
            <w:gridSpan w:val="2"/>
            <w:shd w:val="clear" w:color="auto" w:fill="CCEEFF"/>
          </w:tcPr>
          <w:p>
            <w:pPr>
              <w:jc w:val="right"/>
              <w:ind w:right="1000"/>
              <w:spacing w:after="0" w:line="136" w:lineRule="exact"/>
              <w:rPr>
                <w:sz w:val="20"/>
                <w:szCs w:val="20"/>
                <w:color w:val="auto"/>
              </w:rPr>
            </w:pPr>
            <w:r>
              <w:rPr>
                <w:rFonts w:ascii="Arial" w:cs="Arial" w:eastAsia="Arial" w:hAnsi="Arial"/>
                <w:sz w:val="14"/>
                <w:szCs w:val="14"/>
                <w:color w:val="auto"/>
              </w:rPr>
              <w:t>11%</w:t>
            </w:r>
          </w:p>
        </w:tc>
        <w:tc>
          <w:tcPr>
            <w:tcW w:w="56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Printing and Publishing</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9</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Electronics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Energy/Utilities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8</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7</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7</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6</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Hotels, Motels, Inns and Gaming</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5</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Auto Sector</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4</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3</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Distribution</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Diversified Natural Resources, Precious Metals and Minerals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Services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2</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Cargo Transport</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Education</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Mining, Steel, Iron and Non-Precious Metals</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1</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Real Estate</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Amusement, Motion Pictures, Entertainment</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1500" w:type="dxa"/>
            <w:vAlign w:val="bottom"/>
            <w:gridSpan w:val="2"/>
          </w:tcPr>
          <w:p>
            <w:pPr>
              <w:jc w:val="right"/>
              <w:ind w:right="112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9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500" w:type="dxa"/>
            <w:vAlign w:val="bottom"/>
            <w:gridSpan w:val="2"/>
            <w:shd w:val="clear" w:color="auto" w:fill="CCEEFF"/>
          </w:tcPr>
          <w:p>
            <w:pPr>
              <w:jc w:val="right"/>
              <w:ind w:right="1120"/>
              <w:spacing w:after="0" w:line="149" w:lineRule="exact"/>
              <w:rPr>
                <w:sz w:val="20"/>
                <w:szCs w:val="20"/>
                <w:color w:val="auto"/>
              </w:rPr>
            </w:pPr>
            <w:r>
              <w:rPr>
                <w:rFonts w:ascii="Arial" w:cs="Arial" w:eastAsia="Arial" w:hAnsi="Arial"/>
                <w:sz w:val="14"/>
                <w:szCs w:val="14"/>
                <w:color w:val="auto"/>
              </w:rPr>
              <w:t>4</w:t>
            </w: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360" w:type="dxa"/>
            <w:vAlign w:val="bottom"/>
            <w:gridSpan w:val="2"/>
            <w:vMerge w:val="continue"/>
          </w:tcPr>
          <w:p>
            <w:pPr>
              <w:spacing w:after="0"/>
              <w:rPr>
                <w:sz w:val="13"/>
                <w:szCs w:val="13"/>
                <w:color w:val="auto"/>
              </w:rPr>
            </w:pPr>
          </w:p>
        </w:tc>
        <w:tc>
          <w:tcPr>
            <w:tcW w:w="1500" w:type="dxa"/>
            <w:vAlign w:val="bottom"/>
            <w:gridSpan w:val="2"/>
          </w:tcPr>
          <w:p>
            <w:pPr>
              <w:jc w:val="right"/>
              <w:ind w:right="1000"/>
              <w:spacing w:after="0" w:line="155" w:lineRule="exact"/>
              <w:rPr>
                <w:sz w:val="20"/>
                <w:szCs w:val="20"/>
                <w:color w:val="auto"/>
              </w:rPr>
            </w:pPr>
            <w:r>
              <w:rPr>
                <w:rFonts w:ascii="Arial" w:cs="Arial" w:eastAsia="Arial" w:hAnsi="Arial"/>
                <w:sz w:val="14"/>
                <w:szCs w:val="14"/>
                <w:color w:val="auto"/>
              </w:rPr>
              <w:t>100%</w:t>
            </w:r>
          </w:p>
        </w:tc>
        <w:tc>
          <w:tcPr>
            <w:tcW w:w="5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Director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4000" w:type="dxa"/>
            <w:vAlign w:val="bottom"/>
            <w:gridSpan w:val="3"/>
          </w:tcPr>
          <w:p>
            <w:pPr>
              <w:ind w:left="340"/>
              <w:spacing w:after="0"/>
              <w:rPr>
                <w:sz w:val="20"/>
                <w:szCs w:val="20"/>
                <w:color w:val="auto"/>
              </w:rPr>
            </w:pPr>
            <w:r>
              <w:rPr>
                <w:rFonts w:ascii="Arial" w:cs="Arial" w:eastAsia="Arial" w:hAnsi="Arial"/>
                <w:sz w:val="18"/>
                <w:szCs w:val="18"/>
                <w:b w:val="1"/>
                <w:bCs w:val="1"/>
                <w:color w:val="auto"/>
              </w:rPr>
              <w:t>Position</w:t>
            </w: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Since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of Term</w:t>
            </w: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00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4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Director</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2"/>
        </w:trPr>
        <w:tc>
          <w:tcPr>
            <w:tcW w:w="4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Arthur H. Penn</w:t>
            </w:r>
          </w:p>
        </w:tc>
        <w:tc>
          <w:tcPr>
            <w:tcW w:w="5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50</w:t>
            </w:r>
          </w:p>
        </w:tc>
        <w:tc>
          <w:tcPr>
            <w:tcW w:w="40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Chairman of the Board and Chief</w:t>
            </w:r>
          </w:p>
        </w:tc>
        <w:tc>
          <w:tcPr>
            <w:tcW w:w="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2007</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2016</w:t>
            </w:r>
          </w:p>
        </w:tc>
      </w:tr>
      <w:tr>
        <w:trPr>
          <w:trHeight w:val="230"/>
        </w:trPr>
        <w:tc>
          <w:tcPr>
            <w:tcW w:w="4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4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Age</w:t>
            </w:r>
          </w:p>
        </w:tc>
        <w:tc>
          <w:tcPr>
            <w:tcW w:w="492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4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58</w:t>
            </w:r>
          </w:p>
        </w:tc>
        <w:tc>
          <w:tcPr>
            <w:tcW w:w="46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efficiencies in managing us by eliminating the need to transfer substantial information quickly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8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180"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w:t>
      </w:r>
    </w:p>
    <w:p>
      <w:pPr>
        <w:spacing w:after="0" w:line="2" w:lineRule="exact"/>
        <w:rPr>
          <w:sz w:val="20"/>
          <w:szCs w:val="20"/>
          <w:color w:val="auto"/>
        </w:rPr>
      </w:pPr>
    </w:p>
    <w:p>
      <w:pPr>
        <w:ind w:right="80" w:firstLine="8"/>
        <w:spacing w:after="0" w:line="255"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9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requirements set forth in the 1940 Act (including any relief provided by the SEC thereto),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73"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Adam K. Bernstein (50), Director. Mr. Bernstein became a Director of PennantPark Investment and PennantPark Floating Rate Capital Ltd. in February 2007 and October 2010, respectively. Mr. Bernstein is President of The Bernstein Companies, a Washington, D.C.-based real estate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17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Marshall Brozost (46), Director. Mr. Brozost became a Director of PennantPark Investment Corporation and PennantPark Floating Rate Capital Ltd. in February 2007 and October 2010,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and Dewey &amp; LeBoeuf LLP from 2005 to 2012. Mr. Brozost also served as a Vice President of Nomura Asset Capital Corporation from 1997 through 2000.</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Jeffrey Flug (51), Director. Mr. Flug became a Director of PennantPark Investment and PennantPark Floating Rate Capital Ltd. in February 2007 and October 2010, respectively. Since October 2012, Mr. Flug has been a director of Sears Hometown and Outlet Stores, Inc.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78" w:lineRule="exact"/>
        <w:rPr>
          <w:sz w:val="20"/>
          <w:szCs w:val="20"/>
          <w:color w:val="auto"/>
        </w:rPr>
      </w:pPr>
    </w:p>
    <w:p>
      <w:pPr>
        <w:ind w:firstLine="571"/>
        <w:spacing w:after="0" w:line="286" w:lineRule="auto"/>
        <w:rPr>
          <w:sz w:val="20"/>
          <w:szCs w:val="20"/>
          <w:color w:val="auto"/>
        </w:rPr>
      </w:pPr>
      <w:r>
        <w:rPr>
          <w:rFonts w:ascii="Arial" w:cs="Arial" w:eastAsia="Arial" w:hAnsi="Arial"/>
          <w:sz w:val="17"/>
          <w:szCs w:val="17"/>
          <w:color w:val="auto"/>
        </w:rPr>
        <w:t>Samuel L. Katz (48), Director. Mr. Katz became a Director of PennantPark Investment and PennantPark Floating Rate Capital Ltd. in February 2007 and October 2010, respectively. Since 2007, Mr. Katz has been the Managing Partner of TZP Group LLC, a private equity fund. He served as Chief Executive Officer of MacAndrews &amp; Forbes Acquisition Holdings, Inc. from 2006 to 2007. From 1996 to 2006, Mr. Katz held a variety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Arthur H. Penn (50), Founder, Chief Executive Officer and Chairman of the board of directors. Mr. Penn became the Chief Executive Officer and a Director of PennantPark Investment and PennantPark Floating Rate Capital Ltd. at their inception in January 2007 and October 2010,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Aviv Efrat (49),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Guy F. Talarico (58), Chief Compliance Officer. Mr. Talarico became Chief Compliance Officer of PennantPark Investment and PennantPark Floating Rate Capital Ltd. in May 2008 and March 2011, respectively. Mr. Talarico has served as Chief Compliance Officer for investment advisers, private funds and investment companies since 2004 when he founded Alaric Compliance Services, LLC.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the fiscal year ended September 30, 2013,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20" w:firstLine="571"/>
        <w:spacing w:after="0" w:line="277" w:lineRule="auto"/>
        <w:rPr>
          <w:sz w:val="20"/>
          <w:szCs w:val="20"/>
          <w:color w:val="auto"/>
        </w:rPr>
      </w:pPr>
      <w:r>
        <w:rPr>
          <w:rFonts w:ascii="Arial" w:cs="Arial" w:eastAsia="Arial" w:hAnsi="Arial"/>
          <w:sz w:val="18"/>
          <w:szCs w:val="18"/>
          <w:color w:val="auto"/>
        </w:rPr>
        <w:t>The members of the Audit Committee are Messrs. Bernstein, Brozost, Flug and Katz, each of whom is independent for purposes of the 1940 Act and the NASDAQ and NYSE corporate governance rules. Messrs. Flug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7"/>
          <w:szCs w:val="17"/>
          <w:i w:val="1"/>
          <w:iCs w:val="1"/>
          <w:u w:val="single" w:color="auto"/>
          <w:color w:val="auto"/>
        </w:rPr>
        <w:t>www.pennantpark.com</w:t>
      </w:r>
      <w:r>
        <w:rPr>
          <w:rFonts w:ascii="Arial" w:cs="Arial" w:eastAsia="Arial" w:hAnsi="Arial"/>
          <w:sz w:val="17"/>
          <w:szCs w:val="17"/>
          <w:i w:val="1"/>
          <w:iCs w:val="1"/>
          <w:color w:val="auto"/>
        </w:rPr>
        <w:t>.</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60" w:right="2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Nominating and Corporate Governance Committee evaluate the membership of the board of directors and whether the board of directors maintains satisfactory policies regarding membership selection.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not an interested person of us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www.pennantpark.com</w:t>
      </w:r>
      <w:r>
        <w:rPr>
          <w:rFonts w:ascii="Arial" w:cs="Arial" w:eastAsia="Arial" w:hAnsi="Arial"/>
          <w:sz w:val="18"/>
          <w:szCs w:val="18"/>
          <w:u w:val="single" w:color="auto"/>
          <w:color w:val="auto"/>
        </w:rPr>
        <w:t>)</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2013. No compensation is paid directly by us to any interested director or executive officer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7"/>
              </w:rPr>
              <w:t>PennantPark Investment Corporation</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PennantPark Floating Rate Capital, Ltd.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Aggregate</w:t>
            </w:r>
          </w:p>
        </w:tc>
        <w:tc>
          <w:tcPr>
            <w:tcW w:w="13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Pension or</w:t>
            </w: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89"/>
              </w:rPr>
              <w:t>Aggregate</w:t>
            </w:r>
          </w:p>
        </w:tc>
        <w:tc>
          <w:tcPr>
            <w:tcW w:w="15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8"/>
              </w:rPr>
              <w:t>Pension or</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retirement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retirement</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benefits accrued</w:t>
            </w:r>
          </w:p>
        </w:tc>
        <w:tc>
          <w:tcPr>
            <w:tcW w:w="260" w:type="dxa"/>
            <w:vAlign w:val="bottom"/>
          </w:tcPr>
          <w:p>
            <w:pPr>
              <w:spacing w:after="0"/>
              <w:rPr>
                <w:sz w:val="12"/>
                <w:szCs w:val="12"/>
                <w:color w:val="auto"/>
              </w:rPr>
            </w:pPr>
          </w:p>
        </w:tc>
        <w:tc>
          <w:tcPr>
            <w:tcW w:w="12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Total paid to</w:t>
            </w:r>
          </w:p>
        </w:tc>
        <w:tc>
          <w:tcPr>
            <w:tcW w:w="26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5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benefits accrued</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paid to</w:t>
            </w:r>
          </w:p>
        </w:tc>
        <w:tc>
          <w:tcPr>
            <w:tcW w:w="0" w:type="dxa"/>
            <w:vAlign w:val="bottom"/>
          </w:tcPr>
          <w:p>
            <w:pPr>
              <w:spacing w:after="0"/>
              <w:rPr>
                <w:sz w:val="1"/>
                <w:szCs w:val="1"/>
                <w:color w:val="auto"/>
              </w:rPr>
            </w:pPr>
          </w:p>
        </w:tc>
      </w:tr>
      <w:tr>
        <w:trPr>
          <w:trHeight w:val="149"/>
        </w:trPr>
        <w:tc>
          <w:tcPr>
            <w:tcW w:w="25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from the</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2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from the</w:t>
            </w: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2540" w:type="dxa"/>
            <w:vAlign w:val="bottom"/>
            <w:gridSpan w:val="6"/>
            <w:vMerge w:val="continue"/>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Company</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2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Company</w:t>
            </w: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Independent directors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84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gridSpan w:val="2"/>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gridSpan w:val="2"/>
          </w:tcPr>
          <w:p>
            <w:pPr>
              <w:jc w:val="right"/>
              <w:ind w:right="520"/>
              <w:spacing w:after="0"/>
              <w:rPr>
                <w:sz w:val="20"/>
                <w:szCs w:val="20"/>
                <w:color w:val="auto"/>
              </w:rPr>
            </w:pPr>
            <w:r>
              <w:rPr>
                <w:rFonts w:ascii="Arial" w:cs="Arial" w:eastAsia="Arial" w:hAnsi="Arial"/>
                <w:sz w:val="18"/>
                <w:szCs w:val="18"/>
                <w:color w:val="auto"/>
              </w:rPr>
              <w:t>102,500</w:t>
            </w:r>
          </w:p>
        </w:tc>
        <w:tc>
          <w:tcPr>
            <w:tcW w:w="130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8"/>
              </w:rPr>
              <w:t>102,500</w:t>
            </w:r>
          </w:p>
        </w:tc>
        <w:tc>
          <w:tcPr>
            <w:tcW w:w="36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57,500</w:t>
            </w:r>
          </w:p>
        </w:tc>
        <w:tc>
          <w:tcPr>
            <w:tcW w:w="1560" w:type="dxa"/>
            <w:vAlign w:val="bottom"/>
            <w:tcBorders>
              <w:top w:val="single" w:sz="8" w:color="CCEEFF"/>
            </w:tcBorders>
            <w:gridSpan w:val="2"/>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102,500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102,500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57,500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$57,500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112,500</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112,500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60,000</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112,500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112,500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60,000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2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None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None</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21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Each Independent Director receives an annual payment of $90,000 for services performed on behalf of us as a director. The Independent Directors also receive $2,500 plus reimbursement of reasonable out-of-pocket expenses incurred in connection with attending each board of directors meeting and receive $1,000 plus reimbursement of reasonable out-of-pocket expenses incurred in connection with attending each committee meeting (unless combined with a board of directors meeting). In addition, each Co-Chairman of the Audit Committee receives an annual fee of $12,500 and each Co-Chairman of any other committee receives an annual fee of $2,500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NAV or the market price at the time of payment. No compensation is expected to be paid to directors who are “interested persons” (as defined in the 1940 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7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8"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September 30, 2013, our portfolio managers also managed investments on behalf of the following entity:</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Gross Assets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vMerge w:val="continue"/>
          </w:tcPr>
          <w:p>
            <w:pPr>
              <w:spacing w:after="0"/>
              <w:rPr>
                <w:sz w:val="20"/>
                <w:szCs w:val="20"/>
                <w:color w:val="auto"/>
              </w:rPr>
            </w:pPr>
          </w:p>
        </w:tc>
        <w:tc>
          <w:tcPr>
            <w:tcW w:w="2600" w:type="dxa"/>
            <w:vAlign w:val="bottom"/>
            <w:gridSpan w:val="3"/>
          </w:tcPr>
          <w:p>
            <w:pPr>
              <w:ind w:left="340"/>
              <w:spacing w:after="0"/>
              <w:rPr>
                <w:sz w:val="20"/>
                <w:szCs w:val="20"/>
                <w:color w:val="auto"/>
              </w:rPr>
            </w:pPr>
            <w:r>
              <w:rPr>
                <w:rFonts w:ascii="Arial" w:cs="Arial" w:eastAsia="Arial" w:hAnsi="Arial"/>
                <w:sz w:val="18"/>
                <w:szCs w:val="18"/>
                <w:b w:val="1"/>
                <w:bCs w:val="1"/>
                <w:color w:val="auto"/>
              </w:rPr>
              <w:t>Entity</w:t>
            </w:r>
          </w:p>
        </w:tc>
        <w:tc>
          <w:tcPr>
            <w:tcW w:w="3180" w:type="dxa"/>
            <w:vAlign w:val="bottom"/>
          </w:tcPr>
          <w:p>
            <w:pPr>
              <w:spacing w:after="0"/>
              <w:rPr>
                <w:sz w:val="20"/>
                <w:szCs w:val="20"/>
                <w:color w:val="auto"/>
              </w:rPr>
            </w:pPr>
            <w:r>
              <w:rPr>
                <w:rFonts w:ascii="Arial" w:cs="Arial" w:eastAsia="Arial" w:hAnsi="Arial"/>
                <w:sz w:val="18"/>
                <w:szCs w:val="18"/>
                <w:b w:val="1"/>
                <w:bCs w:val="1"/>
                <w:color w:val="auto"/>
              </w:rPr>
              <w:t>Investment Focus</w:t>
            </w:r>
          </w:p>
        </w:tc>
        <w:tc>
          <w:tcPr>
            <w:tcW w:w="1720" w:type="dxa"/>
            <w:vAlign w:val="bottom"/>
            <w:gridSpan w:val="2"/>
          </w:tcPr>
          <w:p>
            <w:pPr>
              <w:ind w:left="340"/>
              <w:spacing w:after="0"/>
              <w:rPr>
                <w:sz w:val="20"/>
                <w:szCs w:val="20"/>
                <w:color w:val="auto"/>
              </w:rPr>
            </w:pPr>
            <w:r>
              <w:rPr>
                <w:rFonts w:ascii="Arial" w:cs="Arial" w:eastAsia="Arial" w:hAnsi="Arial"/>
                <w:sz w:val="18"/>
                <w:szCs w:val="18"/>
                <w:b w:val="1"/>
                <w:bCs w:val="1"/>
                <w:color w:val="auto"/>
              </w:rPr>
              <w:t>($ in millions)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PennantPark Floating Rate</w:t>
            </w:r>
          </w:p>
        </w:tc>
        <w:tc>
          <w:tcPr>
            <w:tcW w:w="34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Ltd.</w:t>
            </w: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Business development</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Primarily floating rate loans, with an</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company</w:t>
            </w: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emphasis on senior secured loans, in</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middle-market leveraged</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companies.</w:t>
            </w:r>
          </w:p>
        </w:tc>
        <w:tc>
          <w:tcPr>
            <w:tcW w:w="3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line="201" w:lineRule="exact"/>
              <w:rPr>
                <w:sz w:val="20"/>
                <w:szCs w:val="20"/>
                <w:color w:val="auto"/>
              </w:rPr>
            </w:pPr>
            <w:r>
              <w:rPr>
                <w:rFonts w:ascii="Arial" w:cs="Arial" w:eastAsia="Arial" w:hAnsi="Arial"/>
                <w:sz w:val="18"/>
                <w:szCs w:val="18"/>
                <w:color w:val="auto"/>
              </w:rPr>
              <w:t>Other Managed Fund</w:t>
            </w:r>
          </w:p>
        </w:tc>
        <w:tc>
          <w:tcPr>
            <w:tcW w:w="26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Private Investment</w:t>
            </w: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Other credit opportunities</w:t>
            </w:r>
          </w:p>
        </w:tc>
        <w:tc>
          <w:tcPr>
            <w:tcW w:w="172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p>
        </w:tc>
        <w:tc>
          <w:tcPr>
            <w:tcW w:w="2600" w:type="dxa"/>
            <w:vAlign w:val="bottom"/>
            <w:gridSpan w:val="3"/>
          </w:tcPr>
          <w:p>
            <w:pPr>
              <w:ind w:left="340"/>
              <w:spacing w:after="0"/>
              <w:rPr>
                <w:sz w:val="20"/>
                <w:szCs w:val="20"/>
                <w:color w:val="auto"/>
              </w:rPr>
            </w:pPr>
            <w:r>
              <w:rPr>
                <w:rFonts w:ascii="Arial" w:cs="Arial" w:eastAsia="Arial" w:hAnsi="Arial"/>
                <w:sz w:val="18"/>
                <w:szCs w:val="18"/>
                <w:color w:val="auto"/>
              </w:rPr>
              <w:t>Fund</w:t>
            </w:r>
          </w:p>
        </w:tc>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of December 11, 2013, to our knowledge, no person would be deemed to “control” us, as such term is defined in the 1940 Act. Our directors consist of an interested director and Independent Directors.</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The following table sets forth, as of December 11,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of Common</w:t>
            </w:r>
          </w:p>
        </w:tc>
        <w:tc>
          <w:tcPr>
            <w:tcW w:w="0" w:type="dxa"/>
            <w:vAlign w:val="bottom"/>
          </w:tcPr>
          <w:p>
            <w:pPr>
              <w:spacing w:after="0"/>
              <w:rPr>
                <w:sz w:val="1"/>
                <w:szCs w:val="1"/>
                <w:color w:val="auto"/>
              </w:rPr>
            </w:pPr>
          </w:p>
        </w:tc>
      </w:tr>
      <w:tr>
        <w:trPr>
          <w:trHeight w:val="216"/>
        </w:trPr>
        <w:tc>
          <w:tcPr>
            <w:tcW w:w="6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5"/>
                <w:szCs w:val="15"/>
                <w:b w:val="1"/>
                <w:bCs w:val="1"/>
                <w:color w:val="auto"/>
              </w:rPr>
              <w:t>(1)</w:t>
            </w:r>
          </w:p>
        </w:tc>
        <w:tc>
          <w:tcPr>
            <w:tcW w:w="25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5"/>
                <w:szCs w:val="15"/>
                <w:b w:val="1"/>
                <w:bCs w:val="1"/>
                <w:color w:val="auto"/>
              </w:rPr>
              <w:t>(4)</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Shares</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c>
          <w:tcPr>
            <w:tcW w:w="0" w:type="dxa"/>
            <w:vAlign w:val="bottom"/>
          </w:tcPr>
          <w:p>
            <w:pPr>
              <w:spacing w:after="0"/>
              <w:rPr>
                <w:sz w:val="1"/>
                <w:szCs w:val="1"/>
                <w:color w:val="auto"/>
              </w:rPr>
            </w:pPr>
          </w:p>
        </w:tc>
      </w:tr>
      <w:tr>
        <w:trPr>
          <w:trHeight w:val="234"/>
        </w:trPr>
        <w:tc>
          <w:tcPr>
            <w:tcW w:w="6520" w:type="dxa"/>
            <w:vAlign w:val="bottom"/>
            <w:gridSpan w:val="3"/>
            <w:vMerge w:val="continue"/>
          </w:tcPr>
          <w:p>
            <w:pPr>
              <w:spacing w:after="0"/>
              <w:rPr>
                <w:sz w:val="20"/>
                <w:szCs w:val="20"/>
                <w:color w:val="auto"/>
              </w:rPr>
            </w:pPr>
          </w:p>
        </w:tc>
        <w:tc>
          <w:tcPr>
            <w:tcW w:w="2540" w:type="dxa"/>
            <w:vAlign w:val="bottom"/>
            <w:gridSpan w:val="2"/>
            <w:vMerge w:val="continue"/>
          </w:tcPr>
          <w:p>
            <w:pPr>
              <w:spacing w:after="0"/>
              <w:rPr>
                <w:sz w:val="20"/>
                <w:szCs w:val="20"/>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Owned</w:t>
            </w: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580" w:type="dxa"/>
            <w:vAlign w:val="bottom"/>
            <w:tcBorders>
              <w:top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1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2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5"/>
                <w:szCs w:val="15"/>
                <w:color w:val="auto"/>
              </w:rPr>
              <w:t>(2)</w:t>
            </w:r>
          </w:p>
        </w:tc>
        <w:tc>
          <w:tcPr>
            <w:tcW w:w="254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88,971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Marshall Brozost</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13,540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ind w:left="340"/>
              <w:spacing w:after="0"/>
              <w:rPr>
                <w:sz w:val="20"/>
                <w:szCs w:val="20"/>
                <w:color w:val="auto"/>
              </w:rPr>
            </w:pPr>
            <w:r>
              <w:rPr>
                <w:rFonts w:ascii="Arial" w:cs="Arial" w:eastAsia="Arial" w:hAnsi="Arial"/>
                <w:sz w:val="18"/>
                <w:szCs w:val="18"/>
                <w:color w:val="auto"/>
              </w:rPr>
              <w:t>Jeffrey Flug</w:t>
            </w:r>
          </w:p>
        </w:tc>
        <w:tc>
          <w:tcPr>
            <w:tcW w:w="254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227,288</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Samuel L. Katz</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113,482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537,323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2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Aviv Efrat</w:t>
            </w: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44,790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52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1,025,394</w:t>
            </w:r>
          </w:p>
        </w:tc>
        <w:tc>
          <w:tcPr>
            <w:tcW w:w="5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15th Floor, New York, New York 10022.</w:t>
      </w:r>
    </w:p>
    <w:p>
      <w:pPr>
        <w:spacing w:after="0" w:line="23"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Bernstein is the President of JAM Investments, LLC and may therefore be deemed to own beneficially the 68,236 shares of PNNT held by JAM Investments, LLC.</w:t>
      </w:r>
    </w:p>
    <w:p>
      <w:pPr>
        <w:ind w:left="460" w:right="240" w:hanging="452"/>
        <w:spacing w:after="0" w:line="250"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Mr. Penn is the Managing Member of the Investment Adviser and may therefore be deemed to own beneficially the 342,611 shares of PNNT held by the Investment Adviser.</w:t>
      </w: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sz w:val="20"/>
          <w:szCs w:val="20"/>
          <w:color w:val="auto"/>
        </w:rPr>
      </w:pPr>
    </w:p>
    <w:p>
      <w:pPr>
        <w:ind w:left="460" w:hanging="407"/>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6, 2013. Information as to the beneficial ownerships is based on information furnished to us by such persons. We are not part of a “family of investment companies,” as that term is defined in the 1940 Act.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760" w:type="dxa"/>
            <w:vAlign w:val="bottom"/>
            <w:gridSpan w:val="5"/>
          </w:tcPr>
          <w:p>
            <w:pPr>
              <w:jc w:val="center"/>
              <w:ind w:left="1130"/>
              <w:spacing w:after="0"/>
              <w:rPr>
                <w:sz w:val="20"/>
                <w:szCs w:val="20"/>
                <w:color w:val="auto"/>
              </w:rPr>
            </w:pPr>
            <w:r>
              <w:rPr>
                <w:rFonts w:ascii="Arial" w:cs="Arial" w:eastAsia="Arial" w:hAnsi="Arial"/>
                <w:sz w:val="18"/>
                <w:szCs w:val="18"/>
                <w:b w:val="1"/>
                <w:bCs w:val="1"/>
                <w:color w:val="auto"/>
                <w:w w:val="90"/>
              </w:rPr>
              <w:t>Dollar Range of the Common Stock of the Companies</w:t>
            </w:r>
            <w:r>
              <w:rPr>
                <w:rFonts w:ascii="Arial" w:cs="Arial" w:eastAsia="Arial" w:hAnsi="Arial"/>
                <w:sz w:val="15"/>
                <w:szCs w:val="15"/>
                <w:b w:val="1"/>
                <w:bCs w:val="1"/>
                <w:color w:val="auto"/>
                <w:w w:val="90"/>
              </w:rPr>
              <w:t>(1)</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24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PennantPark</w:t>
            </w:r>
          </w:p>
        </w:tc>
        <w:tc>
          <w:tcPr>
            <w:tcW w:w="240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PennantPark</w:t>
            </w:r>
          </w:p>
        </w:tc>
        <w:tc>
          <w:tcPr>
            <w:tcW w:w="9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Investment</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Floating Rate</w:t>
            </w:r>
          </w:p>
        </w:tc>
        <w:tc>
          <w:tcPr>
            <w:tcW w:w="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6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Corporation</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Capital Ltd.</w:t>
            </w:r>
          </w:p>
        </w:tc>
        <w:tc>
          <w:tcPr>
            <w:tcW w:w="216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5"/>
                <w:szCs w:val="15"/>
                <w:color w:val="auto"/>
              </w:rPr>
              <w:t>(2)</w:t>
            </w: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Over $1,000,000</w:t>
            </w:r>
          </w:p>
        </w:tc>
        <w:tc>
          <w:tcPr>
            <w:tcW w:w="2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$ 50,001 - $100,000</w:t>
            </w:r>
          </w:p>
        </w:tc>
        <w:tc>
          <w:tcPr>
            <w:tcW w:w="2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Marshall Brozost</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$100,001 - $500,000</w:t>
            </w:r>
          </w:p>
        </w:tc>
        <w:tc>
          <w:tcPr>
            <w:tcW w:w="220" w:type="dxa"/>
            <w:vAlign w:val="bottom"/>
          </w:tcPr>
          <w:p>
            <w:pPr>
              <w:spacing w:after="0"/>
              <w:rPr>
                <w:sz w:val="18"/>
                <w:szCs w:val="18"/>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None</w:t>
            </w:r>
          </w:p>
        </w:tc>
        <w:tc>
          <w:tcPr>
            <w:tcW w:w="2160" w:type="dxa"/>
            <w:vAlign w:val="bottom"/>
            <w:gridSpan w:val="2"/>
          </w:tcPr>
          <w:p>
            <w:pPr>
              <w:jc w:val="right"/>
              <w:ind w:right="170"/>
              <w:spacing w:after="0"/>
              <w:rPr>
                <w:sz w:val="20"/>
                <w:szCs w:val="20"/>
                <w:color w:val="auto"/>
              </w:rPr>
            </w:pPr>
            <w:r>
              <w:rPr>
                <w:rFonts w:ascii="Arial" w:cs="Arial" w:eastAsia="Arial" w:hAnsi="Arial"/>
                <w:sz w:val="18"/>
                <w:szCs w:val="18"/>
                <w:color w:val="auto"/>
              </w:rPr>
              <w:t>$100,001 - $  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Jeffrey Flug</w:t>
            </w:r>
          </w:p>
        </w:tc>
        <w:tc>
          <w:tcPr>
            <w:tcW w:w="24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4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None</w:t>
            </w:r>
          </w:p>
        </w:tc>
        <w:tc>
          <w:tcPr>
            <w:tcW w:w="21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Samuel L. Katz</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180" w:type="dxa"/>
            <w:vAlign w:val="bottom"/>
          </w:tcPr>
          <w:p>
            <w:pPr>
              <w:jc w:val="center"/>
              <w:spacing w:after="0"/>
              <w:rPr>
                <w:sz w:val="20"/>
                <w:szCs w:val="20"/>
                <w:color w:val="auto"/>
              </w:rPr>
            </w:pPr>
            <w:r>
              <w:rPr>
                <w:rFonts w:ascii="Arial" w:cs="Arial" w:eastAsia="Arial" w:hAnsi="Arial"/>
                <w:sz w:val="18"/>
                <w:szCs w:val="18"/>
                <w:color w:val="auto"/>
                <w:w w:val="90"/>
              </w:rPr>
              <w:t>$500,001 - $1,000,000</w:t>
            </w:r>
          </w:p>
        </w:tc>
        <w:tc>
          <w:tcPr>
            <w:tcW w:w="220" w:type="dxa"/>
            <w:vAlign w:val="bottom"/>
          </w:tcPr>
          <w:p>
            <w:pPr>
              <w:spacing w:after="0"/>
              <w:rPr>
                <w:sz w:val="20"/>
                <w:szCs w:val="20"/>
                <w:color w:val="auto"/>
              </w:rPr>
            </w:pP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(3)</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4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Over $1,000,000</w:t>
            </w:r>
          </w:p>
        </w:tc>
        <w:tc>
          <w:tcPr>
            <w:tcW w:w="2160" w:type="dxa"/>
            <w:vAlign w:val="bottom"/>
            <w:gridSpan w:val="2"/>
          </w:tcPr>
          <w:p>
            <w:pPr>
              <w:jc w:val="right"/>
              <w:ind w:right="390"/>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Jose A. Briones</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$500,001 - $1,000,000</w:t>
            </w:r>
          </w:p>
        </w:tc>
        <w:tc>
          <w:tcPr>
            <w:tcW w:w="2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0"/>
              </w:rPr>
              <w:t>-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Salvatore Giannetti III</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 $500,000</w:t>
            </w:r>
          </w:p>
        </w:tc>
        <w:tc>
          <w:tcPr>
            <w:tcW w:w="22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$100,001</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5"/>
              </w:rPr>
              <w:t>- $  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340"/>
              <w:spacing w:after="0"/>
              <w:rPr>
                <w:sz w:val="20"/>
                <w:szCs w:val="20"/>
                <w:color w:val="auto"/>
              </w:rPr>
            </w:pPr>
            <w:r>
              <w:rPr>
                <w:rFonts w:ascii="Arial" w:cs="Arial" w:eastAsia="Arial" w:hAnsi="Arial"/>
                <w:sz w:val="18"/>
                <w:szCs w:val="18"/>
                <w:color w:val="auto"/>
              </w:rPr>
              <w:t>P. Whitridge Williams, Jr.</w:t>
            </w: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$500,001 - $1,000,000</w:t>
            </w:r>
          </w:p>
        </w:tc>
        <w:tc>
          <w:tcPr>
            <w:tcW w:w="2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$100,001 - $ 500,000</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$500,001</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w w:val="90"/>
              </w:rPr>
              <w:t>- $1,000,000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4"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70" w:lineRule="exact"/>
        <w:rPr>
          <w:sz w:val="20"/>
          <w:szCs w:val="20"/>
          <w:color w:val="auto"/>
        </w:rPr>
      </w:pPr>
    </w:p>
    <w:p>
      <w:pPr>
        <w:ind w:left="660" w:hanging="314"/>
        <w:spacing w:after="0"/>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660" w:right="540" w:hanging="314"/>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1" w:lineRule="exact"/>
        <w:rPr>
          <w:rFonts w:ascii="Arial" w:cs="Arial" w:eastAsia="Arial" w:hAnsi="Arial"/>
          <w:sz w:val="18"/>
          <w:szCs w:val="18"/>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base management fee is calculated at an annual rate of 2.00% of our “average adjusted gross assets”, which equal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(see example below),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4"/>
          <w:szCs w:val="14"/>
          <w:color w:val="auto"/>
        </w:rPr>
        <w:t>th</w:t>
      </w:r>
      <w:r>
        <w:rPr>
          <w:rFonts w:ascii="Arial" w:cs="Arial" w:eastAsia="Arial" w:hAnsi="Arial"/>
          <w:sz w:val="17"/>
          <w:szCs w:val="17"/>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March 31, 20XX = $20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March 31, 20XX = $180 million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Average adjusted gross assets as of December 31, 20XX and March 31, 20XX which are the two most recently completed calendar quarter ends, and appropriately adjusted for any share issuances or repurchases during the current calendar quarter = ($150 million + $180 million) / 2 = $165 million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Income does not exceed the hurdle rate of 1.75%, (2) 100% of our Pre-Incentive Fee Net Investment Income the hurdle rate of 1.75%,</w:t>
      </w:r>
    </w:p>
    <w:p>
      <w:pPr>
        <w:spacing w:after="0" w:line="4" w:lineRule="exact"/>
        <w:rPr>
          <w:sz w:val="20"/>
          <w:szCs w:val="20"/>
          <w:color w:val="auto"/>
        </w:rPr>
      </w:pPr>
    </w:p>
    <w:p>
      <w:pPr>
        <w:ind w:right="100" w:firstLine="8"/>
        <w:spacing w:after="0" w:line="287" w:lineRule="auto"/>
        <w:tabs>
          <w:tab w:leader="none" w:pos="2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100% of our 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the Pre-Incentive Fee Net Investment Income thereafter is allocated to our Investment Adviser. These calculations are prorated for any share issuances or repurchases, if applicable. For the fiscal years ended September 30, 2013, 2012 and 2011, the Investment Adviser earned $16.8 million, $14.2 million and $13.2 million, respectively, in net investment income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graphical representation of the calculation of quarterly incentive fee based on Pre-Incentive Fee Net Investment Income: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150495</wp:posOffset>
            </wp:positionV>
            <wp:extent cx="2573020" cy="5060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730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2013, 2012 and 2011 the Investment Adviser did not earn an incentive fee on capital gains as calculated under the Investment Management Agreement (as described above).</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therefore resulted in no accrual for capital gains incentive fees under GAAP.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77" w:lineRule="exact"/>
        <w:rPr>
          <w:sz w:val="20"/>
          <w:szCs w:val="20"/>
          <w:color w:val="auto"/>
        </w:rPr>
      </w:pPr>
    </w:p>
    <w:p>
      <w:pPr>
        <w:ind w:left="460" w:right="3720"/>
        <w:spacing w:after="0" w:line="356"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131" w:lineRule="exact"/>
        <w:rPr>
          <w:sz w:val="20"/>
          <w:szCs w:val="20"/>
          <w:color w:val="auto"/>
        </w:rPr>
      </w:pPr>
    </w:p>
    <w:p>
      <w:pPr>
        <w:ind w:left="460"/>
        <w:spacing w:after="0"/>
        <w:tabs>
          <w:tab w:leader="none" w:pos="19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50" w:lineRule="exact"/>
        <w:rPr>
          <w:sz w:val="20"/>
          <w:szCs w:val="20"/>
          <w:color w:val="auto"/>
        </w:rPr>
      </w:pPr>
    </w:p>
    <w:p>
      <w:pPr>
        <w:ind w:left="2160" w:hanging="153"/>
        <w:spacing w:after="0"/>
        <w:tabs>
          <w:tab w:leader="none" w:pos="2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2.00% - 1.75%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0.25%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100% X 0.25%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0.25%</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5"/>
          <w:szCs w:val="15"/>
          <w:color w:val="auto"/>
        </w:rPr>
        <w:t>(1)</w:t>
      </w:r>
      <w:r>
        <w:rPr>
          <w:rFonts w:ascii="Arial" w:cs="Arial" w:eastAsia="Arial" w:hAnsi="Arial"/>
          <w:sz w:val="18"/>
          <w:szCs w:val="18"/>
          <w:color w:val="auto"/>
        </w:rPr>
        <w:t xml:space="preserve"> = 1.75%</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5"/>
          <w:szCs w:val="15"/>
          <w:color w:val="auto"/>
        </w:rPr>
        <w:t>(2)</w:t>
      </w:r>
      <w:r>
        <w:rPr>
          <w:rFonts w:ascii="Arial" w:cs="Arial" w:eastAsia="Arial" w:hAnsi="Arial"/>
          <w:sz w:val="18"/>
          <w:szCs w:val="18"/>
          <w:color w:val="auto"/>
        </w:rPr>
        <w:t xml:space="preserve"> = 0.50%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2.30%</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580" w:type="dxa"/>
            <w:vAlign w:val="bottom"/>
          </w:tcPr>
          <w:p>
            <w:pPr>
              <w:ind w:left="300"/>
              <w:spacing w:after="0"/>
              <w:rPr>
                <w:sz w:val="20"/>
                <w:szCs w:val="20"/>
                <w:color w:val="auto"/>
              </w:rPr>
            </w:pPr>
            <w:r>
              <w:rPr>
                <w:rFonts w:ascii="Arial" w:cs="Arial" w:eastAsia="Arial" w:hAnsi="Arial"/>
                <w:sz w:val="18"/>
                <w:szCs w:val="18"/>
                <w:color w:val="auto"/>
              </w:rPr>
              <w:t>= 20% x Pre-Incentive Fee Net Investment Income, subject to “catch-up”</w:t>
            </w:r>
          </w:p>
        </w:tc>
      </w:tr>
      <w:tr>
        <w:trPr>
          <w:trHeight w:val="270"/>
        </w:trPr>
        <w:tc>
          <w:tcPr>
            <w:tcW w:w="1240" w:type="dxa"/>
            <w:vAlign w:val="bottom"/>
          </w:tcPr>
          <w:p>
            <w:pPr>
              <w:spacing w:after="0"/>
              <w:rPr>
                <w:sz w:val="20"/>
                <w:szCs w:val="20"/>
                <w:color w:val="auto"/>
              </w:rPr>
            </w:pPr>
            <w:r>
              <w:rPr>
                <w:rFonts w:ascii="Arial" w:cs="Arial" w:eastAsia="Arial" w:hAnsi="Arial"/>
                <w:sz w:val="18"/>
                <w:szCs w:val="18"/>
                <w:color w:val="auto"/>
              </w:rPr>
              <w:t>Incentive fee</w:t>
            </w:r>
          </w:p>
        </w:tc>
        <w:tc>
          <w:tcPr>
            <w:tcW w:w="6580" w:type="dxa"/>
            <w:vAlign w:val="bottom"/>
          </w:tcPr>
          <w:p>
            <w:pPr>
              <w:ind w:left="300"/>
              <w:spacing w:after="0"/>
              <w:rPr>
                <w:sz w:val="20"/>
                <w:szCs w:val="20"/>
                <w:color w:val="auto"/>
              </w:rPr>
            </w:pPr>
            <w:r>
              <w:rPr>
                <w:rFonts w:ascii="Arial" w:cs="Arial" w:eastAsia="Arial" w:hAnsi="Arial"/>
                <w:sz w:val="18"/>
                <w:szCs w:val="18"/>
                <w:color w:val="auto"/>
                <w:w w:val="92"/>
              </w:rPr>
              <w:t>= 100% x “catch-up” + (20% x (Pre-Incentive Fee Net Investment Income - 2.1875%))</w:t>
            </w:r>
          </w:p>
        </w:tc>
      </w:tr>
      <w:tr>
        <w:trPr>
          <w:trHeight w:val="271"/>
        </w:trPr>
        <w:tc>
          <w:tcPr>
            <w:tcW w:w="1240" w:type="dxa"/>
            <w:vAlign w:val="bottom"/>
          </w:tcPr>
          <w:p>
            <w:pPr>
              <w:spacing w:after="0"/>
              <w:rPr>
                <w:sz w:val="20"/>
                <w:szCs w:val="20"/>
                <w:color w:val="auto"/>
              </w:rPr>
            </w:pPr>
            <w:r>
              <w:rPr>
                <w:rFonts w:ascii="Arial" w:cs="Arial" w:eastAsia="Arial" w:hAnsi="Arial"/>
                <w:sz w:val="18"/>
                <w:szCs w:val="18"/>
                <w:color w:val="auto"/>
              </w:rPr>
              <w:t>Catch-up</w:t>
            </w:r>
          </w:p>
        </w:tc>
        <w:tc>
          <w:tcPr>
            <w:tcW w:w="6580" w:type="dxa"/>
            <w:vAlign w:val="bottom"/>
          </w:tcPr>
          <w:p>
            <w:pPr>
              <w:ind w:left="300"/>
              <w:spacing w:after="0"/>
              <w:rPr>
                <w:sz w:val="20"/>
                <w:szCs w:val="20"/>
                <w:color w:val="auto"/>
              </w:rPr>
            </w:pPr>
            <w:r>
              <w:rPr>
                <w:rFonts w:ascii="Arial" w:cs="Arial" w:eastAsia="Arial" w:hAnsi="Arial"/>
                <w:sz w:val="18"/>
                <w:szCs w:val="18"/>
                <w:color w:val="auto"/>
              </w:rPr>
              <w:t>= 2.1875% - 1.75%</w:t>
            </w:r>
          </w:p>
        </w:tc>
      </w:tr>
    </w:tbl>
    <w:p>
      <w:pPr>
        <w:spacing w:after="0" w:line="40" w:lineRule="exact"/>
        <w:rPr>
          <w:sz w:val="20"/>
          <w:szCs w:val="20"/>
          <w:color w:val="auto"/>
        </w:rPr>
      </w:pPr>
    </w:p>
    <w:p>
      <w:pPr>
        <w:ind w:left="2160" w:hanging="153"/>
        <w:spacing w:after="0"/>
        <w:tabs>
          <w:tab w:leader="none" w:pos="2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0.4375%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63" w:lineRule="exact"/>
        <w:rPr>
          <w:rFonts w:ascii="Arial" w:cs="Arial" w:eastAsia="Arial" w:hAnsi="Arial"/>
          <w:sz w:val="18"/>
          <w:szCs w:val="18"/>
          <w:color w:val="auto"/>
        </w:rPr>
      </w:pPr>
    </w:p>
    <w:p>
      <w:pPr>
        <w:ind w:left="2160" w:hanging="153"/>
        <w:spacing w:after="0"/>
        <w:tabs>
          <w:tab w:leader="none" w:pos="2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0.46%</w:t>
      </w:r>
    </w:p>
    <w:p>
      <w:pPr>
        <w:spacing w:after="0" w:line="198"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Represents 2.0% annualized base management fee.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 no net realized capital gains or losses</w:t>
      </w:r>
    </w:p>
    <w:p>
      <w:pPr>
        <w:spacing w:after="0" w:line="23"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pacing w:after="0" w:line="33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Year 1 incentive fee</w:t>
            </w:r>
          </w:p>
        </w:tc>
        <w:tc>
          <w:tcPr>
            <w:tcW w:w="1780" w:type="dxa"/>
            <w:vAlign w:val="bottom"/>
          </w:tcPr>
          <w:p>
            <w:pPr>
              <w:ind w:left="400"/>
              <w:spacing w:after="0"/>
              <w:rPr>
                <w:sz w:val="20"/>
                <w:szCs w:val="20"/>
                <w:color w:val="auto"/>
              </w:rPr>
            </w:pPr>
            <w:r>
              <w:rPr>
                <w:rFonts w:ascii="Arial" w:cs="Arial" w:eastAsia="Arial" w:hAnsi="Arial"/>
                <w:sz w:val="18"/>
                <w:szCs w:val="18"/>
                <w:color w:val="auto"/>
              </w:rPr>
              <w:t>= 20% x (0)</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0</w:t>
            </w:r>
          </w:p>
        </w:tc>
        <w:tc>
          <w:tcPr>
            <w:tcW w:w="0" w:type="dxa"/>
            <w:vAlign w:val="bottom"/>
          </w:tcPr>
          <w:p>
            <w:pPr>
              <w:spacing w:after="0"/>
              <w:rPr>
                <w:sz w:val="1"/>
                <w:szCs w:val="1"/>
                <w:color w:val="auto"/>
              </w:rPr>
            </w:pPr>
          </w:p>
        </w:tc>
      </w:tr>
      <w:tr>
        <w:trPr>
          <w:trHeight w:val="270"/>
        </w:trPr>
        <w:tc>
          <w:tcPr>
            <w:tcW w:w="1840" w:type="dxa"/>
            <w:vAlign w:val="bottom"/>
            <w:vMerge w:val="restart"/>
          </w:tcPr>
          <w:p>
            <w:pPr>
              <w:spacing w:after="0"/>
              <w:rPr>
                <w:sz w:val="20"/>
                <w:szCs w:val="20"/>
                <w:color w:val="auto"/>
              </w:rPr>
            </w:pPr>
            <w:r>
              <w:rPr>
                <w:rFonts w:ascii="Arial" w:cs="Arial" w:eastAsia="Arial" w:hAnsi="Arial"/>
                <w:sz w:val="18"/>
                <w:szCs w:val="18"/>
                <w:color w:val="auto"/>
              </w:rPr>
              <w:t>Year 2 incentive fee</w:t>
            </w:r>
          </w:p>
        </w:tc>
        <w:tc>
          <w:tcPr>
            <w:tcW w:w="1780" w:type="dxa"/>
            <w:vAlign w:val="bottom"/>
          </w:tcPr>
          <w:p>
            <w:pPr>
              <w:ind w:left="400"/>
              <w:spacing w:after="0"/>
              <w:rPr>
                <w:sz w:val="20"/>
                <w:szCs w:val="20"/>
                <w:color w:val="auto"/>
              </w:rPr>
            </w:pPr>
            <w:r>
              <w:rPr>
                <w:rFonts w:ascii="Arial" w:cs="Arial" w:eastAsia="Arial" w:hAnsi="Arial"/>
                <w:sz w:val="18"/>
                <w:szCs w:val="18"/>
                <w:color w:val="auto"/>
                <w:w w:val="96"/>
              </w:rPr>
              <w:t>= no incentive fee</w:t>
            </w:r>
          </w:p>
        </w:tc>
        <w:tc>
          <w:tcPr>
            <w:tcW w:w="0" w:type="dxa"/>
            <w:vAlign w:val="bottom"/>
          </w:tcPr>
          <w:p>
            <w:pPr>
              <w:spacing w:after="0"/>
              <w:rPr>
                <w:sz w:val="1"/>
                <w:szCs w:val="1"/>
                <w:color w:val="auto"/>
              </w:rPr>
            </w:pPr>
          </w:p>
        </w:tc>
      </w:tr>
      <w:tr>
        <w:trPr>
          <w:trHeight w:val="270"/>
        </w:trPr>
        <w:tc>
          <w:tcPr>
            <w:tcW w:w="1840" w:type="dxa"/>
            <w:vAlign w:val="bottom"/>
            <w:vMerge w:val="continue"/>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w w:val="93"/>
              </w:rPr>
              <w:t>= 20% x (6% -1%)</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20% x 5%</w:t>
            </w:r>
          </w:p>
        </w:tc>
        <w:tc>
          <w:tcPr>
            <w:tcW w:w="0" w:type="dxa"/>
            <w:vAlign w:val="bottom"/>
          </w:tcPr>
          <w:p>
            <w:pPr>
              <w:spacing w:after="0"/>
              <w:rPr>
                <w:sz w:val="1"/>
                <w:szCs w:val="1"/>
                <w:color w:val="auto"/>
              </w:rPr>
            </w:pPr>
          </w:p>
        </w:tc>
      </w:tr>
      <w:tr>
        <w:trPr>
          <w:trHeight w:val="270"/>
        </w:trPr>
        <w:tc>
          <w:tcPr>
            <w:tcW w:w="1840" w:type="dxa"/>
            <w:vAlign w:val="bottom"/>
          </w:tcPr>
          <w:p>
            <w:pPr>
              <w:spacing w:after="0"/>
              <w:rPr>
                <w:sz w:val="23"/>
                <w:szCs w:val="23"/>
                <w:color w:val="auto"/>
              </w:rPr>
            </w:pPr>
          </w:p>
        </w:tc>
        <w:tc>
          <w:tcPr>
            <w:tcW w:w="1780" w:type="dxa"/>
            <w:vAlign w:val="bottom"/>
          </w:tcPr>
          <w:p>
            <w:pPr>
              <w:ind w:left="400"/>
              <w:spacing w:after="0"/>
              <w:rPr>
                <w:sz w:val="20"/>
                <w:szCs w:val="20"/>
                <w:color w:val="auto"/>
              </w:rPr>
            </w:pPr>
            <w:r>
              <w:rPr>
                <w:rFonts w:ascii="Arial" w:cs="Arial" w:eastAsia="Arial" w:hAnsi="Arial"/>
                <w:sz w:val="18"/>
                <w:szCs w:val="18"/>
                <w:color w:val="auto"/>
              </w:rPr>
              <w:t>= 1%</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PennantPark Investment Advisers is a registered investment adviser under the Investment Advisers Act of 1940, as amended. The principal executive office of PennantPark Investment Advisers is located at 590 Madison Avenue, 15th Floor, New York, NY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Investment Management Agreement was re-approved by our board of directors, including a majority of our directors who are not interested persons of us or the Investment Adviser, in February 2013. Unless terminated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earlier as described below, our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 The Investment Management Agreement will automatically terminate in the event of its assignment.</w:t>
      </w:r>
    </w:p>
    <w:p>
      <w:pPr>
        <w:spacing w:after="0" w:line="183"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entered into an agreement, or the Administration Agreement, with the Administrator, under which the Administrator furnishes us with office facilities, equipment and clerical, bookkeeping and record keeping services at such facilities. Under this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NAV,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our SBIC Funds under their administration agreements.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it incurred on behalf of the Administrator for the services described above.</w:t>
      </w:r>
    </w:p>
    <w:p>
      <w:pPr>
        <w:spacing w:after="0" w:line="18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PennantPark Investment entered into an administration agreement with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amount based upon SPH’s allocable portion of the Administrator’s overhead in performing its obligations under the SPH Administration Agreement, including rent and the allocable portion of the cost of compensation and related expenses of our Chief Financial Officer and respective staff. For the fiscal years ended September 30, 2013, 2012 and 2011, PennantPark Investment was reimbursed $0.4 million, $0.7 million and $0.5 million, respectively, from SPH, including expenses it incurred on behalf of the Administrator for the services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2013.</w:t>
      </w:r>
    </w:p>
    <w:p>
      <w:pPr>
        <w:spacing w:after="0" w:line="6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w:t>
      </w:r>
    </w:p>
    <w:p>
      <w:pPr>
        <w:spacing w:after="0" w:line="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Administration Agreement may not be assigned by either party without the consent of the other party. The Administration Agreement may be terminated by either party upon not more than 60 days’ written notice to the other.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 See Notes 2 and 5 to the Consolidated Financial Statements.</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2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92" w:lineRule="exact"/>
        <w:rPr>
          <w:rFonts w:ascii="Arial" w:cs="Arial" w:eastAsia="Arial" w:hAnsi="Arial"/>
          <w:sz w:val="18"/>
          <w:szCs w:val="18"/>
          <w:color w:val="auto"/>
        </w:rPr>
      </w:pPr>
    </w:p>
    <w:p>
      <w:pPr>
        <w:ind w:left="900" w:right="400" w:hanging="446"/>
        <w:spacing w:after="0" w:line="286" w:lineRule="auto"/>
        <w:tabs>
          <w:tab w:leader="none" w:pos="9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1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In connection with each offering of shares of our common stock, our board of directors or a committee thereof is required to make the determination that we are not selling shares of our common stock at a price below NAV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77"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900" w:right="200" w:hanging="325"/>
        <w:spacing w:after="0" w:line="286" w:lineRule="auto"/>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30" w:lineRule="exact"/>
        <w:rPr>
          <w:rFonts w:ascii="Arial" w:cs="Arial" w:eastAsia="Arial" w:hAnsi="Arial"/>
          <w:sz w:val="17"/>
          <w:szCs w:val="17"/>
          <w:color w:val="auto"/>
        </w:rPr>
      </w:pPr>
    </w:p>
    <w:p>
      <w:pPr>
        <w:ind w:left="900" w:right="62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Importantly, this determination will not necessarily require that we calculate the NAV of our common stock in connection with each offering of shares of our common stock, but instead it will involve the determination by our board of directors or a committee thereof that we are not selling shares of our common stock at a price below the then current NAV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8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may, however, subject to the requirements of the 1940 Act, issue rights to acquire our common stock at a price below the current NAV of the common stock if our board of directors determines that such sale is in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6"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459" w:right="2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6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1-800-278-4353.</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2013,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 last reported closing market price of our common stock on December 6, 2013 was $11.93 per share. As of September 30, 2013, we had 11 stockholders of record.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September 30, 2013: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0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Amount</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Amount Held by</w:t>
            </w: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1600" w:type="dxa"/>
            <w:vAlign w:val="bottom"/>
            <w:gridSpan w:val="2"/>
            <w:vMerge w:val="continue"/>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Authorized</w:t>
            </w: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Account</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par value $0.001 per share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66,499,327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2014, 2015, and 2016,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2"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4" w:lineRule="exact"/>
        <w:rPr>
          <w:sz w:val="20"/>
          <w:szCs w:val="20"/>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8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62"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60" w:right="2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70"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900" w:right="220" w:hanging="325"/>
        <w:spacing w:after="0" w:line="342"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7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660" w:hanging="31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660" w:right="140" w:hanging="314"/>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660" w:right="560" w:hanging="314"/>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660" w:right="480" w:hanging="314"/>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provisions of the warrants and that do not materially and adversely affect the interests of the holders of the warrants.</w:t>
      </w:r>
    </w:p>
    <w:p>
      <w:pPr>
        <w:spacing w:after="0" w:line="225"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For the fiscal year ended September 30, 2013, we issued $71.3 million in aggregate principal amount of 2025 Notes for net proceeds of $68.8 million after underwriting discounts and offering costs. Interest on the 2025 Notes is paid quarterly on February 1, May 1, August 1 and November 1, at a rate of</w:t>
      </w:r>
    </w:p>
    <w:p>
      <w:pPr>
        <w:spacing w:after="0" w:line="254" w:lineRule="auto"/>
        <w:rPr>
          <w:sz w:val="20"/>
          <w:szCs w:val="20"/>
          <w:color w:val="auto"/>
        </w:rPr>
      </w:pPr>
      <w:r>
        <w:rPr>
          <w:rFonts w:ascii="Arial" w:cs="Arial" w:eastAsia="Arial" w:hAnsi="Arial"/>
          <w:sz w:val="18"/>
          <w:szCs w:val="18"/>
          <w:color w:val="auto"/>
        </w:rPr>
        <w:t>6.25% per year, commencing on May 1, 2013. The 2025 Notes mature on February 1, 2025. We may redeem the 2025 Notes in whole or in part at any time or from time to time on or after February 1, 2016. The 2025 Notes are our general, unsecured obligations and rank equal in right of payment with all of our existing and future senior unsecured indebtedness. The 2025 Notes are quoted on the NYSE under the ticker symbol “PNTA.” The last reported closing market price of the 2025 Notes on December 6, 2013 was $23.93 per $25 of par.</w:t>
      </w:r>
    </w:p>
    <w:p>
      <w:pPr>
        <w:spacing w:after="0" w:line="1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80" w:hanging="325"/>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special federal income tax implications, including, if applicable, federal income tax considerations relating to original issue discount;</w:t>
      </w:r>
    </w:p>
    <w:p>
      <w:pPr>
        <w:spacing w:after="0" w:line="142" w:lineRule="exact"/>
        <w:rPr>
          <w:rFonts w:ascii="Arial" w:cs="Arial" w:eastAsia="Arial" w:hAnsi="Arial"/>
          <w:sz w:val="17"/>
          <w:szCs w:val="17"/>
          <w:color w:val="auto"/>
        </w:rPr>
      </w:pPr>
    </w:p>
    <w:p>
      <w:pPr>
        <w:ind w:left="900" w:right="440" w:hanging="325"/>
        <w:spacing w:after="0" w:line="342" w:lineRule="auto"/>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40"/>
          </w:cols>
          <w:pgMar w:left="240" w:top="460" w:right="3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54"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jc w:val="both"/>
        <w:ind w:right="40" w:firstLine="456"/>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8"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60" w:right="2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00" w:right="36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5" w:lineRule="exact"/>
        <w:rPr>
          <w:rFonts w:ascii="Arial" w:cs="Arial" w:eastAsia="Arial" w:hAnsi="Arial"/>
          <w:sz w:val="18"/>
          <w:szCs w:val="18"/>
          <w:color w:val="auto"/>
        </w:rPr>
      </w:pPr>
    </w:p>
    <w:p>
      <w:pPr>
        <w:ind w:left="900" w:right="320" w:hanging="325"/>
        <w:spacing w:after="0" w:line="286" w:lineRule="auto"/>
        <w:tabs>
          <w:tab w:leader="none" w:pos="90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900" w:right="60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900" w:right="120" w:hanging="325"/>
        <w:spacing w:after="0" w:line="34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29" w:lineRule="exact"/>
        <w:rPr>
          <w:rFonts w:ascii="Arial" w:cs="Arial" w:eastAsia="Arial" w:hAnsi="Arial"/>
          <w:sz w:val="16"/>
          <w:szCs w:val="16"/>
          <w:color w:val="auto"/>
        </w:rPr>
      </w:pPr>
    </w:p>
    <w:p>
      <w:pPr>
        <w:ind w:left="900" w:right="180" w:hanging="325"/>
        <w:spacing w:after="0" w:line="259"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660" w:right="120" w:hanging="314"/>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660" w:hanging="314"/>
        <w:spacing w:after="0" w:line="277"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5580" w:right="3200" w:hanging="5005"/>
        <w:spacing w:after="0" w:line="449" w:lineRule="auto"/>
        <w:tabs>
          <w:tab w:leader="none" w:pos="89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118</w:t>
      </w:r>
    </w:p>
    <w:p>
      <w:pPr>
        <w:sectPr>
          <w:pgSz w:w="11900" w:h="16838" w:orient="portrait"/>
          <w:cols w:equalWidth="0" w:num="1">
            <w:col w:w="11360"/>
          </w:cols>
          <w:pgMar w:left="240" w:top="459" w:right="2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342" w:lineRule="auto"/>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660" w:hanging="314"/>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660" w:right="260" w:hanging="314"/>
        <w:spacing w:after="0" w:line="342" w:lineRule="auto"/>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29" w:lineRule="exact"/>
        <w:rPr>
          <w:rFonts w:ascii="Arial" w:cs="Arial" w:eastAsia="Arial" w:hAnsi="Arial"/>
          <w:sz w:val="16"/>
          <w:szCs w:val="16"/>
          <w:color w:val="auto"/>
        </w:rPr>
      </w:pPr>
    </w:p>
    <w:p>
      <w:pPr>
        <w:ind w:left="660" w:hanging="314"/>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660" w:right="380" w:hanging="314"/>
        <w:spacing w:after="0" w:line="277"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right="120"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900" w:right="34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change the place or currency of payment on a debt security (except as otherwise described in the prospectus or prospectus supplement);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60" w:right="2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180" w:hanging="325"/>
        <w:spacing w:after="0" w:line="34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22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firstLine="57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4" w:lineRule="exact"/>
        <w:rPr>
          <w:sz w:val="20"/>
          <w:szCs w:val="20"/>
          <w:color w:val="auto"/>
        </w:rPr>
      </w:pPr>
    </w:p>
    <w:p>
      <w:pPr>
        <w:ind w:left="900" w:right="28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4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28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900" w:right="22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Section 63 requirements are met, the price per share of common stock included in a unit may be below the Company’s then current NAV per share. See “Sales of Common Stock Below Net Asset Value” for more information.</w:t>
      </w:r>
    </w:p>
    <w:p>
      <w:pPr>
        <w:spacing w:after="0" w:line="17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8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7" w:lineRule="exact"/>
        <w:rPr>
          <w:sz w:val="20"/>
          <w:szCs w:val="20"/>
          <w:color w:val="auto"/>
        </w:rPr>
      </w:pPr>
    </w:p>
    <w:p>
      <w:pPr>
        <w:ind w:left="900" w:right="200" w:hanging="446"/>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1480" w:right="80" w:hanging="567"/>
        <w:spacing w:after="0" w:line="342" w:lineRule="auto"/>
        <w:tabs>
          <w:tab w:leader="none" w:pos="148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29" w:lineRule="exact"/>
        <w:rPr>
          <w:rFonts w:ascii="Arial" w:cs="Arial" w:eastAsia="Arial" w:hAnsi="Arial"/>
          <w:sz w:val="16"/>
          <w:szCs w:val="16"/>
          <w:color w:val="auto"/>
        </w:rPr>
      </w:pPr>
    </w:p>
    <w:p>
      <w:pPr>
        <w:ind w:left="1480" w:hanging="567"/>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5"/>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53" w:lineRule="exact"/>
        <w:rPr>
          <w:rFonts w:ascii="Arial" w:cs="Arial" w:eastAsia="Arial" w:hAnsi="Arial"/>
          <w:sz w:val="16"/>
          <w:szCs w:val="16"/>
          <w:color w:val="auto"/>
        </w:rPr>
      </w:pPr>
    </w:p>
    <w:p>
      <w:pPr>
        <w:ind w:left="1920" w:right="80" w:hanging="440"/>
        <w:spacing w:after="0" w:line="264" w:lineRule="auto"/>
        <w:tabs>
          <w:tab w:leader="none" w:pos="192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31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12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121" w:lineRule="exact"/>
        <w:rPr>
          <w:sz w:val="20"/>
          <w:szCs w:val="20"/>
          <w:color w:val="auto"/>
        </w:rPr>
      </w:pPr>
    </w:p>
    <w:p>
      <w:pPr>
        <w:jc w:val="both"/>
        <w:ind w:right="220" w:firstLine="456"/>
        <w:spacing w:after="0" w:line="286"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business development company will affect our ability to, and the way in which we, raise additional capital” for more information.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You may also obtain a copy of our joint code of ethics, after paying a duplicating fee, by electronic request at the following email address: </w:t>
      </w:r>
      <w:r>
        <w:rPr>
          <w:rFonts w:ascii="Arial" w:cs="Arial" w:eastAsia="Arial" w:hAnsi="Arial"/>
          <w:sz w:val="18"/>
          <w:szCs w:val="18"/>
          <w:i w:val="1"/>
          <w:iCs w:val="1"/>
          <w:u w:val="single" w:color="auto"/>
          <w:color w:val="auto"/>
        </w:rPr>
        <w:t>publicinfo@sec.gov</w:t>
      </w:r>
      <w:r>
        <w:rPr>
          <w:rFonts w:ascii="Arial" w:cs="Arial" w:eastAsia="Arial" w:hAnsi="Arial"/>
          <w:sz w:val="18"/>
          <w:szCs w:val="18"/>
          <w:color w:val="auto"/>
        </w:rPr>
        <w:t>, or by writing the SEC’s Public Reference Section, 100 F Street, N.E., Washington, D.C. 20549.</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14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from revealing how we intend to vote on a proposal in order to reduce any attempted influence from interested parties.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3"/>
          <w:szCs w:val="13"/>
          <w:color w:val="auto"/>
        </w:rPr>
        <w:t>th</w:t>
      </w:r>
      <w:r>
        <w:rPr>
          <w:rFonts w:ascii="Arial" w:cs="Arial" w:eastAsia="Arial" w:hAnsi="Arial"/>
          <w:sz w:val="16"/>
          <w:szCs w:val="16"/>
          <w:color w:val="auto"/>
        </w:rPr>
        <w:t xml:space="preserve"> Floor, New York, New York 10022.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4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Our privacy protection policies are available, free of charge,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In addition, the privacy policy is available on the EDGAR Database on the SEC’s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7"/>
          <w:szCs w:val="17"/>
          <w:i w:val="1"/>
          <w:iCs w:val="1"/>
          <w:u w:val="single" w:color="auto"/>
          <w:color w:val="auto"/>
        </w:rPr>
        <w:t>publicinfo@sec.gov</w:t>
      </w:r>
      <w:r>
        <w:rPr>
          <w:rFonts w:ascii="Arial" w:cs="Arial" w:eastAsia="Arial" w:hAnsi="Arial"/>
          <w:sz w:val="17"/>
          <w:szCs w:val="17"/>
          <w:color w:val="auto"/>
        </w:rPr>
        <w:t>, or by writing the SEC’s Public Reference Section, 100 F Street, N.E., Washington, D.C. 20549.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225"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131" w:lineRule="exact"/>
        <w:rPr>
          <w:sz w:val="20"/>
          <w:szCs w:val="20"/>
          <w:color w:val="auto"/>
        </w:rPr>
      </w:pPr>
    </w:p>
    <w:p>
      <w:pPr>
        <w:ind w:left="900" w:right="14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75" w:lineRule="exact"/>
        <w:rPr>
          <w:rFonts w:ascii="Arial" w:cs="Arial" w:eastAsia="Arial" w:hAnsi="Arial"/>
          <w:sz w:val="18"/>
          <w:szCs w:val="18"/>
          <w:color w:val="auto"/>
        </w:rPr>
      </w:pPr>
    </w:p>
    <w:p>
      <w:pPr>
        <w:jc w:val="both"/>
        <w:ind w:left="900" w:right="140" w:hanging="325"/>
        <w:spacing w:after="0" w:line="312"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25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SBIC LP and SBIC II are licensed under the SBA as SBICs under Section 301(c) of the 1958 Act. SBIC LP and SBIC II received their licenses in July 2010 and January 2013, respectively.</w:t>
      </w:r>
    </w:p>
    <w:p>
      <w:pPr>
        <w:spacing w:after="0" w:line="6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7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131" w:lineRule="exact"/>
        <w:rPr>
          <w:sz w:val="20"/>
          <w:szCs w:val="20"/>
          <w:color w:val="auto"/>
        </w:rPr>
      </w:pPr>
    </w:p>
    <w:p>
      <w:pPr>
        <w:ind w:left="900" w:right="36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460" w:right="2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60" w:right="2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480" w:right="140" w:hanging="567"/>
        <w:spacing w:after="0" w:line="264" w:lineRule="auto"/>
        <w:tabs>
          <w:tab w:leader="none" w:pos="14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ind w:left="1480" w:right="180" w:hanging="567"/>
        <w:spacing w:after="0" w:line="286" w:lineRule="auto"/>
        <w:tabs>
          <w:tab w:leader="none" w:pos="148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in the year of accrual, we may be required to make a distribution to our stockholders in order to satisfy the Annual Distribution Requirement, even though we will not have received any corresponding cash amount.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5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a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93"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either 15% or 20% (depending on whether the stockholder’s income exceeds certain threshold amounts) on their net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60" w:right="2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8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Recent legislation requires reporting of adjusted cost basis information for covered securities, which generally include shares of a RIC acquired after January 1, 2012, to the Internal Revenue Service, or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93"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w:t>
      </w:r>
    </w:p>
    <w:p>
      <w:pPr>
        <w:ind w:right="900"/>
        <w:spacing w:after="0" w:line="261" w:lineRule="auto"/>
        <w:rPr>
          <w:sz w:val="20"/>
          <w:szCs w:val="20"/>
          <w:color w:val="auto"/>
        </w:rPr>
      </w:pPr>
      <w:r>
        <w:rPr>
          <w:rFonts w:ascii="Arial" w:cs="Arial" w:eastAsia="Arial" w:hAnsi="Arial"/>
          <w:sz w:val="18"/>
          <w:szCs w:val="18"/>
          <w:color w:val="auto"/>
        </w:rPr>
        <w:t>Stockholders may be requested to provide additional information to the withholding agents to enable the withholding agents to determine whether withholding is required.</w:t>
      </w:r>
    </w:p>
    <w:p>
      <w:pPr>
        <w:spacing w:after="0" w:line="18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2"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ind w:right="540"/>
        <w:spacing w:after="0" w:line="261" w:lineRule="auto"/>
        <w:rPr>
          <w:sz w:val="20"/>
          <w:szCs w:val="20"/>
          <w:color w:val="auto"/>
        </w:rPr>
      </w:pPr>
      <w:r>
        <w:rPr>
          <w:rFonts w:ascii="Arial" w:cs="Arial" w:eastAsia="Arial" w:hAnsi="Arial"/>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81"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15th Avenue, Brooklyn, New York 11219, telephone number: (800) 937-5449. American Stock Transfer &amp; Trust Company, LLC serves as trustee for our 2025 Notes.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248" w:lineRule="exact"/>
        <w:rPr>
          <w:sz w:val="20"/>
          <w:szCs w:val="20"/>
          <w:color w:val="auto"/>
        </w:rPr>
      </w:pPr>
    </w:p>
    <w:p>
      <w:pPr>
        <w:jc w:val="center"/>
        <w:ind w:right="140"/>
        <w:spacing w:after="0" w:line="449" w:lineRule="auto"/>
        <w:rPr>
          <w:sz w:val="20"/>
          <w:szCs w:val="20"/>
          <w:color w:val="auto"/>
        </w:rPr>
      </w:pPr>
      <w:r>
        <w:rPr>
          <w:rFonts w:ascii="Arial" w:cs="Arial" w:eastAsia="Arial" w:hAnsi="Arial"/>
          <w:sz w:val="18"/>
          <w:szCs w:val="18"/>
          <w:color w:val="auto"/>
        </w:rPr>
        <w:t>Our current independent registered public accounting firm, McGladrey LLP, is located at 1185 Avenue of the Americas, New York, NY 10036. 140</w:t>
      </w:r>
    </w:p>
    <w:p>
      <w:pPr>
        <w:sectPr>
          <w:pgSz w:w="11900" w:h="16838" w:orient="portrait"/>
          <w:cols w:equalWidth="0" w:num="1">
            <w:col w:w="11360"/>
          </w:cols>
          <w:pgMar w:left="240" w:top="460" w:right="2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gridSpan w:val="4"/>
            <w:vMerge w:val="restart"/>
          </w:tcPr>
          <w:p>
            <w:pPr>
              <w:spacing w:after="0"/>
              <w:rPr>
                <w:rFonts w:ascii="Arial" w:cs="Arial" w:eastAsia="Arial" w:hAnsi="Arial"/>
                <w:sz w:val="18"/>
                <w:szCs w:val="18"/>
                <w:color w:val="0000EE"/>
                <w:w w:val="91"/>
              </w:rPr>
            </w:pPr>
            <w:hyperlink w:anchor="page235">
              <w:r>
                <w:rPr>
                  <w:rFonts w:ascii="Arial" w:cs="Arial" w:eastAsia="Arial" w:hAnsi="Arial"/>
                  <w:sz w:val="18"/>
                  <w:szCs w:val="18"/>
                  <w:color w:val="0000EE"/>
                  <w:w w:val="91"/>
                </w:rPr>
                <w:t>Management’s Report on Internal Control over Financial Reporting</w:t>
              </w:r>
            </w:hyperlink>
          </w:p>
        </w:tc>
        <w:tc>
          <w:tcPr>
            <w:tcW w:w="6040" w:type="dxa"/>
            <w:vAlign w:val="bottom"/>
            <w:gridSpan w:val="6"/>
            <w:vMerge w:val="restart"/>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880" w:type="dxa"/>
            <w:vAlign w:val="bottom"/>
            <w:tcBorders>
              <w:bottom w:val="single" w:sz="8" w:color="0000EE"/>
            </w:tcBorders>
            <w:gridSpan w:val="4"/>
            <w:vMerge w:val="continue"/>
          </w:tcPr>
          <w:p>
            <w:pPr>
              <w:spacing w:after="0"/>
              <w:rPr>
                <w:sz w:val="13"/>
                <w:szCs w:val="13"/>
                <w:color w:val="auto"/>
              </w:rPr>
            </w:pPr>
          </w:p>
        </w:tc>
        <w:tc>
          <w:tcPr>
            <w:tcW w:w="6040" w:type="dxa"/>
            <w:vAlign w:val="bottom"/>
            <w:gridSpan w:val="6"/>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920" w:type="dxa"/>
            <w:vAlign w:val="bottom"/>
            <w:gridSpan w:val="10"/>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58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37">
              <w:r>
                <w:rPr>
                  <w:rFonts w:ascii="Arial" w:cs="Arial" w:eastAsia="Arial" w:hAnsi="Arial"/>
                  <w:sz w:val="18"/>
                  <w:szCs w:val="18"/>
                  <w:color w:val="0000EE"/>
                  <w:w w:val="92"/>
                </w:rPr>
                <w:t>Report of Independent Registered Public Accounting Firm On Internal Control Over Financial Reporting</w:t>
              </w:r>
            </w:hyperlink>
          </w:p>
        </w:tc>
        <w:tc>
          <w:tcPr>
            <w:tcW w:w="334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1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38">
              <w:r>
                <w:rPr>
                  <w:rFonts w:ascii="Arial" w:cs="Arial" w:eastAsia="Arial" w:hAnsi="Arial"/>
                  <w:sz w:val="18"/>
                  <w:szCs w:val="18"/>
                  <w:color w:val="0000EE"/>
                  <w:w w:val="89"/>
                </w:rPr>
                <w:t>Consolidated Statements of Assets and Liabilities as of September 30, 2013 and 2012</w:t>
              </w:r>
            </w:hyperlink>
          </w:p>
        </w:tc>
        <w:tc>
          <w:tcPr>
            <w:tcW w:w="474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39">
              <w:r>
                <w:rPr>
                  <w:rFonts w:ascii="Arial" w:cs="Arial" w:eastAsia="Arial" w:hAnsi="Arial"/>
                  <w:sz w:val="18"/>
                  <w:szCs w:val="18"/>
                  <w:color w:val="0000EE"/>
                </w:rPr>
                <w:t>Consolidated Statements of Operations for the years ended September 30, 2013, 2012 and 2011</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7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40">
              <w:r>
                <w:rPr>
                  <w:rFonts w:ascii="Arial" w:cs="Arial" w:eastAsia="Arial" w:hAnsi="Arial"/>
                  <w:sz w:val="18"/>
                  <w:szCs w:val="18"/>
                  <w:color w:val="0000EE"/>
                  <w:w w:val="88"/>
                </w:rPr>
                <w:t>Consolidated Statements of Changes in Net Assets for the years ended September 30, 2013, 2012 and 2011</w:t>
              </w:r>
            </w:hyperlink>
          </w:p>
        </w:tc>
        <w:tc>
          <w:tcPr>
            <w:tcW w:w="32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41">
              <w:r>
                <w:rPr>
                  <w:rFonts w:ascii="Arial" w:cs="Arial" w:eastAsia="Arial" w:hAnsi="Arial"/>
                  <w:sz w:val="18"/>
                  <w:szCs w:val="18"/>
                  <w:color w:val="0000EE"/>
                </w:rPr>
                <w:t>Consolidated Statements of Cash Flows for the years ended September 30, 2013, 2012 and 2011</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278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242">
              <w:r>
                <w:rPr>
                  <w:rFonts w:ascii="Arial" w:cs="Arial" w:eastAsia="Arial" w:hAnsi="Arial"/>
                  <w:sz w:val="18"/>
                  <w:szCs w:val="18"/>
                  <w:color w:val="0000EE"/>
                  <w:w w:val="89"/>
                </w:rPr>
                <w:t>Consolidated Schedule of Investments</w:t>
              </w:r>
            </w:hyperlink>
          </w:p>
        </w:tc>
        <w:tc>
          <w:tcPr>
            <w:tcW w:w="4160" w:type="dxa"/>
            <w:vAlign w:val="bottom"/>
            <w:tcBorders>
              <w:top w:val="single" w:sz="8" w:color="0000EE"/>
            </w:tcBorders>
            <w:gridSpan w:val="6"/>
          </w:tcPr>
          <w:p>
            <w:pPr>
              <w:spacing w:after="0"/>
              <w:rPr>
                <w:sz w:val="24"/>
                <w:szCs w:val="24"/>
                <w:color w:val="auto"/>
              </w:rPr>
            </w:pPr>
          </w:p>
        </w:tc>
        <w:tc>
          <w:tcPr>
            <w:tcW w:w="398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04"/>
        </w:trPr>
        <w:tc>
          <w:tcPr>
            <w:tcW w:w="10920" w:type="dxa"/>
            <w:vAlign w:val="bottom"/>
            <w:gridSpan w:val="10"/>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Notes to the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F-18</w:t>
            </w:r>
          </w:p>
        </w:tc>
        <w:tc>
          <w:tcPr>
            <w:tcW w:w="0" w:type="dxa"/>
            <w:vAlign w:val="bottom"/>
          </w:tcPr>
          <w:p>
            <w:pPr>
              <w:spacing w:after="0"/>
              <w:rPr>
                <w:sz w:val="1"/>
                <w:szCs w:val="1"/>
                <w:color w:val="auto"/>
              </w:rPr>
            </w:pPr>
          </w:p>
        </w:tc>
      </w:tr>
      <w:tr>
        <w:trPr>
          <w:trHeight w:val="385"/>
        </w:trPr>
        <w:tc>
          <w:tcPr>
            <w:tcW w:w="27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40" w:type="dxa"/>
            <w:vAlign w:val="bottom"/>
            <w:gridSpan w:val="6"/>
          </w:tcPr>
          <w:p>
            <w:pPr>
              <w:ind w:left="70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2013.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2013,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87"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color w:val="auto"/>
        </w:rPr>
        <w:t>PennantPark Investment’s independent registered public accounting firm that audited the financial statements has issued an audit report on the effectiveness of our internal control over financial reporting as of September 30, 2013. This report appears on page F-4.</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2013 and 2012, and the related consolidated statements of operations, changes in net assets, and cash flows for the years ended September 30, 2013, 2012 and 2011. These consolidated financial statements are the responsibility of the Company’s management. Our responsibility is to express an opinion on these consolidated financial statements based on our audits.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PennantPark Investment Corporation and its Subsidiaries as of September 30, 2013 and 2012, and the results of operations and cash flows for the years ended September 30, 2013, 2012 and 2011, in conformity with U.S. generally accepted accounting principles.</w:t>
      </w:r>
    </w:p>
    <w:p>
      <w:pPr>
        <w:spacing w:after="0" w:line="18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PennantPark Investment Corporation’s internal control over financial reporting as of September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issued by the Committee of Sponsoring Organizations of the Treadway Commission (COSO), and our report dated November 13, 2013 expressed an unqualified opinion on the effectiveness of the Company’s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21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2013,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42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In our opinion, PennantPark Investment Corporation and its Subsidiaries maintained, in all material respects, effective internal control over financial reporting as of September 30, 2013,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COSO.</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2013 and 2012, and the related statements of operations, changes in net assets, and cash flows for the years ended September 30, 2013, 2012 and 2011, and our report dated November 13, 2013 expressed an unqualified opinion on those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459" w:right="2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5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September 30, 2013</w:t>
            </w:r>
          </w:p>
        </w:tc>
        <w:tc>
          <w:tcPr>
            <w:tcW w:w="260" w:type="dxa"/>
            <w:vAlign w:val="bottom"/>
          </w:tcPr>
          <w:p>
            <w:pPr>
              <w:spacing w:after="0"/>
              <w:rPr>
                <w:sz w:val="14"/>
                <w:szCs w:val="14"/>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Non-controlled, non-affiliated investments, at fair value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(cost—$928,078,589 and $871,867,953, respectively)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968,471,042</w:t>
            </w:r>
          </w:p>
        </w:tc>
        <w:tc>
          <w:tcPr>
            <w:tcW w:w="2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871,892,745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ind w:left="340"/>
              <w:spacing w:after="0" w:line="201" w:lineRule="exact"/>
              <w:rPr>
                <w:sz w:val="20"/>
                <w:szCs w:val="20"/>
                <w:color w:val="auto"/>
              </w:rPr>
            </w:pPr>
            <w:r>
              <w:rPr>
                <w:rFonts w:ascii="Arial" w:cs="Arial" w:eastAsia="Arial" w:hAnsi="Arial"/>
                <w:sz w:val="18"/>
                <w:szCs w:val="18"/>
                <w:color w:val="auto"/>
              </w:rPr>
              <w:t>Non-controlled, affiliated investments, at fair value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(cost—$99,021,141 and $72,576,858, respectively)</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76,735,800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80,955,257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Controlled, affiliated investments, at fair value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(cost—$64,418,155 and $64,167,051, respectively)</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32,968,711</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37,631,708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Total of investments, at fair value</w:t>
            </w: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520"/>
              <w:spacing w:after="0"/>
              <w:rPr>
                <w:sz w:val="20"/>
                <w:szCs w:val="20"/>
                <w:color w:val="auto"/>
              </w:rPr>
            </w:pPr>
            <w:r>
              <w:rPr>
                <w:rFonts w:ascii="Arial" w:cs="Arial" w:eastAsia="Arial" w:hAnsi="Arial"/>
                <w:sz w:val="18"/>
                <w:szCs w:val="18"/>
                <w:color w:val="auto"/>
              </w:rPr>
              <w:t>(cost—$1,091,517,885 and $1,008,611,862, respectively)</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1,078,175,553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58,440,829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10,894,893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14,928,862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5,815,817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1,153,327,092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1,018,967,531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18,619,812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15,824,061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52,544,704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7,241,667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26,935,270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Credit Facility payable</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(cost—$145,500,000 and $145,000,000, respectively) (See Notes 5 and 11)</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145,500,000</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144,452,500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11)</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150,000,000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5,419,557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4,791,913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4,274,881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1,810,466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854,725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2,009,806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349,250,484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80" w:type="dxa"/>
            <w:vAlign w:val="bottom"/>
          </w:tcPr>
          <w:p>
            <w:pPr>
              <w:spacing w:after="0" w:line="201" w:lineRule="exact"/>
              <w:rPr>
                <w:sz w:val="20"/>
                <w:szCs w:val="20"/>
                <w:color w:val="auto"/>
              </w:rPr>
            </w:pPr>
            <w:r>
              <w:rPr>
                <w:rFonts w:ascii="Arial" w:cs="Arial" w:eastAsia="Arial" w:hAnsi="Arial"/>
                <w:sz w:val="18"/>
                <w:szCs w:val="18"/>
                <w:color w:val="auto"/>
                <w:w w:val="95"/>
              </w:rPr>
              <w:t>Common stock, 66,499,327 and 65,514,503 shares issued and outstanding, respectively. Par value $0.001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160"/>
              <w:spacing w:after="0"/>
              <w:rPr>
                <w:sz w:val="20"/>
                <w:szCs w:val="20"/>
                <w:color w:val="auto"/>
              </w:rPr>
            </w:pPr>
            <w:r>
              <w:rPr>
                <w:rFonts w:ascii="Arial" w:cs="Arial" w:eastAsia="Arial" w:hAnsi="Arial"/>
                <w:sz w:val="18"/>
                <w:szCs w:val="18"/>
                <w:color w:val="auto"/>
              </w:rPr>
              <w:t>per share and 100,000,000 shares authorized.</w:t>
            </w:r>
          </w:p>
        </w:tc>
        <w:tc>
          <w:tcPr>
            <w:tcW w:w="1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66,499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756,017,096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744,704,825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(Distributions in excess of) Undistributed net investment income</w:t>
            </w:r>
          </w:p>
        </w:tc>
        <w:tc>
          <w:tcPr>
            <w:tcW w:w="1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(4,675,217)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2,804,397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(43,409,847)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(13,342,332)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2,850,000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697,506,199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669,717,047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1,153,327,092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1,018,967,531</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4"/>
              </w:rPr>
              <w:t>Years Ended September 30,</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107,058,958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99,663,198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83,632,455</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10,883,261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8,486,387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4,726,387</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5,841,127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3,542,583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2,217,320</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597,400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4,806,329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1,700,222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1,162,333</w:t>
            </w:r>
          </w:p>
        </w:tc>
      </w:tr>
      <w:tr>
        <w:trPr>
          <w:trHeight w:val="230"/>
        </w:trPr>
        <w:tc>
          <w:tcPr>
            <w:tcW w:w="20" w:type="dxa"/>
            <w:vAlign w:val="bottom"/>
          </w:tcPr>
          <w:p>
            <w:pPr>
              <w:spacing w:after="0"/>
              <w:rPr>
                <w:sz w:val="20"/>
                <w:szCs w:val="20"/>
                <w:color w:val="auto"/>
              </w:rPr>
            </w:pPr>
          </w:p>
        </w:tc>
        <w:tc>
          <w:tcPr>
            <w:tcW w:w="7220" w:type="dxa"/>
            <w:vAlign w:val="bottom"/>
          </w:tcPr>
          <w:p>
            <w:pPr>
              <w:ind w:left="52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129,187,075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113,392,390</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91,738,495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Base management fee (See Note 3)</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21,288,728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17,507,262</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14,899,983</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16,793,089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14,223,777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13,161,597</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and expenses on debt (See Note 11)</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15,384,208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11,680,634</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5,322,231</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3,161,158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2,596,756</w:t>
            </w: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3,496,326</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2,884,029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59,484,922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50,653,740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38,864,596</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Tax expense</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(53,468)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307,990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228,824</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issuance costs (See Note 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2,757,500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62,188,954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56,323,049</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39,093,420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66,998,121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57,069,341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52,645,075</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17,687,211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(12,798,035)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16,259,622</w:t>
            </w: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17,932,839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42,727,722</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(45,350,345)</w:t>
            </w: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Non-controlled and controlled, affiliated investments</w:t>
            </w:r>
          </w:p>
        </w:tc>
        <w:tc>
          <w:tcPr>
            <w:tcW w:w="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(13,143,019)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(22,085,553)</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(1,439,878)</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depreciation (appreciation) (See Notes 5 and 11)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(1,560,375)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(11,851,000)</w:t>
            </w:r>
          </w:p>
        </w:tc>
      </w:tr>
      <w:tr>
        <w:trPr>
          <w:trHeight w:val="230"/>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7,092,320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19,081,794</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(58,641,223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24,779,531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6,283,759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(42,381,601)</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91,777,652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63,353,100</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10,263,474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increase in net assets resulting from operations per common share basic and diluted (See</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Net investment income per common share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September 30,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investment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66,998,121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57,069,341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52,645,075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(loss) on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17,687,211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(12,798,035)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4,789,820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20,642,169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(46,790,223)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debt depreciation (appreciation)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(1,560,375)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(11,851,000)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tcPr>
          <w:p>
            <w:pPr>
              <w:ind w:left="70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91,777,652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63,353,100</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10,263,474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Distributions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4"/>
              </w:rPr>
              <w:t>(74,398,129)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(60,137,978)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(46,347,691)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Public offerings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7,574,000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206,572,500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114,080,000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Offerings costs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(265,090)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(7,717,300)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Reinvestment of distributions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3,100,719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4,989,529</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increase in net assets resulting from capital transactions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10,409,629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203,844,729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112,166,190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27,789,152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207,059,851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76,081,973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auto"/>
              </w:rPr>
              <w:t>Beginning of year</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669,717,047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462,657,196</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386,575,223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year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697,506,199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669,717,047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462,657,196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vMerge w:val="restart"/>
          </w:tcPr>
          <w:p>
            <w:pPr>
              <w:ind w:left="340"/>
              <w:spacing w:after="0"/>
              <w:rPr>
                <w:sz w:val="20"/>
                <w:szCs w:val="20"/>
                <w:color w:val="auto"/>
              </w:rPr>
            </w:pPr>
            <w:r>
              <w:rPr>
                <w:rFonts w:ascii="Arial" w:cs="Arial" w:eastAsia="Arial" w:hAnsi="Arial"/>
                <w:sz w:val="18"/>
                <w:szCs w:val="18"/>
                <w:color w:val="auto"/>
              </w:rPr>
              <w:t>(Distributions in excess of) Undistributed net investment income, at year end</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(4,675,217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2,804,397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8,326,854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700"/>
              <w:spacing w:after="0"/>
              <w:rPr>
                <w:sz w:val="20"/>
                <w:szCs w:val="20"/>
                <w:color w:val="auto"/>
              </w:rPr>
            </w:pPr>
            <w:r>
              <w:rPr>
                <w:rFonts w:ascii="Arial" w:cs="Arial" w:eastAsia="Arial" w:hAnsi="Arial"/>
                <w:sz w:val="18"/>
                <w:szCs w:val="18"/>
                <w:color w:val="auto"/>
              </w:rPr>
              <w:t>Shares issued from public offerings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700,000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19,350,000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Shares issued from reinvestment of distributions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284,824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474,722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6"/>
              </w:rPr>
              <w:t>Years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340"/>
              <w:spacing w:after="0"/>
              <w:rPr>
                <w:sz w:val="20"/>
                <w:szCs w:val="20"/>
                <w:color w:val="auto"/>
              </w:rPr>
            </w:pPr>
            <w:r>
              <w:rPr>
                <w:rFonts w:ascii="Arial" w:cs="Arial" w:eastAsia="Arial" w:hAnsi="Arial"/>
                <w:sz w:val="17"/>
                <w:szCs w:val="17"/>
                <w:color w:val="auto"/>
              </w:rPr>
              <w:t>Net increase in net assets resulting from operations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91,777,652</w:t>
            </w:r>
          </w:p>
        </w:tc>
        <w:tc>
          <w:tcPr>
            <w:tcW w:w="16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63,353,100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10,263,474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74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Adjustments to reconcile net increase in net assets resulting from operations to net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40" w:type="dxa"/>
            <w:vAlign w:val="bottom"/>
            <w:shd w:val="clear" w:color="auto" w:fill="CCEEFF"/>
          </w:tcPr>
          <w:p>
            <w:pPr>
              <w:ind w:left="520"/>
              <w:spacing w:after="0"/>
              <w:rPr>
                <w:sz w:val="20"/>
                <w:szCs w:val="20"/>
                <w:color w:val="auto"/>
              </w:rPr>
            </w:pPr>
            <w:r>
              <w:rPr>
                <w:rFonts w:ascii="Arial" w:cs="Arial" w:eastAsia="Arial" w:hAnsi="Arial"/>
                <w:sz w:val="17"/>
                <w:szCs w:val="17"/>
                <w:color w:val="auto"/>
              </w:rPr>
              <w:t>cash provided by (used for) operating 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Net change in net unrealized appreciation (depreciation) on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(4,789,820)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(20,642,169)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46,790,223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change in debt depreciation (appreciation)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(2,302,500)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1,560,375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11,851,000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Net realized loss on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(17,687,211)</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12,798,035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97"/>
              </w:rPr>
              <w:t>(16,259,622)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accretion of discount and amortization of premium</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(5,856,654)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(10,357,608)</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(6,745,834)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Purchase of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(504,373,719)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(328,275,329)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88"/>
              </w:rPr>
              <w:t>(479,733,669)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Payment-in-kind interest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(11,814,084)</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(9,065,502)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97"/>
              </w:rPr>
              <w:t>(10,883,750)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Proceeds from disposition of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437,147,602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201,656,926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304,008,543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Decrease (Increase) in interest receivable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4,033,969</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(4,050,626)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1,935,860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 receivables for investments sold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12,240,763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17,135,807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(Decrease) in payables for investments purchased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52,544,704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(18,572,499)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97"/>
              </w:rPr>
              <w:t>(34,212,501)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Increase in unfunded investments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(19,242,446)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14,928,717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in interest payable on debt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955,741</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167,363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472,227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Decrease (Increase) in prepaid expenses and other assets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168,130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466,675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749,017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Increase in management fees payable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627,644</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783,859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721,238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Increase in performance-based incentive fees payable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67,892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433,160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1,534,818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(Decrease) Increase in accrued other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(175,220)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1,406,285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(368,064)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ind w:left="1060"/>
              <w:spacing w:after="0"/>
              <w:rPr>
                <w:sz w:val="20"/>
                <w:szCs w:val="20"/>
                <w:color w:val="auto"/>
              </w:rPr>
            </w:pPr>
            <w:r>
              <w:rPr>
                <w:rFonts w:ascii="Arial" w:cs="Arial" w:eastAsia="Arial" w:hAnsi="Arial"/>
                <w:sz w:val="17"/>
                <w:szCs w:val="17"/>
                <w:color w:val="auto"/>
              </w:rPr>
              <w:t>Net cash provided by (used for) operating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40,324,126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(115,339,638)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(137,812,516</w:t>
            </w:r>
          </w:p>
        </w:tc>
        <w:tc>
          <w:tcPr>
            <w:tcW w:w="100" w:type="dxa"/>
            <w:vAlign w:val="bottom"/>
          </w:tcPr>
          <w:p>
            <w:pPr>
              <w:jc w:val="right"/>
              <w:ind w:right="23"/>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Public offerings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7,574,000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206,572,500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114,080,000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Offerings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(265,090)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(7,717,300)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(5,743,800)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Distributions paid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(68,501,660)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7"/>
                <w:szCs w:val="17"/>
                <w:color w:val="auto"/>
              </w:rPr>
              <w:t>(51,660,628)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3"/>
              <w:spacing w:after="0"/>
              <w:rPr>
                <w:sz w:val="20"/>
                <w:szCs w:val="20"/>
                <w:color w:val="auto"/>
              </w:rPr>
            </w:pPr>
            <w:r>
              <w:rPr>
                <w:rFonts w:ascii="Arial" w:cs="Arial" w:eastAsia="Arial" w:hAnsi="Arial"/>
                <w:sz w:val="17"/>
                <w:szCs w:val="17"/>
                <w:color w:val="auto"/>
                <w:w w:val="97"/>
              </w:rPr>
              <w:t>(39,582,741)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Borrowings under SBA debentures (See Note 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w w:val="95"/>
              </w:rPr>
              <w:t>135,500,000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Borrowings under 2025 Notes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71,250,000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Capitalized borrowing costs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(4,450,875)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ind w:left="700"/>
              <w:spacing w:after="0"/>
              <w:rPr>
                <w:sz w:val="20"/>
                <w:szCs w:val="20"/>
                <w:color w:val="auto"/>
              </w:rPr>
            </w:pPr>
            <w:r>
              <w:rPr>
                <w:rFonts w:ascii="Arial" w:cs="Arial" w:eastAsia="Arial" w:hAnsi="Arial"/>
                <w:sz w:val="17"/>
                <w:szCs w:val="17"/>
                <w:color w:val="auto"/>
              </w:rPr>
              <w:t>Borrowings under Credit Facility (See Note 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w w:val="93"/>
              </w:rPr>
              <w:t>1,099,800,000</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927,900,000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w w:val="95"/>
              </w:rPr>
              <w:t>701,900,000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under Credit Facility (See Note 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w w:val="89"/>
              </w:rPr>
              <w:t>(1,099,300,000)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w w:val="89"/>
              </w:rPr>
              <w:t>(1,023,800,000)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3"/>
              <w:spacing w:after="0"/>
              <w:rPr>
                <w:sz w:val="20"/>
                <w:szCs w:val="20"/>
                <w:color w:val="auto"/>
              </w:rPr>
            </w:pPr>
            <w:r>
              <w:rPr>
                <w:rFonts w:ascii="Arial" w:cs="Arial" w:eastAsia="Arial" w:hAnsi="Arial"/>
                <w:sz w:val="17"/>
                <w:szCs w:val="17"/>
                <w:color w:val="auto"/>
                <w:w w:val="88"/>
              </w:rPr>
              <w:t>(694,100,000)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tcPr>
          <w:p>
            <w:pPr>
              <w:ind w:left="1060"/>
              <w:spacing w:after="0"/>
              <w:rPr>
                <w:sz w:val="20"/>
                <w:szCs w:val="20"/>
                <w:color w:val="auto"/>
              </w:rPr>
            </w:pPr>
            <w:r>
              <w:rPr>
                <w:rFonts w:ascii="Arial" w:cs="Arial" w:eastAsia="Arial" w:hAnsi="Arial"/>
                <w:sz w:val="16"/>
                <w:szCs w:val="16"/>
                <w:color w:val="auto"/>
              </w:rPr>
              <w:t>Net cash provided by financing activities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10,557,250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51,294,572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207,602,584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50,881,376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(64,045,066)</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69,790,068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tcPr>
          <w:p>
            <w:pPr>
              <w:spacing w:after="0"/>
              <w:rPr>
                <w:sz w:val="20"/>
                <w:szCs w:val="20"/>
                <w:color w:val="auto"/>
              </w:rPr>
            </w:pPr>
            <w:r>
              <w:rPr>
                <w:rFonts w:ascii="Arial" w:cs="Arial" w:eastAsia="Arial" w:hAnsi="Arial"/>
                <w:sz w:val="17"/>
                <w:szCs w:val="17"/>
                <w:b w:val="1"/>
                <w:bCs w:val="1"/>
                <w:color w:val="auto"/>
              </w:rPr>
              <w:t>Cash and cash equivalents, beginning of year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7,559,453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7"/>
                <w:szCs w:val="17"/>
                <w:color w:val="auto"/>
              </w:rPr>
              <w:t>71,604,519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3"/>
              <w:spacing w:after="0"/>
              <w:rPr>
                <w:sz w:val="20"/>
                <w:szCs w:val="20"/>
                <w:color w:val="auto"/>
              </w:rPr>
            </w:pPr>
            <w:r>
              <w:rPr>
                <w:rFonts w:ascii="Arial" w:cs="Arial" w:eastAsia="Arial" w:hAnsi="Arial"/>
                <w:sz w:val="17"/>
                <w:szCs w:val="17"/>
                <w:color w:val="auto"/>
              </w:rPr>
              <w:t>1,814,451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year</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58,440,829</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7,559,453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71,604,519</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7"/>
              </w:rPr>
              <w:t>Supplemental disclosure of cash flow information and non-cash activity (See Note 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Interest paid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12,765,891</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10,643,840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4,149,149</w:t>
            </w:r>
          </w:p>
        </w:tc>
        <w:tc>
          <w:tcPr>
            <w:tcW w:w="0" w:type="dxa"/>
            <w:vAlign w:val="bottom"/>
          </w:tcPr>
          <w:p>
            <w:pPr>
              <w:spacing w:after="0"/>
              <w:rPr>
                <w:sz w:val="1"/>
                <w:szCs w:val="1"/>
                <w:color w:val="auto"/>
              </w:rPr>
            </w:pPr>
          </w:p>
        </w:tc>
      </w:tr>
      <w:tr>
        <w:trPr>
          <w:trHeight w:val="217"/>
        </w:trPr>
        <w:tc>
          <w:tcPr>
            <w:tcW w:w="6760" w:type="dxa"/>
            <w:vAlign w:val="bottom"/>
            <w:gridSpan w:val="2"/>
          </w:tcPr>
          <w:p>
            <w:pPr>
              <w:spacing w:after="0"/>
              <w:rPr>
                <w:sz w:val="20"/>
                <w:szCs w:val="20"/>
                <w:color w:val="auto"/>
              </w:rPr>
            </w:pPr>
            <w:r>
              <w:rPr>
                <w:rFonts w:ascii="Arial" w:cs="Arial" w:eastAsia="Arial" w:hAnsi="Arial"/>
                <w:sz w:val="17"/>
                <w:szCs w:val="17"/>
                <w:color w:val="auto"/>
              </w:rPr>
              <w:t>Taxes paid</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94,210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258,550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7"/>
                <w:szCs w:val="17"/>
                <w:color w:val="auto"/>
              </w:rPr>
              <w:t>Dividend reinvested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3,100,719</w:t>
            </w: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4,989,529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3,829,990</w:t>
            </w:r>
          </w:p>
        </w:tc>
        <w:tc>
          <w:tcPr>
            <w:tcW w:w="0" w:type="dxa"/>
            <w:vAlign w:val="bottom"/>
          </w:tcPr>
          <w:p>
            <w:pPr>
              <w:spacing w:after="0"/>
              <w:rPr>
                <w:sz w:val="1"/>
                <w:szCs w:val="1"/>
                <w:color w:val="auto"/>
              </w:rPr>
            </w:pPr>
          </w:p>
        </w:tc>
      </w:tr>
      <w:tr>
        <w:trPr>
          <w:trHeight w:val="210"/>
        </w:trPr>
        <w:tc>
          <w:tcPr>
            <w:tcW w:w="6760" w:type="dxa"/>
            <w:vAlign w:val="bottom"/>
            <w:gridSpan w:val="2"/>
          </w:tcPr>
          <w:p>
            <w:pPr>
              <w:spacing w:after="0"/>
              <w:rPr>
                <w:sz w:val="20"/>
                <w:szCs w:val="20"/>
                <w:color w:val="auto"/>
              </w:rPr>
            </w:pPr>
            <w:r>
              <w:rPr>
                <w:rFonts w:ascii="Arial" w:cs="Arial" w:eastAsia="Arial" w:hAnsi="Arial"/>
                <w:sz w:val="17"/>
                <w:szCs w:val="17"/>
                <w:color w:val="auto"/>
              </w:rPr>
              <w:t>Conversions and non-cash exchanges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58,478,391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43,596,371</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12,537,081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Par/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Maturity</w:t>
            </w: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Above</w:t>
            </w: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556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 xml:space="preserve">in Non-Controlled, Non-Affiliated Portfolio Companies—138.9% </w:t>
            </w:r>
            <w:r>
              <w:rPr>
                <w:rFonts w:ascii="Arial" w:cs="Arial" w:eastAsia="Arial" w:hAnsi="Arial"/>
                <w:sz w:val="12"/>
                <w:szCs w:val="12"/>
                <w:b w:val="1"/>
                <w:bCs w:val="1"/>
                <w:color w:val="auto"/>
              </w:rPr>
              <w:t>(1),(2)</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06/21/2017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Communications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23,912,894</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23,012,057</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25,347,668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AKA Diversified Holdings,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12/21/2016</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Retail</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L+1,225</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14,550,084</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14,310,552</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14,694,828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(PIK 1.50%)</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CEVA Group PLC </w:t>
            </w:r>
            <w:r>
              <w:rPr>
                <w:rFonts w:ascii="Arial" w:cs="Arial" w:eastAsia="Arial" w:hAnsi="Arial"/>
                <w:sz w:val="12"/>
                <w:szCs w:val="12"/>
                <w:color w:val="auto"/>
              </w:rPr>
              <w:t>(5), (10)</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10/01/2016</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Cargo Transport</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11.63%</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7,500,000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7,385,251</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Columbus International, Inc. </w:t>
            </w:r>
            <w:r>
              <w:rPr>
                <w:rFonts w:ascii="Arial" w:cs="Arial" w:eastAsia="Arial" w:hAnsi="Arial"/>
                <w:sz w:val="12"/>
                <w:szCs w:val="12"/>
                <w:color w:val="auto"/>
              </w:rPr>
              <w:t>(5), (10)</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11/20/2014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Communications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10,000,000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10,000,000</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06/12/2017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L+725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7,342,967</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7,342,967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Good Sam Enterprises, LLC </w:t>
            </w:r>
            <w:r>
              <w:rPr>
                <w:rFonts w:ascii="Arial" w:cs="Arial" w:eastAsia="Arial" w:hAnsi="Arial"/>
                <w:sz w:val="12"/>
                <w:szCs w:val="12"/>
                <w:color w:val="auto"/>
              </w:rPr>
              <w:t>(5)</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12/01/2016</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Consumer Products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12,000,000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11,835,907</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03/30/2017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2"/>
              </w:rPr>
              <w:t>Auto Sector</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11,326,110</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12,391,250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InfuSystem Holdings, Inc.</w:t>
            </w:r>
          </w:p>
        </w:tc>
        <w:tc>
          <w:tcPr>
            <w:tcW w:w="8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11/30/2016</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11.95%</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P+625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11,600,000</w:t>
            </w:r>
          </w:p>
        </w:tc>
        <w:tc>
          <w:tcPr>
            <w:tcW w:w="12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11,600,000</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11,708,430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08/07/2014</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Printing and Publishing</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23,934,268</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23,788,980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22,976,897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08/07/2014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Printing and Publishing</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3.55%</w:t>
            </w:r>
          </w:p>
        </w:tc>
        <w:tc>
          <w:tcPr>
            <w:tcW w:w="9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L+338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18,199,679</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13,917,288</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14,559,743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10/04/2016</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18,050,000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17,770,705</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18,050,000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Jackson Hewitt Tax Service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10/16/2017</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8,355,469</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8,349,704</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8,230,137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08/19/2019</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2"/>
              </w:rPr>
              <w:t>Chemicals, Plastics</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L+900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22,342,352</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21,899,258</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22,007,217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and Rubber</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08/01/2014</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6.00%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L+500</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37,950,152</w:t>
            </w:r>
          </w:p>
        </w:tc>
        <w:tc>
          <w:tcPr>
            <w:tcW w:w="1220" w:type="dxa"/>
            <w:vAlign w:val="bottom"/>
            <w:gridSpan w:val="3"/>
          </w:tcPr>
          <w:p>
            <w:pPr>
              <w:jc w:val="right"/>
              <w:ind w:right="180"/>
              <w:spacing w:after="0" w:line="130" w:lineRule="exact"/>
              <w:rPr>
                <w:sz w:val="20"/>
                <w:szCs w:val="20"/>
                <w:color w:val="auto"/>
              </w:rPr>
            </w:pPr>
            <w:r>
              <w:rPr>
                <w:rFonts w:ascii="Arial" w:cs="Arial" w:eastAsia="Arial" w:hAnsi="Arial"/>
                <w:sz w:val="14"/>
                <w:szCs w:val="14"/>
                <w:color w:val="auto"/>
              </w:rPr>
              <w:t>36,110,124</w:t>
            </w: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37,523,212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Prince Mineral Holding Corp. </w:t>
            </w:r>
            <w:r>
              <w:rPr>
                <w:rFonts w:ascii="Arial" w:cs="Arial" w:eastAsia="Arial" w:hAnsi="Arial"/>
                <w:sz w:val="12"/>
                <w:szCs w:val="12"/>
                <w:color w:val="auto"/>
              </w:rPr>
              <w:t>(5)</w:t>
            </w:r>
          </w:p>
        </w:tc>
        <w:tc>
          <w:tcPr>
            <w:tcW w:w="2340" w:type="dxa"/>
            <w:vAlign w:val="bottom"/>
            <w:gridSpan w:val="4"/>
            <w:shd w:val="clear" w:color="auto" w:fill="CCEEFF"/>
          </w:tcPr>
          <w:p>
            <w:pPr>
              <w:ind w:left="40"/>
              <w:spacing w:after="0" w:line="130" w:lineRule="exact"/>
              <w:rPr>
                <w:sz w:val="20"/>
                <w:szCs w:val="20"/>
                <w:color w:val="auto"/>
              </w:rPr>
            </w:pPr>
            <w:r>
              <w:rPr>
                <w:rFonts w:ascii="Arial" w:cs="Arial" w:eastAsia="Arial" w:hAnsi="Arial"/>
                <w:sz w:val="14"/>
                <w:szCs w:val="14"/>
                <w:color w:val="auto"/>
              </w:rPr>
              <w:t>12/16/2019   Mining, Steel, Iron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14,250,000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14,096,169</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15,176,250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Non-Precious Metals</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04/30/2018</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34,270,800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33,766,321</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34,270,800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07/06/2017</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Insurance</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12,451,096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12,451,096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12,388,840</w:t>
            </w:r>
          </w:p>
        </w:tc>
        <w:tc>
          <w:tcPr>
            <w:tcW w:w="0" w:type="dxa"/>
            <w:vAlign w:val="bottom"/>
          </w:tcPr>
          <w:p>
            <w:pPr>
              <w:spacing w:after="0"/>
              <w:rPr>
                <w:sz w:val="1"/>
                <w:szCs w:val="1"/>
                <w:color w:val="auto"/>
              </w:rPr>
            </w:pPr>
          </w:p>
        </w:tc>
      </w:tr>
      <w:tr>
        <w:trPr>
          <w:trHeight w:val="163"/>
        </w:trPr>
        <w:tc>
          <w:tcPr>
            <w:tcW w:w="41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278,962,489</w:t>
            </w:r>
          </w:p>
        </w:tc>
        <w:tc>
          <w:tcPr>
            <w:tcW w:w="18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288,043,239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(5)</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09/01/2017</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7"/>
              </w:rPr>
              <w:t>Diversified Natural</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25,400,000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25,400,000</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25,971,500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Resources, Precious</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Metals and Minerals</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10/01/2020</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Business Services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11.75%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L+1,050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18,750,000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18,375,000</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18,687,563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10/23/2019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Energy / Utilities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42,278,570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41,471,524</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43,159,233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Carolina Beverage Group,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08/01/2018</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Beverage,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10.63%</w:t>
            </w:r>
          </w:p>
        </w:tc>
        <w:tc>
          <w:tcPr>
            <w:tcW w:w="98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13,125,000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13,125,000</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13,420,313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9"/>
              </w:rPr>
              <w:t>Tobacco</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Envision Acquisition Company, LLC</w:t>
            </w:r>
          </w:p>
        </w:tc>
        <w:tc>
          <w:tcPr>
            <w:tcW w:w="8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11/04/2021</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2"/>
              </w:rPr>
              <w:t>Healthcare, Education</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9.75%</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19,000,000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18,620,000</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18,905,000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and Childcare</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8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08/16/2018</w:t>
            </w:r>
          </w:p>
        </w:tc>
        <w:tc>
          <w:tcPr>
            <w:tcW w:w="14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8"/>
              </w:rPr>
              <w:t>Energy / Utilities</w:t>
            </w:r>
          </w:p>
        </w:tc>
        <w:tc>
          <w:tcPr>
            <w:tcW w:w="9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45,000,000</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44,599,796</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ILC Industries, LLC</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06/14/2019</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Electronics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7,500,000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7,200,000</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6,900,000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Intermediate Transportation 100,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03/01/2017</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0"/>
              </w:rPr>
              <w:t>Cargo Transport</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3,544,833</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3,544,836</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3,544,833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(PIK 11.00%)</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Jacobs Entertainment, Inc.</w:t>
            </w:r>
          </w:p>
        </w:tc>
        <w:tc>
          <w:tcPr>
            <w:tcW w:w="880" w:type="dxa"/>
            <w:vAlign w:val="bottom"/>
            <w:gridSpan w:val="2"/>
          </w:tcPr>
          <w:p>
            <w:pPr>
              <w:ind w:left="40"/>
              <w:spacing w:after="0" w:line="130" w:lineRule="exact"/>
              <w:rPr>
                <w:sz w:val="20"/>
                <w:szCs w:val="20"/>
                <w:color w:val="auto"/>
              </w:rPr>
            </w:pPr>
            <w:r>
              <w:rPr>
                <w:rFonts w:ascii="Arial" w:cs="Arial" w:eastAsia="Arial" w:hAnsi="Arial"/>
                <w:sz w:val="14"/>
                <w:szCs w:val="14"/>
                <w:color w:val="auto"/>
              </w:rPr>
              <w:t>10/29/2019</w:t>
            </w:r>
          </w:p>
        </w:tc>
        <w:tc>
          <w:tcPr>
            <w:tcW w:w="14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4"/>
              </w:rPr>
              <w:t>Hotels, Motels, Inns</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13.00%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L+1,175</w:t>
            </w:r>
            <w:r>
              <w:rPr>
                <w:rFonts w:ascii="Arial" w:cs="Arial" w:eastAsia="Arial" w:hAnsi="Arial"/>
                <w:sz w:val="12"/>
                <w:szCs w:val="12"/>
                <w:color w:val="auto"/>
              </w:rPr>
              <w:t>(8)</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38,950,000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38,287,499</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39,096,063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and Gaming</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Language Line, LLC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12/20/2016</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L+875</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33,750,000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33,265,829</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33,187,388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Linc USA GP and Linc Energy Finance (USA), Inc. </w:t>
            </w:r>
            <w:r>
              <w:rPr>
                <w:rFonts w:ascii="Arial" w:cs="Arial" w:eastAsia="Arial" w:hAnsi="Arial"/>
                <w:sz w:val="12"/>
                <w:szCs w:val="12"/>
                <w:color w:val="auto"/>
              </w:rPr>
              <w:t>(5)</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10/31/2017</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Oil and Gas</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11,875,000</w:t>
            </w:r>
          </w:p>
        </w:tc>
        <w:tc>
          <w:tcPr>
            <w:tcW w:w="12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11,511,878</w:t>
            </w: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13,062,500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07/01/2020</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1"/>
              </w:rPr>
              <w:t>Personal, Food and</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9.75%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4"/>
              </w:rPr>
              <w:t>56,750,000</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55,923,621</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56,040,625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Miscellaneous Services</w:t>
            </w: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12/15/2014</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L+550</w:t>
            </w:r>
            <w:r>
              <w:rPr>
                <w:rFonts w:ascii="Arial" w:cs="Arial" w:eastAsia="Arial" w:hAnsi="Arial"/>
                <w:sz w:val="12"/>
                <w:szCs w:val="12"/>
                <w:color w:val="auto"/>
              </w:rPr>
              <w:t>(8)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2,395,378</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2,395,378</w:t>
            </w:r>
          </w:p>
        </w:tc>
        <w:tc>
          <w:tcPr>
            <w:tcW w:w="1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2,371,424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880" w:type="dxa"/>
            <w:vAlign w:val="bottom"/>
            <w:gridSpan w:val="2"/>
            <w:shd w:val="clear" w:color="auto" w:fill="CCEEFF"/>
          </w:tcPr>
          <w:p>
            <w:pPr>
              <w:ind w:left="40"/>
              <w:spacing w:after="0" w:line="130" w:lineRule="exact"/>
              <w:rPr>
                <w:sz w:val="20"/>
                <w:szCs w:val="20"/>
                <w:color w:val="auto"/>
              </w:rPr>
            </w:pPr>
            <w:r>
              <w:rPr>
                <w:rFonts w:ascii="Arial" w:cs="Arial" w:eastAsia="Arial" w:hAnsi="Arial"/>
                <w:sz w:val="14"/>
                <w:szCs w:val="14"/>
                <w:color w:val="auto"/>
              </w:rPr>
              <w:t>12/15/2015</w:t>
            </w:r>
          </w:p>
        </w:tc>
        <w:tc>
          <w:tcPr>
            <w:tcW w:w="14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93"/>
              </w:rPr>
              <w:t>Other Media</w:t>
            </w:r>
          </w:p>
        </w:tc>
        <w:tc>
          <w:tcPr>
            <w:tcW w:w="980" w:type="dxa"/>
            <w:vAlign w:val="bottom"/>
            <w:gridSpan w:val="2"/>
            <w:shd w:val="clear" w:color="auto" w:fill="CCEEFF"/>
          </w:tcPr>
          <w:p>
            <w:pPr>
              <w:jc w:val="right"/>
              <w:ind w:right="180"/>
              <w:spacing w:after="0" w:line="130" w:lineRule="exact"/>
              <w:rPr>
                <w:sz w:val="20"/>
                <w:szCs w:val="20"/>
                <w:color w:val="auto"/>
              </w:rPr>
            </w:pPr>
            <w:r>
              <w:rPr>
                <w:rFonts w:ascii="Arial" w:cs="Arial" w:eastAsia="Arial" w:hAnsi="Arial"/>
                <w:sz w:val="14"/>
                <w:szCs w:val="14"/>
                <w:color w:val="auto"/>
              </w:rPr>
              <w:t>11.50%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P+750</w:t>
            </w:r>
            <w:r>
              <w:rPr>
                <w:rFonts w:ascii="Arial" w:cs="Arial" w:eastAsia="Arial" w:hAnsi="Arial"/>
                <w:sz w:val="12"/>
                <w:szCs w:val="12"/>
                <w:color w:val="auto"/>
              </w:rPr>
              <w:t>(8)</w:t>
            </w:r>
          </w:p>
        </w:tc>
        <w:tc>
          <w:tcPr>
            <w:tcW w:w="8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2,502,333</w:t>
            </w:r>
          </w:p>
        </w:tc>
        <w:tc>
          <w:tcPr>
            <w:tcW w:w="10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2,502,333</w:t>
            </w:r>
          </w:p>
        </w:tc>
        <w:tc>
          <w:tcPr>
            <w:tcW w:w="1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2,452,286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8"/>
              </w:rPr>
              <w:t>(PIK 11.50%)</w:t>
            </w: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ROC Finance LLC and ROC Finance 1 Corp.</w:t>
            </w:r>
          </w:p>
        </w:tc>
        <w:tc>
          <w:tcPr>
            <w:tcW w:w="2340" w:type="dxa"/>
            <w:vAlign w:val="bottom"/>
            <w:gridSpan w:val="4"/>
          </w:tcPr>
          <w:p>
            <w:pPr>
              <w:ind w:left="40"/>
              <w:spacing w:after="0" w:line="130" w:lineRule="exact"/>
              <w:rPr>
                <w:sz w:val="20"/>
                <w:szCs w:val="20"/>
                <w:color w:val="auto"/>
              </w:rPr>
            </w:pPr>
            <w:r>
              <w:rPr>
                <w:rFonts w:ascii="Arial" w:cs="Arial" w:eastAsia="Arial" w:hAnsi="Arial"/>
                <w:sz w:val="14"/>
                <w:szCs w:val="14"/>
                <w:color w:val="auto"/>
              </w:rPr>
              <w:t>08/31/2018   Hotels, Motels, Ins and</w:t>
            </w:r>
          </w:p>
        </w:tc>
        <w:tc>
          <w:tcPr>
            <w:tcW w:w="98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12.13%</w:t>
            </w:r>
          </w:p>
        </w:tc>
        <w:tc>
          <w:tcPr>
            <w:tcW w:w="98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4"/>
              </w:rPr>
              <w:t>16,000,000</w:t>
            </w:r>
          </w:p>
        </w:tc>
        <w:tc>
          <w:tcPr>
            <w:tcW w:w="10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15,785,252</w:t>
            </w:r>
          </w:p>
        </w:tc>
        <w:tc>
          <w:tcPr>
            <w:tcW w:w="18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17,720,000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Gaming</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332,007,946</w:t>
            </w:r>
          </w:p>
        </w:tc>
        <w:tc>
          <w:tcPr>
            <w:tcW w:w="18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341,093,728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1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0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1"/>
              </w:rPr>
              <w:t>Subordinated</w:t>
            </w:r>
          </w:p>
        </w:tc>
        <w:tc>
          <w:tcPr>
            <w:tcW w:w="288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4"/>
                <w:szCs w:val="14"/>
                <w:b w:val="1"/>
                <w:bCs w:val="1"/>
                <w:color w:val="auto"/>
              </w:rPr>
              <w:t>Debt/Corporate Notes—37.4%</w:t>
            </w:r>
          </w:p>
        </w:tc>
        <w:tc>
          <w:tcPr>
            <w:tcW w:w="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Acentia, LLC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10/02/2017</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13.75%</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19,000,000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18,629,082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18,879,139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4"/>
              </w:rPr>
              <w:t>11/15/2015</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35,552,000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9"/>
              </w:rPr>
              <w:t>34,570,664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20,442,400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Alegeus Technologies, LLC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02/15/2019</w:t>
            </w: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8,930,000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8,773,751</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8,888,617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LLC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03/26/2018</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23,514,494</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23,114,286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1.00%)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Credit Infonet, Inc.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10/26/2018</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Personal, Food and</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12.25%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10,600,000</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10,399,101</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10,653,423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Escort, Inc.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06/01/2016</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25,965,563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25,579,621</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26,484,875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2.75%)</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JF Acquisition, LLC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06/30/2017</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17,517,386</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17,160,955</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17,517,386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Learning Care Group (US) Inc.</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05/08/2020</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7,215,989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6,754,246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7,215,989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15.00%)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LTI Flexible Products, Inc.</w:t>
            </w:r>
          </w:p>
        </w:tc>
        <w:tc>
          <w:tcPr>
            <w:tcW w:w="92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4"/>
              </w:rPr>
              <w:t>01/19/2019</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Chemicals, Plastics and</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12.50%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30,000,000</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w w:val="99"/>
              </w:rPr>
              <w:t>30,000,000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30,525,000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 xml:space="preserve">LTI Flexible Products, Inc. </w:t>
            </w:r>
            <w:r>
              <w:rPr>
                <w:rFonts w:ascii="Arial" w:cs="Arial" w:eastAsia="Arial" w:hAnsi="Arial"/>
                <w:sz w:val="12"/>
                <w:szCs w:val="12"/>
                <w:color w:val="auto"/>
              </w:rPr>
              <w:t>(9)</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01/11/2014</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Chemicals, Plastics and</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5,000,000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4,825,000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5,087,500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MSPark, Inc.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06/15/2017</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14.50%</w:t>
            </w:r>
            <w:r>
              <w:rPr>
                <w:rFonts w:ascii="Arial" w:cs="Arial" w:eastAsia="Arial" w:hAnsi="Arial"/>
                <w:sz w:val="12"/>
                <w:szCs w:val="12"/>
                <w:color w:val="auto"/>
              </w:rPr>
              <w:t>(7)</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15,000,000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14,691,342</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Varel International Energy Mezzanine Funding Corp.</w:t>
            </w:r>
          </w:p>
        </w:tc>
        <w:tc>
          <w:tcPr>
            <w:tcW w:w="9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4"/>
              </w:rPr>
              <w:t>01/15/2018</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37,070,637</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w w:val="99"/>
              </w:rPr>
              <w:t>36,441,726</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36,720,586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(PIK 4.00%)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Vestcom International, Inc.</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06/27/2019</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39,892,933</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39,147,926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39,827,248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270,087,700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2"/>
              </w:rPr>
              <w:t>260,809,374</w:t>
            </w:r>
          </w:p>
        </w:tc>
        <w:tc>
          <w:tcPr>
            <w:tcW w:w="0" w:type="dxa"/>
            <w:vAlign w:val="bottom"/>
          </w:tcPr>
          <w:p>
            <w:pPr>
              <w:spacing w:after="0"/>
              <w:rPr>
                <w:sz w:val="1"/>
                <w:szCs w:val="1"/>
                <w:color w:val="auto"/>
              </w:rPr>
            </w:pPr>
          </w:p>
        </w:tc>
      </w:tr>
      <w:tr>
        <w:trPr>
          <w:trHeight w:val="156"/>
        </w:trPr>
        <w:tc>
          <w:tcPr>
            <w:tcW w:w="37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Interests—1.2% </w:t>
            </w:r>
            <w:r>
              <w:rPr>
                <w:rFonts w:ascii="Arial" w:cs="Arial" w:eastAsia="Arial" w:hAnsi="Arial"/>
                <w:sz w:val="12"/>
                <w:szCs w:val="12"/>
                <w:b w:val="1"/>
                <w:bCs w:val="1"/>
                <w:color w:val="auto"/>
              </w:rPr>
              <w:t>(6)</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 and</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815,133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AHC Mezzanine, LLC</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318,896</w:t>
            </w:r>
          </w:p>
        </w:tc>
        <w:tc>
          <w:tcPr>
            <w:tcW w:w="100" w:type="dxa"/>
            <w:vAlign w:val="bottom"/>
          </w:tcPr>
          <w:p>
            <w:pPr>
              <w:spacing w:after="0"/>
              <w:rPr>
                <w:sz w:val="12"/>
                <w:szCs w:val="12"/>
                <w:color w:val="auto"/>
              </w:rPr>
            </w:pPr>
          </w:p>
        </w:tc>
        <w:tc>
          <w:tcPr>
            <w:tcW w:w="8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Holdings Corp., Series A (Alegeus</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949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949,050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805,697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765,307</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1,187,410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(Interactive Health Solutions, Inc.)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382,654</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593,705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2,375,000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2,584,106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326,215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326,215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326,215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HW Topco, Inc.</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24,177</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686</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685,820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685,820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TZ Holdings, L.P., Series B</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1,312</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1,312,006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862,664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Personal Transportation</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1,824,167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1,824,167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156,029</w:t>
            </w:r>
          </w:p>
        </w:tc>
        <w:tc>
          <w:tcPr>
            <w:tcW w:w="0" w:type="dxa"/>
            <w:vAlign w:val="bottom"/>
          </w:tcPr>
          <w:p>
            <w:pPr>
              <w:spacing w:after="0"/>
              <w:rPr>
                <w:sz w:val="1"/>
                <w:szCs w:val="1"/>
                <w:color w:val="auto"/>
              </w:rPr>
            </w:pPr>
          </w:p>
        </w:tc>
      </w:tr>
      <w:tr>
        <w:trPr>
          <w:trHeight w:val="163"/>
        </w:trPr>
        <w:tc>
          <w:tcPr>
            <w:tcW w:w="370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9,463,292</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8,051,870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Common Equity/Warrants/Partnership Interests—10.1%</w:t>
            </w:r>
            <w:r>
              <w:rPr>
                <w:rFonts w:ascii="Arial" w:cs="Arial" w:eastAsia="Arial" w:hAnsi="Arial"/>
                <w:sz w:val="12"/>
                <w:szCs w:val="12"/>
                <w:b w:val="1"/>
                <w:bCs w:val="1"/>
                <w:color w:val="auto"/>
                <w:w w:val="95"/>
              </w:rPr>
              <w:t>(6)</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2,000,000</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1,572,603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1"/>
              </w:rPr>
              <w:t>03/23/2021</w:t>
            </w:r>
          </w:p>
        </w:tc>
        <w:tc>
          <w:tcPr>
            <w:tcW w:w="24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2,499,319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Alegeus Technologies Holding Corp., Class A (Alegeus</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950</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Broadcasting and</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1,333,330</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Entertainment</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1,505,000</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1,505,000</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2,308,777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 (Interactive Health</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23,416</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234,693</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364,156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920" w:type="dxa"/>
            <w:vAlign w:val="bottom"/>
            <w:gridSpan w:val="2"/>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11,708</w:t>
            </w:r>
          </w:p>
        </w:tc>
        <w:tc>
          <w:tcPr>
            <w:tcW w:w="80" w:type="dxa"/>
            <w:vAlign w:val="bottom"/>
          </w:tcPr>
          <w:p>
            <w:pPr>
              <w:spacing w:after="0"/>
              <w:rPr>
                <w:sz w:val="11"/>
                <w:szCs w:val="11"/>
                <w:color w:val="auto"/>
              </w:rPr>
            </w:pPr>
          </w:p>
        </w:tc>
        <w:tc>
          <w:tcPr>
            <w:tcW w:w="96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117,346</w:t>
            </w:r>
          </w:p>
        </w:tc>
        <w:tc>
          <w:tcPr>
            <w:tcW w:w="100" w:type="dxa"/>
            <w:vAlign w:val="bottom"/>
          </w:tcPr>
          <w:p>
            <w:pPr>
              <w:spacing w:after="0"/>
              <w:rPr>
                <w:sz w:val="11"/>
                <w:szCs w:val="11"/>
                <w:color w:val="auto"/>
              </w:rPr>
            </w:pPr>
          </w:p>
        </w:tc>
        <w:tc>
          <w:tcPr>
            <w:tcW w:w="8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182,078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tcPr>
          <w:p>
            <w:pPr>
              <w:ind w:left="140"/>
              <w:spacing w:after="0"/>
              <w:rPr>
                <w:sz w:val="20"/>
                <w:szCs w:val="20"/>
                <w:color w:val="auto"/>
              </w:rPr>
            </w:pPr>
            <w:r>
              <w:rPr>
                <w:rFonts w:ascii="Arial" w:cs="Arial" w:eastAsia="Arial" w:hAnsi="Arial"/>
                <w:sz w:val="14"/>
                <w:szCs w:val="14"/>
                <w:color w:val="auto"/>
              </w:rPr>
              <w:t>Solutions, Inc.)</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8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 (Convergint</w:t>
            </w:r>
          </w:p>
        </w:tc>
        <w:tc>
          <w:tcPr>
            <w:tcW w:w="920" w:type="dxa"/>
            <w:vAlign w:val="bottom"/>
            <w:gridSpan w:val="2"/>
            <w:shd w:val="clear" w:color="auto" w:fill="CCEEFF"/>
          </w:tcPr>
          <w:p>
            <w:pPr>
              <w:jc w:val="center"/>
              <w:ind w:right="300"/>
              <w:spacing w:after="0" w:line="130"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54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2,375</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212,881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Technologies LLC)</w:t>
            </w: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5,556</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1,918,346</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7,285,399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92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9"/>
              </w:rPr>
              <w:t>—</w:t>
            </w:r>
          </w:p>
        </w:tc>
        <w:tc>
          <w:tcPr>
            <w:tcW w:w="1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386,770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2,697,835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3,400,855</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Maturity</w:t>
            </w: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Industry</w:t>
            </w:r>
          </w:p>
        </w:tc>
        <w:tc>
          <w:tcPr>
            <w:tcW w:w="1080" w:type="dxa"/>
            <w:vAlign w:val="bottom"/>
            <w:gridSpan w:val="2"/>
            <w:vMerge w:val="continue"/>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Above</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98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Kadmon Holdings, LLC, Class A</w:t>
            </w:r>
          </w:p>
        </w:tc>
        <w:tc>
          <w:tcPr>
            <w:tcW w:w="660" w:type="dxa"/>
            <w:vAlign w:val="bottom"/>
            <w:shd w:val="clear" w:color="auto" w:fill="CCEEFF"/>
          </w:tcPr>
          <w:p>
            <w:pPr>
              <w:ind w:left="220"/>
              <w:spacing w:after="0" w:line="123" w:lineRule="exact"/>
              <w:rPr>
                <w:sz w:val="20"/>
                <w:szCs w:val="20"/>
                <w:color w:val="auto"/>
              </w:rPr>
            </w:pPr>
            <w:r>
              <w:rPr>
                <w:rFonts w:ascii="Arial" w:cs="Arial" w:eastAsia="Arial" w:hAnsi="Arial"/>
                <w:sz w:val="14"/>
                <w:szCs w:val="14"/>
                <w:color w:val="auto"/>
              </w:rPr>
              <w:t>—</w:t>
            </w:r>
          </w:p>
        </w:tc>
        <w:tc>
          <w:tcPr>
            <w:tcW w:w="180" w:type="dxa"/>
            <w:vAlign w:val="bottom"/>
            <w:vMerge w:val="continue"/>
            <w:shd w:val="clear" w:color="auto" w:fill="CCEEFF"/>
          </w:tcPr>
          <w:p>
            <w:pPr>
              <w:spacing w:after="0"/>
              <w:rPr>
                <w:sz w:val="10"/>
                <w:szCs w:val="10"/>
                <w:color w:val="auto"/>
              </w:rPr>
            </w:pPr>
          </w:p>
        </w:tc>
        <w:tc>
          <w:tcPr>
            <w:tcW w:w="1400" w:type="dxa"/>
            <w:vAlign w:val="bottom"/>
            <w:shd w:val="clear" w:color="auto" w:fill="CCEEFF"/>
          </w:tcPr>
          <w:p>
            <w:pPr>
              <w:jc w:val="center"/>
              <w:spacing w:after="0" w:line="123" w:lineRule="exact"/>
              <w:rPr>
                <w:sz w:val="20"/>
                <w:szCs w:val="20"/>
                <w:color w:val="auto"/>
              </w:rPr>
            </w:pPr>
            <w:r>
              <w:rPr>
                <w:rFonts w:ascii="Arial" w:cs="Arial" w:eastAsia="Arial" w:hAnsi="Arial"/>
                <w:sz w:val="14"/>
                <w:szCs w:val="14"/>
                <w:color w:val="auto"/>
                <w:w w:val="92"/>
              </w:rPr>
              <w:t>Healthcare, Education</w:t>
            </w:r>
          </w:p>
        </w:tc>
        <w:tc>
          <w:tcPr>
            <w:tcW w:w="16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38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1,079,920</w:t>
            </w:r>
          </w:p>
        </w:tc>
        <w:tc>
          <w:tcPr>
            <w:tcW w:w="320" w:type="dxa"/>
            <w:vAlign w:val="bottom"/>
            <w:vMerge w:val="continue"/>
            <w:shd w:val="clear" w:color="auto" w:fill="CCEEFF"/>
          </w:tcPr>
          <w:p>
            <w:pPr>
              <w:spacing w:after="0"/>
              <w:rPr>
                <w:sz w:val="10"/>
                <w:szCs w:val="10"/>
                <w:color w:val="auto"/>
              </w:rPr>
            </w:pPr>
          </w:p>
        </w:tc>
        <w:tc>
          <w:tcPr>
            <w:tcW w:w="840" w:type="dxa"/>
            <w:vAlign w:val="bottom"/>
            <w:tcBorders>
              <w:right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1,236,832</w:t>
            </w:r>
          </w:p>
        </w:tc>
        <w:tc>
          <w:tcPr>
            <w:tcW w:w="240" w:type="dxa"/>
            <w:vAlign w:val="bottom"/>
            <w:vMerge w:val="continue"/>
            <w:shd w:val="clear" w:color="auto" w:fill="CCEEFF"/>
          </w:tcPr>
          <w:p>
            <w:pPr>
              <w:spacing w:after="0"/>
              <w:rPr>
                <w:sz w:val="10"/>
                <w:szCs w:val="10"/>
                <w:color w:val="auto"/>
              </w:rPr>
            </w:pPr>
          </w:p>
        </w:tc>
        <w:tc>
          <w:tcPr>
            <w:tcW w:w="820" w:type="dxa"/>
            <w:vAlign w:val="bottom"/>
            <w:shd w:val="clear" w:color="auto" w:fill="CCEEFF"/>
          </w:tcPr>
          <w:p>
            <w:pPr>
              <w:jc w:val="right"/>
              <w:spacing w:after="0" w:line="123" w:lineRule="exact"/>
              <w:rPr>
                <w:sz w:val="20"/>
                <w:szCs w:val="20"/>
                <w:color w:val="auto"/>
              </w:rPr>
            </w:pPr>
            <w:r>
              <w:rPr>
                <w:rFonts w:ascii="Arial" w:cs="Arial" w:eastAsia="Arial" w:hAnsi="Arial"/>
                <w:sz w:val="14"/>
                <w:szCs w:val="14"/>
                <w:color w:val="auto"/>
              </w:rPr>
              <w:t>11,085,403</w:t>
            </w:r>
          </w:p>
        </w:tc>
        <w:tc>
          <w:tcPr>
            <w:tcW w:w="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D</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1,079,920</w:t>
            </w:r>
          </w:p>
        </w:tc>
        <w:tc>
          <w:tcPr>
            <w:tcW w:w="32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1,028,807</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04/27/2020</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Education</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6,649</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4,300,696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w w:val="97"/>
              </w:rPr>
              <w:t>Magnum Hunter Resources Corporation (Eureka Hunter Pipeline,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0" w:lineRule="exact"/>
              <w:rPr>
                <w:sz w:val="20"/>
                <w:szCs w:val="20"/>
                <w:color w:val="auto"/>
              </w:rPr>
            </w:pPr>
            <w:r>
              <w:rPr>
                <w:rFonts w:ascii="Arial" w:cs="Arial" w:eastAsia="Arial" w:hAnsi="Arial"/>
                <w:sz w:val="14"/>
                <w:szCs w:val="14"/>
                <w:color w:val="auto"/>
              </w:rPr>
              <w:t>1,221,932</w:t>
            </w:r>
          </w:p>
        </w:tc>
        <w:tc>
          <w:tcPr>
            <w:tcW w:w="32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3,057,500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7,539,320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 (Warrants)(Eureka</w:t>
            </w:r>
          </w:p>
        </w:tc>
        <w:tc>
          <w:tcPr>
            <w:tcW w:w="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10/14/2013</w:t>
            </w: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122,193</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105,697</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Hunter Pipeline, LLC)</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 (Warrants)(Eureka</w:t>
            </w:r>
          </w:p>
        </w:tc>
        <w:tc>
          <w:tcPr>
            <w:tcW w:w="660" w:type="dxa"/>
            <w:vAlign w:val="bottom"/>
          </w:tcPr>
          <w:p>
            <w:pPr>
              <w:spacing w:after="0" w:line="130" w:lineRule="exact"/>
              <w:rPr>
                <w:sz w:val="20"/>
                <w:szCs w:val="20"/>
                <w:color w:val="auto"/>
              </w:rPr>
            </w:pPr>
            <w:r>
              <w:rPr>
                <w:rFonts w:ascii="Arial" w:cs="Arial" w:eastAsia="Arial" w:hAnsi="Arial"/>
                <w:sz w:val="14"/>
                <w:szCs w:val="14"/>
                <w:color w:val="auto"/>
                <w:w w:val="91"/>
              </w:rPr>
              <w:t>04/16/2016</w:t>
            </w:r>
          </w:p>
        </w:tc>
        <w:tc>
          <w:tcPr>
            <w:tcW w:w="180" w:type="dxa"/>
            <w:vAlign w:val="bottom"/>
          </w:tcPr>
          <w:p>
            <w:pPr>
              <w:spacing w:after="0"/>
              <w:rPr>
                <w:sz w:val="11"/>
                <w:szCs w:val="11"/>
                <w:color w:val="auto"/>
              </w:rPr>
            </w:pP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Oil and Gas</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122,193</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182,499</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205,667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Hunter Pipeline, 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8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Distribution</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1,850</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1,850,294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1,845,784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(JF Acquisition, LLC)</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MidOcean PPL Holdings, Corp.</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Personal, Food and</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5,441,976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(Pre-Paid Legal Services, Inc.)</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Miscellaneous Services</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Paradigm Acquisition Corp.</w:t>
            </w:r>
          </w:p>
        </w:tc>
        <w:tc>
          <w:tcPr>
            <w:tcW w:w="84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08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20,000</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3,720,481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QMG HoldCo, LLC, Class A (Questex Media Group, LLC)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4,325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1,306,167</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2,073,419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QMG HoldCo, LLC, Class B (Questex Media Group, LLC)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254,563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 (LTI Flexible Products, Inc.)</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300,000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3,000,000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5,571,120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Rubber</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12/29/2019</w:t>
            </w:r>
          </w:p>
        </w:tc>
        <w:tc>
          <w:tcPr>
            <w:tcW w:w="18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3,500</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29,400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606,681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r>
              <w:rPr>
                <w:rFonts w:ascii="Arial" w:cs="Arial" w:eastAsia="Arial" w:hAnsi="Arial"/>
                <w:sz w:val="14"/>
                <w:szCs w:val="14"/>
                <w:color w:val="auto"/>
              </w:rPr>
              <w:t xml:space="preserve"> (Intermediate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137,923</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2,111,588</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379,453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80" w:type="dxa"/>
            <w:vAlign w:val="bottom"/>
            <w:gridSpan w:val="2"/>
          </w:tcPr>
          <w:p>
            <w:pPr>
              <w:ind w:left="140"/>
              <w:spacing w:after="0"/>
              <w:rPr>
                <w:sz w:val="20"/>
                <w:szCs w:val="20"/>
                <w:color w:val="auto"/>
              </w:rPr>
            </w:pPr>
            <w:r>
              <w:rPr>
                <w:rFonts w:ascii="Arial" w:cs="Arial" w:eastAsia="Arial" w:hAnsi="Arial"/>
                <w:sz w:val="14"/>
                <w:szCs w:val="14"/>
                <w:color w:val="auto"/>
              </w:rPr>
              <w:t>Transportation 100, L.L.C.)</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TZ Holdings, L.P.</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Insurance</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9,567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Vestcom Parent Holdings, Inc. (Vestcom International,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4"/>
              </w:rPr>
              <w:t>Printing and Publishing</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211,797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2,325,555</w:t>
            </w:r>
          </w:p>
        </w:tc>
        <w:tc>
          <w:tcPr>
            <w:tcW w:w="24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2,626,512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Personal Transportation</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9,166</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9,166</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35,526</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5,966,074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37,557,162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70,472,831</w:t>
            </w:r>
          </w:p>
        </w:tc>
        <w:tc>
          <w:tcPr>
            <w:tcW w:w="0" w:type="dxa"/>
            <w:vAlign w:val="bottom"/>
          </w:tcPr>
          <w:p>
            <w:pPr>
              <w:spacing w:after="0"/>
              <w:rPr>
                <w:sz w:val="1"/>
                <w:szCs w:val="1"/>
                <w:color w:val="auto"/>
              </w:rPr>
            </w:pPr>
          </w:p>
        </w:tc>
      </w:tr>
      <w:tr>
        <w:trPr>
          <w:trHeight w:val="163"/>
        </w:trPr>
        <w:tc>
          <w:tcPr>
            <w:tcW w:w="48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Non-Affiliated Portfolio Companies</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928,078,589</w:t>
            </w:r>
          </w:p>
        </w:tc>
        <w:tc>
          <w:tcPr>
            <w:tcW w:w="24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968,471,042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 xml:space="preserve">Investments in Non-Controlled, Affiliated Portfolio Companies—11.0% </w:t>
            </w:r>
            <w:r>
              <w:rPr>
                <w:rFonts w:ascii="Arial" w:cs="Arial" w:eastAsia="Arial" w:hAnsi="Arial"/>
                <w:sz w:val="12"/>
                <w:szCs w:val="12"/>
                <w:b w:val="1"/>
                <w:bCs w:val="1"/>
                <w:color w:val="auto"/>
                <w:w w:val="95"/>
              </w:rPr>
              <w:t>(1),(2)</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DirectBuy Holdings, Inc.</w:t>
            </w:r>
          </w:p>
        </w:tc>
        <w:tc>
          <w:tcPr>
            <w:tcW w:w="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88"/>
              </w:rPr>
              <w:t>11/05/2019</w:t>
            </w:r>
          </w:p>
        </w:tc>
        <w:tc>
          <w:tcPr>
            <w:tcW w:w="18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380"/>
              <w:spacing w:after="0" w:line="130"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11,428,224</w:t>
            </w:r>
          </w:p>
        </w:tc>
        <w:tc>
          <w:tcPr>
            <w:tcW w:w="840" w:type="dxa"/>
            <w:vAlign w:val="bottom"/>
            <w:tcBorders>
              <w:right w:val="single" w:sz="8" w:color="CCEEFF"/>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93"/>
              </w:rPr>
              <w:t>$  11,428,224</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w w:val="93"/>
              </w:rPr>
              <w:t>$  11,428,224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(PIK 12.00%)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660" w:type="dxa"/>
            <w:vAlign w:val="bottom"/>
          </w:tcPr>
          <w:p>
            <w:pPr>
              <w:spacing w:after="0" w:line="149" w:lineRule="exact"/>
              <w:rPr>
                <w:sz w:val="20"/>
                <w:szCs w:val="20"/>
                <w:color w:val="auto"/>
              </w:rPr>
            </w:pPr>
            <w:r>
              <w:rPr>
                <w:rFonts w:ascii="Arial" w:cs="Arial" w:eastAsia="Arial" w:hAnsi="Arial"/>
                <w:sz w:val="14"/>
                <w:szCs w:val="14"/>
                <w:color w:val="auto"/>
                <w:w w:val="91"/>
              </w:rPr>
              <w:t>10/02/2017</w:t>
            </w:r>
          </w:p>
        </w:tc>
        <w:tc>
          <w:tcPr>
            <w:tcW w:w="180" w:type="dxa"/>
            <w:vAlign w:val="bottom"/>
          </w:tcPr>
          <w:p>
            <w:pPr>
              <w:spacing w:after="0"/>
              <w:rPr>
                <w:sz w:val="13"/>
                <w:szCs w:val="13"/>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28,000,000</w:t>
            </w:r>
          </w:p>
        </w:tc>
        <w:tc>
          <w:tcPr>
            <w:tcW w:w="32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otal Subordinated Debt/Corporate Notes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38,902,937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Equity—0.2%</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Aerospace and Defense</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53,071</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20,059,340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56"/>
        </w:trPr>
        <w:tc>
          <w:tcPr>
            <w:tcW w:w="40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xml:space="preserve">Common Equity/Partnership Interest—5.1% </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104,719</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21,492,822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auto"/>
                <w:w w:val="88"/>
              </w:rPr>
              <w:t>11/05/2022</w:t>
            </w:r>
          </w:p>
        </w:tc>
        <w:tc>
          <w:tcPr>
            <w:tcW w:w="1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15,486</w:t>
            </w:r>
          </w:p>
        </w:tc>
        <w:tc>
          <w:tcPr>
            <w:tcW w:w="10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Environmental Services</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142,684</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11,891,822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80" w:type="dxa"/>
            <w:vAlign w:val="bottom"/>
            <w:gridSpan w:val="2"/>
          </w:tcPr>
          <w:p>
            <w:pPr>
              <w:spacing w:after="0" w:line="130" w:lineRule="exact"/>
              <w:rPr>
                <w:sz w:val="20"/>
                <w:szCs w:val="20"/>
                <w:color w:val="auto"/>
              </w:rPr>
            </w:pPr>
            <w:r>
              <w:rPr>
                <w:rFonts w:ascii="Arial" w:cs="Arial" w:eastAsia="Arial" w:hAnsi="Arial"/>
                <w:sz w:val="14"/>
                <w:szCs w:val="14"/>
                <w:color w:val="auto"/>
              </w:rPr>
              <w:t>NCP-Performance</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Leisure, Amusement,</w:t>
            </w:r>
          </w:p>
        </w:tc>
        <w:tc>
          <w:tcPr>
            <w:tcW w:w="108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375,000</w:t>
            </w: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3,750,000</w:t>
            </w:r>
          </w:p>
        </w:tc>
        <w:tc>
          <w:tcPr>
            <w:tcW w:w="240" w:type="dxa"/>
            <w:vAlign w:val="bottom"/>
          </w:tcPr>
          <w:p>
            <w:pPr>
              <w:spacing w:after="0"/>
              <w:rPr>
                <w:sz w:val="11"/>
                <w:szCs w:val="11"/>
                <w:color w:val="auto"/>
              </w:rPr>
            </w:pP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5"/>
              </w:rPr>
              <w:t>Motion Pictures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and Entertainment</w:t>
            </w: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Auto Sector</w:t>
            </w:r>
          </w:p>
        </w:tc>
        <w:tc>
          <w:tcPr>
            <w:tcW w:w="10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16,800</w:t>
            </w: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2,721,600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gridSpan w:val="2"/>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Aerospace and Defense</w:t>
            </w:r>
          </w:p>
        </w:tc>
        <w:tc>
          <w:tcPr>
            <w:tcW w:w="10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53,071</w:t>
            </w: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240" w:type="dxa"/>
            <w:vAlign w:val="bottom"/>
          </w:tcPr>
          <w:p>
            <w:pPr>
              <w:spacing w:after="0"/>
              <w:rPr>
                <w:sz w:val="13"/>
                <w:szCs w:val="13"/>
                <w:color w:val="auto"/>
              </w:rPr>
            </w:pPr>
          </w:p>
        </w:tc>
        <w:tc>
          <w:tcPr>
            <w:tcW w:w="820" w:type="dxa"/>
            <w:vAlign w:val="bottom"/>
            <w:tcBorders>
              <w:bottom w:val="single" w:sz="8" w:color="auto"/>
            </w:tcBorders>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35,365,237</w:t>
            </w:r>
          </w:p>
        </w:tc>
        <w:tc>
          <w:tcPr>
            <w:tcW w:w="0" w:type="dxa"/>
            <w:vAlign w:val="bottom"/>
          </w:tcPr>
          <w:p>
            <w:pPr>
              <w:spacing w:after="0"/>
              <w:rPr>
                <w:sz w:val="1"/>
                <w:szCs w:val="1"/>
                <w:color w:val="auto"/>
              </w:rPr>
            </w:pPr>
          </w:p>
        </w:tc>
      </w:tr>
      <w:tr>
        <w:trPr>
          <w:trHeight w:val="156"/>
        </w:trPr>
        <w:tc>
          <w:tcPr>
            <w:tcW w:w="48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99,021,141</w:t>
            </w:r>
          </w:p>
        </w:tc>
        <w:tc>
          <w:tcPr>
            <w:tcW w:w="2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76,735,800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Spread</w:t>
            </w: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Par/</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98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Coupon</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xml:space="preserve">Index </w:t>
            </w:r>
            <w:r>
              <w:rPr>
                <w:rFonts w:ascii="Arial" w:cs="Arial" w:eastAsia="Arial" w:hAnsi="Arial"/>
                <w:sz w:val="12"/>
                <w:szCs w:val="12"/>
                <w:b w:val="1"/>
                <w:bCs w:val="1"/>
                <w:color w:val="auto"/>
                <w:w w:val="97"/>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3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3"/>
              </w:rPr>
              <w:t>in Controlled, Affiliated Portfolio Companies—4.7%</w:t>
            </w:r>
          </w:p>
        </w:tc>
        <w:tc>
          <w:tcPr>
            <w:tcW w:w="660" w:type="dxa"/>
            <w:vAlign w:val="bottom"/>
            <w:tcBorders>
              <w:top w:val="single" w:sz="8" w:color="auto"/>
            </w:tcBorders>
            <w:shd w:val="clear" w:color="auto" w:fill="CCEEFF"/>
          </w:tcPr>
          <w:p>
            <w:pPr>
              <w:jc w:val="right"/>
              <w:ind w:right="189"/>
              <w:spacing w:after="0" w:line="129" w:lineRule="exact"/>
              <w:rPr>
                <w:sz w:val="20"/>
                <w:szCs w:val="20"/>
                <w:color w:val="auto"/>
              </w:rPr>
            </w:pPr>
            <w:r>
              <w:rPr>
                <w:rFonts w:ascii="Arial" w:cs="Arial" w:eastAsia="Arial" w:hAnsi="Arial"/>
                <w:sz w:val="12"/>
                <w:szCs w:val="12"/>
                <w:b w:val="1"/>
                <w:bCs w:val="1"/>
                <w:color w:val="auto"/>
              </w:rPr>
              <w:t>(1),(2)</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06/30/2020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9,556,385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Universal Pegasus International, LLC </w:t>
            </w:r>
            <w:r>
              <w:rPr>
                <w:rFonts w:ascii="Arial" w:cs="Arial" w:eastAsia="Arial" w:hAnsi="Arial"/>
                <w:sz w:val="12"/>
                <w:szCs w:val="12"/>
                <w:color w:val="auto"/>
              </w:rPr>
              <w:t>(9)</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12/31/2015</w:t>
            </w:r>
          </w:p>
        </w:tc>
        <w:tc>
          <w:tcPr>
            <w:tcW w:w="18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1,916,667</w:t>
            </w:r>
          </w:p>
        </w:tc>
        <w:tc>
          <w:tcPr>
            <w:tcW w:w="3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1,787,941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1,916,667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11,037,941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Universal Pegasus International, LLC</w:t>
            </w:r>
          </w:p>
        </w:tc>
        <w:tc>
          <w:tcPr>
            <w:tcW w:w="6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12/31/2015</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15.00%</w:t>
            </w:r>
          </w:p>
        </w:tc>
        <w:tc>
          <w:tcPr>
            <w:tcW w:w="9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4"/>
              </w:rPr>
              <w:t>16,615,645</w:t>
            </w:r>
          </w:p>
        </w:tc>
        <w:tc>
          <w:tcPr>
            <w:tcW w:w="3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14,709,502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16,449,489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8"/>
              </w:rPr>
              <w:t>(PIK 15.00%)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6/30/2020</w:t>
            </w:r>
          </w:p>
        </w:tc>
        <w:tc>
          <w:tcPr>
            <w:tcW w:w="1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1,961,667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Preferred Equity—0.4%</w:t>
            </w:r>
            <w:r>
              <w:rPr>
                <w:rFonts w:ascii="Arial" w:cs="Arial" w:eastAsia="Arial" w:hAnsi="Arial"/>
                <w:sz w:val="12"/>
                <w:szCs w:val="12"/>
                <w:b w:val="1"/>
                <w:bCs w:val="1"/>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2,000</w:t>
            </w: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1,981,948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60" w:type="dxa"/>
            <w:vAlign w:val="bottom"/>
            <w:gridSpan w:val="2"/>
          </w:tcPr>
          <w:p>
            <w:pPr>
              <w:spacing w:after="0" w:line="130" w:lineRule="exact"/>
              <w:rPr>
                <w:sz w:val="20"/>
                <w:szCs w:val="20"/>
                <w:color w:val="auto"/>
              </w:rPr>
            </w:pPr>
            <w:r>
              <w:rPr>
                <w:rFonts w:ascii="Arial" w:cs="Arial" w:eastAsia="Arial" w:hAnsi="Arial"/>
                <w:sz w:val="14"/>
                <w:szCs w:val="14"/>
                <w:color w:val="auto"/>
              </w:rPr>
              <w:t>Universal Pegasus International Holdings, Inc.</w:t>
            </w:r>
          </w:p>
        </w:tc>
        <w:tc>
          <w:tcPr>
            <w:tcW w:w="84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376,988</w:t>
            </w:r>
          </w:p>
        </w:tc>
        <w:tc>
          <w:tcPr>
            <w:tcW w:w="10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34,420,612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1,102,555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60" w:type="dxa"/>
            <w:vAlign w:val="bottom"/>
            <w:gridSpan w:val="2"/>
          </w:tcPr>
          <w:p>
            <w:pPr>
              <w:ind w:left="140"/>
              <w:spacing w:after="0"/>
              <w:rPr>
                <w:sz w:val="20"/>
                <w:szCs w:val="20"/>
                <w:color w:val="auto"/>
              </w:rPr>
            </w:pPr>
            <w:r>
              <w:rPr>
                <w:rFonts w:ascii="Arial" w:cs="Arial" w:eastAsia="Arial" w:hAnsi="Arial"/>
                <w:sz w:val="14"/>
                <w:szCs w:val="14"/>
                <w:color w:val="auto"/>
              </w:rPr>
              <w:t>(Universal Pegasus International, LLC)</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36,420,612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3,084,503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Common Equity—0.0</w:t>
            </w:r>
            <w:r>
              <w:rPr>
                <w:rFonts w:ascii="Arial" w:cs="Arial" w:eastAsia="Arial" w:hAnsi="Arial"/>
                <w:sz w:val="14"/>
                <w:szCs w:val="14"/>
                <w:color w:val="auto"/>
              </w:rPr>
              <w:t>%</w:t>
            </w:r>
            <w:r>
              <w:rPr>
                <w:rFonts w:ascii="Arial" w:cs="Arial" w:eastAsia="Arial" w:hAnsi="Arial"/>
                <w:sz w:val="12"/>
                <w:szCs w:val="12"/>
                <w:color w:val="auto"/>
              </w:rPr>
              <w:t>(6)</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4"/>
              </w:rPr>
              <w:t>Total Investments in Controlled, Affiliated Portfolio Companies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1,091,517,885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1,078,175,553</w:t>
            </w:r>
          </w:p>
        </w:tc>
        <w:tc>
          <w:tcPr>
            <w:tcW w:w="0" w:type="dxa"/>
            <w:vAlign w:val="bottom"/>
          </w:tcPr>
          <w:p>
            <w:pPr>
              <w:spacing w:after="0"/>
              <w:rPr>
                <w:sz w:val="1"/>
                <w:szCs w:val="1"/>
                <w:color w:val="auto"/>
              </w:rPr>
            </w:pPr>
          </w:p>
        </w:tc>
      </w:tr>
      <w:tr>
        <w:trPr>
          <w:trHeight w:val="156"/>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2,667,511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2,446,232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2,446,232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53,327,086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9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Cash and Cash Equivalents—163.0%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8"/>
              </w:rPr>
              <w:t>$ 1,149,958,714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1,136,616,382</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94"/>
              </w:rPr>
              <w:t>(439,110,183)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697,506,199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right="20" w:hanging="332"/>
        <w:spacing w:after="0" w:line="248" w:lineRule="auto"/>
        <w:tabs>
          <w:tab w:leader="none" w:pos="34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0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spacing w:after="0"/>
        <w:rPr>
          <w:sz w:val="20"/>
          <w:szCs w:val="20"/>
          <w:color w:val="auto"/>
        </w:rPr>
      </w:pPr>
      <w:r>
        <w:rPr>
          <w:rFonts w:ascii="Arial" w:cs="Arial" w:eastAsia="Arial" w:hAnsi="Arial"/>
          <w:sz w:val="14"/>
          <w:szCs w:val="14"/>
          <w:color w:val="auto"/>
        </w:rPr>
        <w:t>(13)Investment is held through PNNT Transportation 100 Holdco, L.L.C., a consolidated subsidiary.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Basis Point</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Current</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Spread</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Par/</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Above</w:t>
            </w: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8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Coupon</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00" w:type="dxa"/>
            <w:vAlign w:val="bottom"/>
            <w:vMerge w:val="restart"/>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Non-Controlled, Non-Affiliated Portfolio</w:t>
            </w: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0"/>
              </w:rPr>
              <w:t>Investments</w:t>
            </w:r>
          </w:p>
        </w:tc>
        <w:tc>
          <w:tcPr>
            <w:tcW w:w="2900" w:type="dxa"/>
            <w:vAlign w:val="bottom"/>
            <w:vMerge w:val="continue"/>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2"/>
              </w:rPr>
              <w:t>Companies—130.3%</w:t>
            </w:r>
          </w:p>
        </w:tc>
        <w:tc>
          <w:tcPr>
            <w:tcW w:w="1380" w:type="dxa"/>
            <w:vAlign w:val="bottom"/>
            <w:shd w:val="clear" w:color="auto" w:fill="CCEEFF"/>
          </w:tcPr>
          <w:p>
            <w:pPr>
              <w:jc w:val="right"/>
              <w:ind w:right="868"/>
              <w:spacing w:after="0" w:line="129" w:lineRule="exact"/>
              <w:rPr>
                <w:sz w:val="20"/>
                <w:szCs w:val="20"/>
                <w:color w:val="auto"/>
              </w:rPr>
            </w:pPr>
            <w:r>
              <w:rPr>
                <w:rFonts w:ascii="Arial" w:cs="Arial" w:eastAsia="Arial" w:hAnsi="Arial"/>
                <w:sz w:val="12"/>
                <w:szCs w:val="12"/>
                <w:b w:val="1"/>
                <w:bCs w:val="1"/>
                <w:color w:val="auto"/>
              </w:rPr>
              <w:t>(1),(2)</w:t>
            </w:r>
          </w:p>
        </w:tc>
        <w:tc>
          <w:tcPr>
            <w:tcW w:w="160" w:type="dxa"/>
            <w:vAlign w:val="bottom"/>
            <w:vMerge w:val="continue"/>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06/21/2017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11.25%</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L+975</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14,906,250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14,332,682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14,906,250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American Surgical Holdings,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03/23/2015</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14.00%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L+1,000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17,811,828</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17,441,366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17,811,828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02/07/2014</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3.68%</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L+325</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1,757,029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1,973,334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10/01/2016</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11.63%</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7,355,237</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CEVA Group PLC</w:t>
            </w:r>
            <w:r>
              <w:rPr>
                <w:rFonts w:ascii="Arial" w:cs="Arial" w:eastAsia="Arial" w:hAnsi="Arial"/>
                <w:sz w:val="12"/>
                <w:szCs w:val="12"/>
                <w:color w:val="auto"/>
              </w:rPr>
              <w:t>(5),(10)</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04/01/2018</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990,089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Columbus International, Inc.</w:t>
            </w:r>
            <w:r>
              <w:rPr>
                <w:rFonts w:ascii="Arial" w:cs="Arial" w:eastAsia="Arial" w:hAnsi="Arial"/>
                <w:sz w:val="12"/>
                <w:szCs w:val="12"/>
                <w:color w:val="auto"/>
              </w:rPr>
              <w:t>(5), (10)</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11/20/2014</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Communications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10,000,000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10,000,000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11,100,000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Good Sam Enterprises, LLC</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12/01/2016</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11,795,443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Hanley-Wood,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01/13/2017</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L+650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1,752,896</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1,752,896</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1,752,896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IDQ Holdings, Inc. </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04/01/2017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5"/>
              </w:rPr>
              <w:t>Auto Sector</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11,500,000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11,288,165</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12,218,750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Instant Web,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08/07/2014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Printing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14.50%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24,115,645</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23,829,738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23,802,142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Publishing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Interactive Health Solutions, Inc.</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10/04/2016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18,525,000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18,165,492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18,571,313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Jacuzzi Brands Corp.</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02/07/2014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Home and Office</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2.28%</w:t>
            </w:r>
          </w:p>
        </w:tc>
        <w:tc>
          <w:tcPr>
            <w:tcW w:w="1040" w:type="dxa"/>
            <w:vAlign w:val="bottom"/>
            <w:gridSpan w:val="2"/>
          </w:tcPr>
          <w:p>
            <w:pPr>
              <w:jc w:val="right"/>
              <w:ind w:right="360"/>
              <w:spacing w:after="0" w:line="130" w:lineRule="exact"/>
              <w:rPr>
                <w:sz w:val="20"/>
                <w:szCs w:val="20"/>
                <w:color w:val="auto"/>
              </w:rPr>
            </w:pPr>
            <w:r>
              <w:rPr>
                <w:rFonts w:ascii="Arial" w:cs="Arial" w:eastAsia="Arial" w:hAnsi="Arial"/>
                <w:sz w:val="14"/>
                <w:szCs w:val="14"/>
                <w:color w:val="auto"/>
              </w:rPr>
              <w:t>L+225</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9,598,649</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9,598,649</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6,371,103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Furnishings,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Housewares and</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Durable Consumer</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Products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09/10/2015</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Chemicals, Plastics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10.00%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L+775</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18,952,500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18,216,865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19,236,788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0"/>
              </w:rPr>
              <w:t>and Rubber</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Kadmon Pharmaceuticals, LLC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10/31/2012</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15.00%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L+1,300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4,931,494</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4,992,740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5,110,409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04/27/2016</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26,052,632</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25,640,832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25,857,237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Penton Media, Inc.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08/01/2014</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5.00%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L+400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37,775,294</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33,971,917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30,503,550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Tranche A</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12/30/2016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7.50%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L+600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1,552,846</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1,533,687</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1,556,728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Pre-Paid Legal Services, Inc., Tranche B</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12/30/2016</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L+950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35,000,000</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34,118,800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35,350,000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w:t>
            </w:r>
            <w:r>
              <w:rPr>
                <w:rFonts w:ascii="Arial" w:cs="Arial" w:eastAsia="Arial" w:hAnsi="Arial"/>
                <w:sz w:val="12"/>
                <w:szCs w:val="12"/>
                <w:color w:val="auto"/>
              </w:rPr>
              <w:t>(9)</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12/16/2012</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1.36%</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133,603</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133,603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133,603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01/29/2018</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Telecommunications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L+750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838,369</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01/29/2018</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1"/>
              </w:rPr>
              <w:t>Telecommunications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13.50%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L+1,200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10,625,000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10,338,450</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10,848,126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Worley Claims Services,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07/06/2017</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Insurance</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14,934,000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14,934,000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14,859,330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Yonkers Racing Corp.</w:t>
            </w:r>
            <w:r>
              <w:rPr>
                <w:rFonts w:ascii="Arial" w:cs="Arial" w:eastAsia="Arial" w:hAnsi="Arial"/>
                <w:sz w:val="12"/>
                <w:szCs w:val="12"/>
                <w:color w:val="auto"/>
              </w:rPr>
              <w:t>(5)</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07/15/2016</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5"/>
              </w:rPr>
              <w:t>Hotels, Motels, Inns</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11.38%</w:t>
            </w:r>
          </w:p>
        </w:tc>
        <w:tc>
          <w:tcPr>
            <w:tcW w:w="10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4,500,000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4,401,515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4,860,000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and Gaming</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277,427,564</w:t>
            </w:r>
          </w:p>
        </w:tc>
        <w:tc>
          <w:tcPr>
            <w:tcW w:w="24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278,960,887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Debt—25.3%</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American Gilsonite Company</w:t>
            </w:r>
            <w:r>
              <w:rPr>
                <w:rFonts w:ascii="Arial" w:cs="Arial" w:eastAsia="Arial" w:hAnsi="Arial"/>
                <w:sz w:val="12"/>
                <w:szCs w:val="12"/>
                <w:color w:val="auto"/>
              </w:rPr>
              <w:t>(5)</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09/01/2017</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Diversified Natural</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25,400,000</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25,400,000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26,098,500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8"/>
              </w:rPr>
              <w:t>Resources, Precious</w:t>
            </w: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Metals and Minerals</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02/07/2015</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6.33%</w:t>
            </w:r>
          </w:p>
        </w:tc>
        <w:tc>
          <w:tcPr>
            <w:tcW w:w="10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L+600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13,600,000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13,378,432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12,729,600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02/07/2015</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7.36%</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L+700</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12,000,000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11,866,485</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r>
              <w:rPr>
                <w:rFonts w:ascii="Arial" w:cs="Arial" w:eastAsia="Arial" w:hAnsi="Arial"/>
                <w:sz w:val="12"/>
                <w:szCs w:val="12"/>
                <w:color w:val="auto"/>
              </w:rPr>
              <w:t>(5), (6)</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02/01/2017</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12.00%</w:t>
            </w: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34,000,000</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31,964,822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10,880,000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Eureka Hunter Pipeline, LLC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08/16/2018</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Energy/Utilities</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45,000,000</w:t>
            </w:r>
          </w:p>
        </w:tc>
        <w:tc>
          <w:tcPr>
            <w:tcW w:w="122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44,543,688</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Greatwide Logistics Services, L.L.C.</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03/01/2014</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Cargo Transport</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11.00%</w:t>
            </w:r>
          </w:p>
        </w:tc>
        <w:tc>
          <w:tcPr>
            <w:tcW w:w="10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L+700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3,184,219</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3,184,222</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2,292,640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(PIK 11.00%)</w:t>
            </w:r>
          </w:p>
        </w:tc>
        <w:tc>
          <w:tcPr>
            <w:tcW w:w="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Paradigm Management Services, LLC</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07/31/2017</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12.50%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L+1,100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w w:val="96"/>
              </w:rPr>
              <w:t>20,512,821</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20,059,979</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20,512,821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12/15/2014</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w:t>
            </w: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L+650</w:t>
            </w:r>
            <w:r>
              <w:rPr>
                <w:rFonts w:ascii="Arial" w:cs="Arial" w:eastAsia="Arial" w:hAnsi="Arial"/>
                <w:sz w:val="12"/>
                <w:szCs w:val="12"/>
                <w:color w:val="auto"/>
              </w:rPr>
              <w:t>(8)</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2,752,666</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2,752,666</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2,584,753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Questex Media Group LLC, Term Loan B</w:t>
            </w:r>
          </w:p>
        </w:tc>
        <w:tc>
          <w:tcPr>
            <w:tcW w:w="102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6"/>
              </w:rPr>
              <w:t>12/15/2015</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6"/>
              </w:rPr>
              <w:t>Other Media</w:t>
            </w:r>
          </w:p>
        </w:tc>
        <w:tc>
          <w:tcPr>
            <w:tcW w:w="108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rPr>
              <w:t>11.50%</w:t>
            </w:r>
          </w:p>
        </w:tc>
        <w:tc>
          <w:tcPr>
            <w:tcW w:w="10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L+850</w:t>
            </w:r>
            <w:r>
              <w:rPr>
                <w:rFonts w:ascii="Arial" w:cs="Arial" w:eastAsia="Arial" w:hAnsi="Arial"/>
                <w:sz w:val="12"/>
                <w:szCs w:val="12"/>
                <w:color w:val="auto"/>
              </w:rPr>
              <w:t>(8)</w:t>
            </w:r>
          </w:p>
        </w:tc>
        <w:tc>
          <w:tcPr>
            <w:tcW w:w="86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2,230,508</w:t>
            </w:r>
          </w:p>
        </w:tc>
        <w:tc>
          <w:tcPr>
            <w:tcW w:w="1220" w:type="dxa"/>
            <w:vAlign w:val="bottom"/>
            <w:gridSpan w:val="3"/>
          </w:tcPr>
          <w:p>
            <w:pPr>
              <w:jc w:val="right"/>
              <w:ind w:right="240"/>
              <w:spacing w:after="0" w:line="130" w:lineRule="exact"/>
              <w:rPr>
                <w:sz w:val="20"/>
                <w:szCs w:val="20"/>
                <w:color w:val="auto"/>
              </w:rPr>
            </w:pPr>
            <w:r>
              <w:rPr>
                <w:rFonts w:ascii="Arial" w:cs="Arial" w:eastAsia="Arial" w:hAnsi="Arial"/>
                <w:sz w:val="14"/>
                <w:szCs w:val="14"/>
                <w:color w:val="auto"/>
              </w:rPr>
              <w:t>2,230,508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2,002,996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(PIK 11.50%)</w:t>
            </w: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Realogy Corp.</w:t>
            </w:r>
          </w:p>
        </w:tc>
        <w:tc>
          <w:tcPr>
            <w:tcW w:w="102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6"/>
              </w:rPr>
              <w:t>10/15/2017</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7"/>
              </w:rPr>
              <w:t>Buildings and</w:t>
            </w:r>
          </w:p>
        </w:tc>
        <w:tc>
          <w:tcPr>
            <w:tcW w:w="10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13.50%</w:t>
            </w:r>
          </w:p>
        </w:tc>
        <w:tc>
          <w:tcPr>
            <w:tcW w:w="1040" w:type="dxa"/>
            <w:vAlign w:val="bottom"/>
            <w:gridSpan w:val="2"/>
            <w:shd w:val="clear" w:color="auto" w:fill="CCEEFF"/>
          </w:tcPr>
          <w:p>
            <w:pPr>
              <w:jc w:val="right"/>
              <w:ind w:right="420"/>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10,000,000</w:t>
            </w:r>
          </w:p>
        </w:tc>
        <w:tc>
          <w:tcPr>
            <w:tcW w:w="1220" w:type="dxa"/>
            <w:vAlign w:val="bottom"/>
            <w:gridSpan w:val="3"/>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10,000,000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10,062,500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Real Estate</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Par/</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Industry</w:t>
            </w:r>
          </w:p>
        </w:tc>
        <w:tc>
          <w:tcPr>
            <w:tcW w:w="116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Above</w:t>
            </w:r>
          </w:p>
        </w:tc>
        <w:tc>
          <w:tcPr>
            <w:tcW w:w="1000" w:type="dxa"/>
            <w:vAlign w:val="bottom"/>
            <w:gridSpan w:val="2"/>
            <w:vMerge w:val="continue"/>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6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7"/>
              </w:rPr>
              <w:t>ROC Finance</w:t>
            </w:r>
          </w:p>
        </w:tc>
        <w:tc>
          <w:tcPr>
            <w:tcW w:w="2980" w:type="dxa"/>
            <w:vAlign w:val="bottom"/>
            <w:tcBorders>
              <w:top w:val="single" w:sz="8" w:color="CCEEFF"/>
            </w:tcBorders>
            <w:shd w:val="clear" w:color="auto" w:fill="CCEEFF"/>
          </w:tcPr>
          <w:p>
            <w:pPr>
              <w:ind w:left="60"/>
              <w:spacing w:after="0" w:line="123" w:lineRule="exact"/>
              <w:rPr>
                <w:sz w:val="20"/>
                <w:szCs w:val="20"/>
                <w:color w:val="auto"/>
              </w:rPr>
            </w:pPr>
            <w:r>
              <w:rPr>
                <w:rFonts w:ascii="Arial" w:cs="Arial" w:eastAsia="Arial" w:hAnsi="Arial"/>
                <w:sz w:val="14"/>
                <w:szCs w:val="14"/>
                <w:color w:val="auto"/>
              </w:rPr>
              <w:t>LLC and ROC Finance 1 Corp.</w:t>
            </w: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6"/>
              </w:rPr>
              <w:t>09/01/2018</w:t>
            </w:r>
          </w:p>
        </w:tc>
        <w:tc>
          <w:tcPr>
            <w:tcW w:w="3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4"/>
              </w:rPr>
              <w:t>Hotels, Motels,</w:t>
            </w: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12.13</w:t>
            </w:r>
          </w:p>
        </w:tc>
        <w:tc>
          <w:tcPr>
            <w:tcW w:w="460" w:type="dxa"/>
            <w:vAlign w:val="bottom"/>
            <w:tcBorders>
              <w:top w:val="single" w:sz="8" w:color="CCEEFF"/>
            </w:tcBorders>
            <w:shd w:val="clear" w:color="auto" w:fill="CCEEFF"/>
          </w:tcPr>
          <w:p>
            <w:pPr>
              <w:jc w:val="right"/>
              <w:ind w:right="268"/>
              <w:spacing w:after="0" w:line="123" w:lineRule="exact"/>
              <w:rPr>
                <w:sz w:val="20"/>
                <w:szCs w:val="20"/>
                <w:color w:val="auto"/>
              </w:rPr>
            </w:pPr>
            <w:r>
              <w:rPr>
                <w:rFonts w:ascii="Arial" w:cs="Arial" w:eastAsia="Arial" w:hAnsi="Arial"/>
                <w:sz w:val="14"/>
                <w:szCs w:val="14"/>
                <w:color w:val="auto"/>
                <w:w w:val="79"/>
              </w:rPr>
              <w:t>%</w:t>
            </w:r>
          </w:p>
        </w:tc>
        <w:tc>
          <w:tcPr>
            <w:tcW w:w="700" w:type="dxa"/>
            <w:vAlign w:val="bottom"/>
            <w:tcBorders>
              <w:top w:val="single" w:sz="8" w:color="auto"/>
            </w:tcBorders>
            <w:shd w:val="clear" w:color="auto" w:fill="CCEEFF"/>
          </w:tcPr>
          <w:p>
            <w:pPr>
              <w:ind w:left="480"/>
              <w:spacing w:after="0" w:line="123"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94"/>
              </w:rPr>
              <w:t>16,000,000</w:t>
            </w:r>
          </w:p>
        </w:tc>
        <w:tc>
          <w:tcPr>
            <w:tcW w:w="3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15,752,822</w:t>
            </w:r>
          </w:p>
        </w:tc>
        <w:tc>
          <w:tcPr>
            <w:tcW w:w="24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18,560,000</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3"/>
              </w:rPr>
              <w:t>Inns and Gaming</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TransFirst Holdings, Inc.</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06/15/2015</w:t>
            </w:r>
          </w:p>
        </w:tc>
        <w:tc>
          <w:tcPr>
            <w:tcW w:w="15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6.22%</w:t>
            </w:r>
          </w:p>
        </w:tc>
        <w:tc>
          <w:tcPr>
            <w:tcW w:w="9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L+600</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7,811,488</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7,511,344</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7,411,149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188,644,968</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169,366,959</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Notes—52.4%</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Acentia,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13.75%</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19,000,000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  18,563,943</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  19,000,000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11/15/2015</w:t>
            </w:r>
          </w:p>
        </w:tc>
        <w:tc>
          <w:tcPr>
            <w:tcW w:w="3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Consumer Products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11.63%</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35,552,000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34,172,451</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24,175,360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02/15/2019</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8,930,000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8,754,461</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8,930,000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Convergint Technologies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03/26/2018</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23,277,586</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22,812,086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22,812,034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Diversitech Corporation</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01/29/2017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Manufacturing/</w:t>
            </w:r>
          </w:p>
        </w:tc>
        <w:tc>
          <w:tcPr>
            <w:tcW w:w="1160" w:type="dxa"/>
            <w:vAlign w:val="bottom"/>
            <w:gridSpan w:val="2"/>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13.50%</w:t>
            </w:r>
            <w:r>
              <w:rPr>
                <w:rFonts w:ascii="Arial" w:cs="Arial" w:eastAsia="Arial" w:hAnsi="Arial"/>
                <w:sz w:val="12"/>
                <w:szCs w:val="12"/>
                <w:color w:val="auto"/>
              </w:rPr>
              <w:t>(7)</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11,000,000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10,836,901</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11,275,000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Basic Industry</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Escort,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06/01/2016</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14.75%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25,254,035</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24,751,548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25,254,035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2.75%)</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Galls, LLC; Quartermaster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03/31/2017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13.00%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21,797,263</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21,399,764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21,906,249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JF Acquisition, LLC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06/30/2017</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17,171,374</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16,748,220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17,377,430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Last Mile Funding Corp.</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06/30/2016</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2"/>
              </w:rPr>
              <w:t>Cargo Transport</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14.50%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45,597,139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44,677,474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45,095,570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2.50%)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Learning Care Group (US)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06/30/2016</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3"/>
              </w:rPr>
              <w:t>Education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15.00%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5,277,718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4,696,436</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4,815,918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15.00%)</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LTI Flexible Products,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01/19/2019</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12.50%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30,000,000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30,000,000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30,000,000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LTI Flexible Products, Inc.</w:t>
            </w:r>
            <w:r>
              <w:rPr>
                <w:rFonts w:ascii="Arial" w:cs="Arial" w:eastAsia="Arial" w:hAnsi="Arial"/>
                <w:sz w:val="12"/>
                <w:szCs w:val="12"/>
                <w:color w:val="auto"/>
              </w:rPr>
              <w:t>(9)</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01/11/2014</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Chemical, Plastic and</w:t>
            </w:r>
          </w:p>
        </w:tc>
        <w:tc>
          <w:tcPr>
            <w:tcW w:w="1160" w:type="dxa"/>
            <w:vAlign w:val="bottom"/>
            <w:gridSpan w:val="2"/>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5,000,000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4,825,000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5,000,000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Rubber</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06/15/2017</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4"/>
              </w:rPr>
              <w:t>Printing and Publishing</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14.50%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15,000,000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14,632,413</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15,210,000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PAS Technologies,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05/12/2017</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0"/>
              </w:rPr>
              <w:t>Aerospace and Defense</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15.02%</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17,123,218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16,783,033</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17,123,218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3.02%)</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Prince Mineral Holdings Corp.</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12/03/2016</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7"/>
              </w:rPr>
              <w:t>Mining, Steel, Iron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13.50%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w w:val="94"/>
              </w:rPr>
              <w:t>26,696,517</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26,263,685</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26,696,517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and Non-Precious</w:t>
            </w:r>
          </w:p>
        </w:tc>
        <w:tc>
          <w:tcPr>
            <w:tcW w:w="116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(PIK 2.00%)</w:t>
            </w: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Metals</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Realogy Corp.</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04/15/2018</w:t>
            </w:r>
          </w:p>
        </w:tc>
        <w:tc>
          <w:tcPr>
            <w:tcW w:w="320" w:type="dxa"/>
            <w:vAlign w:val="bottom"/>
          </w:tcPr>
          <w:p>
            <w:pPr>
              <w:spacing w:after="0"/>
              <w:rPr>
                <w:sz w:val="11"/>
                <w:szCs w:val="11"/>
                <w:color w:val="auto"/>
              </w:rPr>
            </w:pPr>
          </w:p>
        </w:tc>
        <w:tc>
          <w:tcPr>
            <w:tcW w:w="15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4"/>
              </w:rPr>
              <w:t>Buildings and Real</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11.00%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10,000,000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9,247,298</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9,400,000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Estate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12/29/2015</w:t>
            </w:r>
          </w:p>
        </w:tc>
        <w:tc>
          <w:tcPr>
            <w:tcW w:w="32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15.00%</w:t>
            </w:r>
            <w:r>
              <w:rPr>
                <w:rFonts w:ascii="Arial" w:cs="Arial" w:eastAsia="Arial" w:hAnsi="Arial"/>
                <w:sz w:val="12"/>
                <w:szCs w:val="12"/>
                <w:color w:val="auto"/>
              </w:rPr>
              <w:t>(7)</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4"/>
              </w:rPr>
              <w:t>12,020,950</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11,708,199</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12,020,950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TrustHouse Services Group,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06/03/2019</w:t>
            </w:r>
          </w:p>
        </w:tc>
        <w:tc>
          <w:tcPr>
            <w:tcW w:w="320" w:type="dxa"/>
            <w:vAlign w:val="bottom"/>
          </w:tcPr>
          <w:p>
            <w:pPr>
              <w:spacing w:after="0"/>
              <w:rPr>
                <w:sz w:val="11"/>
                <w:szCs w:val="11"/>
                <w:color w:val="auto"/>
              </w:rPr>
            </w:pP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Beverage, Food, and</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14.25%</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w w:val="94"/>
              </w:rPr>
              <w:t>14,778,578</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14,527,411</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14,778,578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Tobacco</w:t>
            </w:r>
          </w:p>
        </w:tc>
        <w:tc>
          <w:tcPr>
            <w:tcW w:w="1160" w:type="dxa"/>
            <w:vAlign w:val="bottom"/>
            <w:gridSpan w:val="2"/>
          </w:tcPr>
          <w:p>
            <w:pPr>
              <w:jc w:val="right"/>
              <w:ind w:right="228"/>
              <w:spacing w:after="0"/>
              <w:rPr>
                <w:sz w:val="20"/>
                <w:szCs w:val="20"/>
                <w:color w:val="auto"/>
              </w:rPr>
            </w:pPr>
            <w:r>
              <w:rPr>
                <w:rFonts w:ascii="Arial" w:cs="Arial" w:eastAsia="Arial" w:hAnsi="Arial"/>
                <w:sz w:val="14"/>
                <w:szCs w:val="14"/>
                <w:color w:val="auto"/>
              </w:rPr>
              <w:t>(PIK 2.25%)</w:t>
            </w: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Group, Inc.</w:t>
            </w:r>
            <w:r>
              <w:rPr>
                <w:rFonts w:ascii="Arial" w:cs="Arial" w:eastAsia="Arial" w:hAnsi="Arial"/>
                <w:sz w:val="12"/>
                <w:szCs w:val="12"/>
                <w:color w:val="auto"/>
              </w:rPr>
              <w:t>(9)</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06/02/2014</w:t>
            </w:r>
          </w:p>
        </w:tc>
        <w:tc>
          <w:tcPr>
            <w:tcW w:w="32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Beverage, Food, and</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4,000,000</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3,920,000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4,000,000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Tobacco</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Veritext Corp.</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320" w:type="dxa"/>
            <w:vAlign w:val="bottom"/>
          </w:tcPr>
          <w:p>
            <w:pPr>
              <w:spacing w:after="0"/>
              <w:rPr>
                <w:sz w:val="12"/>
                <w:szCs w:val="12"/>
                <w:color w:val="auto"/>
              </w:rPr>
            </w:pP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68"/>
              <w:spacing w:after="0" w:line="149" w:lineRule="exact"/>
              <w:rPr>
                <w:sz w:val="20"/>
                <w:szCs w:val="20"/>
                <w:color w:val="auto"/>
              </w:rPr>
            </w:pPr>
            <w:r>
              <w:rPr>
                <w:rFonts w:ascii="Arial" w:cs="Arial" w:eastAsia="Arial" w:hAnsi="Arial"/>
                <w:sz w:val="14"/>
                <w:szCs w:val="14"/>
                <w:color w:val="auto"/>
              </w:rPr>
              <w:t>13.00%</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4"/>
              </w:rPr>
              <w:t>16,200,000</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15,916,579</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16,200,000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355,236,902</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351,070,859</w:t>
            </w:r>
          </w:p>
        </w:tc>
        <w:tc>
          <w:tcPr>
            <w:tcW w:w="0" w:type="dxa"/>
            <w:vAlign w:val="bottom"/>
          </w:tcPr>
          <w:p>
            <w:pPr>
              <w:spacing w:after="0"/>
              <w:rPr>
                <w:sz w:val="1"/>
                <w:szCs w:val="1"/>
                <w:color w:val="auto"/>
              </w:rPr>
            </w:pPr>
          </w:p>
        </w:tc>
      </w:tr>
      <w:tr>
        <w:trPr>
          <w:trHeight w:val="156"/>
        </w:trPr>
        <w:tc>
          <w:tcPr>
            <w:tcW w:w="37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 xml:space="preserve">Preferred Equity/Partnership Interests—1.7% </w:t>
            </w:r>
            <w:r>
              <w:rPr>
                <w:rFonts w:ascii="Arial" w:cs="Arial" w:eastAsia="Arial" w:hAnsi="Arial"/>
                <w:sz w:val="12"/>
                <w:szCs w:val="12"/>
                <w:b w:val="1"/>
                <w:bCs w:val="1"/>
                <w:color w:val="auto"/>
              </w:rPr>
              <w:t>(6)</w:t>
            </w: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Holdings, Inc.</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6.00%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211</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624,081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(American Surgical Holdings,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AHC Mezzanine, LLC</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7,505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318,896</w:t>
            </w:r>
          </w:p>
        </w:tc>
        <w:tc>
          <w:tcPr>
            <w:tcW w:w="9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Alegeus Technologies Holding Corp., Series A</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3"/>
              </w:rPr>
              <w:t>Financial Services</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949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949,050</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1,031,820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(Alegeus Technologies, LLC)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CI (IHS) Investment Holdings, LLC (Interactive Health</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76,357</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765,307</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881,885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Solutions,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r>
              <w:rPr>
                <w:rFonts w:ascii="Arial" w:cs="Arial" w:eastAsia="Arial" w:hAnsi="Arial"/>
                <w:sz w:val="14"/>
                <w:szCs w:val="14"/>
                <w:color w:val="auto"/>
              </w:rPr>
              <w:t xml:space="preserve"> (Interactive Health</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Healthcare, Education</w:t>
            </w:r>
          </w:p>
        </w:tc>
        <w:tc>
          <w:tcPr>
            <w:tcW w:w="1160" w:type="dxa"/>
            <w:vAlign w:val="bottom"/>
            <w:gridSpan w:val="2"/>
            <w:shd w:val="clear" w:color="auto" w:fill="CCEEFF"/>
          </w:tcPr>
          <w:p>
            <w:pPr>
              <w:jc w:val="right"/>
              <w:ind w:right="468"/>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38,179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382,654</w:t>
            </w:r>
          </w:p>
        </w:tc>
        <w:tc>
          <w:tcPr>
            <w:tcW w:w="98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Solutions,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and Childcare</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Electronics</w:t>
            </w:r>
          </w:p>
        </w:tc>
        <w:tc>
          <w:tcPr>
            <w:tcW w:w="1160" w:type="dxa"/>
            <w:vAlign w:val="bottom"/>
            <w:gridSpan w:val="2"/>
          </w:tcPr>
          <w:p>
            <w:pPr>
              <w:jc w:val="right"/>
              <w:ind w:right="46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2,375</w:t>
            </w: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2,375,000</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HW Topco, Inc. (Hanley-Wood, LLC)</w:t>
            </w: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Other Media</w:t>
            </w:r>
          </w:p>
        </w:tc>
        <w:tc>
          <w:tcPr>
            <w:tcW w:w="116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3,591</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24,177</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tcPr>
          <w:p>
            <w:pPr>
              <w:spacing w:after="0" w:line="130" w:lineRule="exact"/>
              <w:rPr>
                <w:sz w:val="20"/>
                <w:szCs w:val="20"/>
                <w:color w:val="auto"/>
              </w:rPr>
            </w:pPr>
            <w:r>
              <w:rPr>
                <w:rFonts w:ascii="Arial" w:cs="Arial" w:eastAsia="Arial" w:hAnsi="Arial"/>
                <w:sz w:val="14"/>
                <w:szCs w:val="14"/>
                <w:color w:val="auto"/>
              </w:rPr>
              <w:t>PAS Tech Holdings, Inc., Series A-1</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0"/>
              </w:rPr>
              <w:t>Aerospace and Defense</w:t>
            </w:r>
          </w:p>
        </w:tc>
        <w:tc>
          <w:tcPr>
            <w:tcW w:w="1160" w:type="dxa"/>
            <w:vAlign w:val="bottom"/>
            <w:gridSpan w:val="2"/>
          </w:tcPr>
          <w:p>
            <w:pPr>
              <w:jc w:val="right"/>
              <w:ind w:right="268"/>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30" w:lineRule="exact"/>
              <w:rPr>
                <w:sz w:val="20"/>
                <w:szCs w:val="20"/>
                <w:color w:val="auto"/>
              </w:rPr>
            </w:pPr>
            <w:r>
              <w:rPr>
                <w:rFonts w:ascii="Arial" w:cs="Arial" w:eastAsia="Arial" w:hAnsi="Arial"/>
                <w:sz w:val="14"/>
                <w:szCs w:val="14"/>
                <w:color w:val="auto"/>
              </w:rPr>
              <w:t>20,000</w:t>
            </w:r>
          </w:p>
        </w:tc>
        <w:tc>
          <w:tcPr>
            <w:tcW w:w="1040" w:type="dxa"/>
            <w:vAlign w:val="bottom"/>
            <w:gridSpan w:val="2"/>
          </w:tcPr>
          <w:p>
            <w:pPr>
              <w:jc w:val="right"/>
              <w:ind w:right="240"/>
              <w:spacing w:after="0" w:line="130" w:lineRule="exact"/>
              <w:rPr>
                <w:sz w:val="20"/>
                <w:szCs w:val="20"/>
                <w:color w:val="auto"/>
              </w:rPr>
            </w:pPr>
            <w:r>
              <w:rPr>
                <w:rFonts w:ascii="Arial" w:cs="Arial" w:eastAsia="Arial" w:hAnsi="Arial"/>
                <w:sz w:val="14"/>
                <w:szCs w:val="14"/>
                <w:color w:val="auto"/>
              </w:rPr>
              <w:t>1,980,000</w:t>
            </w:r>
          </w:p>
        </w:tc>
        <w:tc>
          <w:tcPr>
            <w:tcW w:w="98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823,710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40" w:type="dxa"/>
            <w:vAlign w:val="bottom"/>
            <w:gridSpan w:val="2"/>
          </w:tcPr>
          <w:p>
            <w:pPr>
              <w:ind w:left="140"/>
              <w:spacing w:after="0"/>
              <w:rPr>
                <w:sz w:val="20"/>
                <w:szCs w:val="20"/>
                <w:color w:val="auto"/>
              </w:rPr>
            </w:pPr>
            <w:r>
              <w:rPr>
                <w:rFonts w:ascii="Arial" w:cs="Arial" w:eastAsia="Arial" w:hAnsi="Arial"/>
                <w:sz w:val="14"/>
                <w:szCs w:val="14"/>
                <w:color w:val="auto"/>
              </w:rPr>
              <w:t>(PAS Technologies,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TrustHouse Services Holdings, LLC</w:t>
            </w: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2"/>
              </w:rPr>
              <w:t>Beverage, Food,</w:t>
            </w:r>
          </w:p>
        </w:tc>
        <w:tc>
          <w:tcPr>
            <w:tcW w:w="1160" w:type="dxa"/>
            <w:vAlign w:val="bottom"/>
            <w:gridSpan w:val="2"/>
            <w:shd w:val="clear" w:color="auto" w:fill="CCEEFF"/>
          </w:tcPr>
          <w:p>
            <w:pPr>
              <w:jc w:val="right"/>
              <w:ind w:right="268"/>
              <w:spacing w:after="0" w:line="130" w:lineRule="exact"/>
              <w:rPr>
                <w:sz w:val="20"/>
                <w:szCs w:val="20"/>
                <w:color w:val="auto"/>
              </w:rPr>
            </w:pPr>
            <w:r>
              <w:rPr>
                <w:rFonts w:ascii="Arial" w:cs="Arial" w:eastAsia="Arial" w:hAnsi="Arial"/>
                <w:sz w:val="14"/>
                <w:szCs w:val="14"/>
                <w:color w:val="auto"/>
              </w:rPr>
              <w:t>12.00%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1,099</w:t>
            </w:r>
          </w:p>
        </w:tc>
        <w:tc>
          <w:tcPr>
            <w:tcW w:w="10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984,344</w:t>
            </w:r>
          </w:p>
        </w:tc>
        <w:tc>
          <w:tcPr>
            <w:tcW w:w="9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1,111,742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8"/>
              </w:rPr>
              <w:t>and Tobacco</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Basis Point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Current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Spread</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Industry</w:t>
            </w:r>
          </w:p>
        </w:tc>
        <w:tc>
          <w:tcPr>
            <w:tcW w:w="860" w:type="dxa"/>
            <w:vAlign w:val="bottom"/>
            <w:gridSpan w:val="2"/>
            <w:vMerge w:val="continue"/>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Above</w:t>
            </w: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3"/>
                <w:szCs w:val="13"/>
                <w:color w:val="auto"/>
              </w:rPr>
              <w:t>TZ Holdings,</w:t>
            </w:r>
          </w:p>
        </w:tc>
        <w:tc>
          <w:tcPr>
            <w:tcW w:w="3440" w:type="dxa"/>
            <w:vAlign w:val="bottom"/>
            <w:tcBorders>
              <w:top w:val="single" w:sz="8" w:color="CCEEFF"/>
            </w:tcBorders>
            <w:shd w:val="clear" w:color="auto" w:fill="CCEEFF"/>
          </w:tcPr>
          <w:p>
            <w:pPr>
              <w:ind w:left="40"/>
              <w:spacing w:after="0" w:line="115" w:lineRule="exact"/>
              <w:rPr>
                <w:sz w:val="20"/>
                <w:szCs w:val="20"/>
                <w:color w:val="auto"/>
              </w:rPr>
            </w:pPr>
            <w:r>
              <w:rPr>
                <w:rFonts w:ascii="Arial" w:cs="Arial" w:eastAsia="Arial" w:hAnsi="Arial"/>
                <w:sz w:val="13"/>
                <w:szCs w:val="13"/>
                <w:color w:val="auto"/>
              </w:rPr>
              <w:t>L.P., Series A</w:t>
            </w:r>
          </w:p>
        </w:tc>
        <w:tc>
          <w:tcPr>
            <w:tcW w:w="700" w:type="dxa"/>
            <w:vAlign w:val="bottom"/>
            <w:tcBorders>
              <w:top w:val="single" w:sz="8" w:color="auto"/>
            </w:tcBorders>
            <w:shd w:val="clear" w:color="auto" w:fill="CCEEFF"/>
          </w:tcPr>
          <w:p>
            <w:pPr>
              <w:jc w:val="right"/>
              <w:ind w:right="228"/>
              <w:spacing w:after="0" w:line="115"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3"/>
                <w:szCs w:val="13"/>
                <w:color w:val="auto"/>
                <w:w w:val="94"/>
              </w:rPr>
              <w:t>Insurance</w:t>
            </w: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ind w:left="300"/>
              <w:spacing w:after="0" w:line="115"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ind w:left="480"/>
              <w:spacing w:after="0" w:line="115"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686</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685,820</w:t>
            </w:r>
          </w:p>
        </w:tc>
        <w:tc>
          <w:tcPr>
            <w:tcW w:w="2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3"/>
                <w:szCs w:val="13"/>
                <w:color w:val="auto"/>
              </w:rPr>
              <w:t>685,820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(Trizetto Group,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TZ Holdings, L.P., Series B</w:t>
            </w:r>
          </w:p>
        </w:tc>
        <w:tc>
          <w:tcPr>
            <w:tcW w:w="1020" w:type="dxa"/>
            <w:vAlign w:val="bottom"/>
            <w:gridSpan w:val="2"/>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87"/>
              </w:rPr>
              <w:t>Insurance</w:t>
            </w:r>
          </w:p>
        </w:tc>
        <w:tc>
          <w:tcPr>
            <w:tcW w:w="86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6.50%</w:t>
            </w:r>
          </w:p>
        </w:tc>
        <w:tc>
          <w:tcPr>
            <w:tcW w:w="94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1,312</w:t>
            </w:r>
          </w:p>
        </w:tc>
        <w:tc>
          <w:tcPr>
            <w:tcW w:w="1160" w:type="dxa"/>
            <w:vAlign w:val="bottom"/>
            <w:gridSpan w:val="3"/>
          </w:tcPr>
          <w:p>
            <w:pPr>
              <w:jc w:val="right"/>
              <w:ind w:right="260"/>
              <w:spacing w:after="0" w:line="130" w:lineRule="exact"/>
              <w:rPr>
                <w:sz w:val="20"/>
                <w:szCs w:val="20"/>
                <w:color w:val="auto"/>
              </w:rPr>
            </w:pPr>
            <w:r>
              <w:rPr>
                <w:rFonts w:ascii="Arial" w:cs="Arial" w:eastAsia="Arial" w:hAnsi="Arial"/>
                <w:sz w:val="14"/>
                <w:szCs w:val="14"/>
                <w:color w:val="auto"/>
              </w:rPr>
              <w:t>1,312,006</w:t>
            </w:r>
          </w:p>
        </w:tc>
        <w:tc>
          <w:tcPr>
            <w:tcW w:w="90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rPr>
              <w:t>1,666,679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(Trizetto Group, Inc.)</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20"/>
              <w:spacing w:after="0" w:line="130"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0"/>
              </w:rPr>
              <w:t>Personal</w:t>
            </w:r>
          </w:p>
        </w:tc>
        <w:tc>
          <w:tcPr>
            <w:tcW w:w="86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8.00%</w:t>
            </w:r>
          </w:p>
        </w:tc>
        <w:tc>
          <w:tcPr>
            <w:tcW w:w="9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1,824,167</w:t>
            </w:r>
          </w:p>
        </w:tc>
        <w:tc>
          <w:tcPr>
            <w:tcW w:w="116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1,824,167</w:t>
            </w:r>
          </w:p>
        </w:tc>
        <w:tc>
          <w:tcPr>
            <w:tcW w:w="90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1,949,629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Verde Parent Holdings, Inc.</w:t>
            </w:r>
          </w:p>
        </w:tc>
        <w:tc>
          <w:tcPr>
            <w:tcW w:w="7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5"/>
              </w:rPr>
              <w:t>Transportation</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12,101,421</w:t>
            </w: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11,178,282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Common Equity/Warrants/Partnership Interests—9.2%</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12"/>
                <w:szCs w:val="12"/>
                <w:color w:val="auto"/>
              </w:rPr>
              <w:t>(12)</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Electronics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1,998</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$ 2,000,000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   1,737,396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AH Holdings, Inc. (Warrants) (American Surgical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03/23/2021</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5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753</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2,063,780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Alegeus Technologies Holding Corp., Class A</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(Alegeus Technologies,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Financial Services</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950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Autumn Games,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3"/>
              </w:rPr>
              <w:t>Broadcasting and</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Entertainment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1,333,330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CI (Galls) Prime Investment Holdings, LLC </w:t>
            </w:r>
            <w:r>
              <w:rPr>
                <w:rFonts w:ascii="Arial" w:cs="Arial" w:eastAsia="Arial" w:hAnsi="Arial"/>
                <w:sz w:val="12"/>
                <w:szCs w:val="12"/>
                <w:color w:val="auto"/>
              </w:rPr>
              <w:t>(11)</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(Galls, LLC; Quartermaster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1,505,000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1,505,000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1,680,720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CI (IHS) Investment Holdings,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(Interactive Health Solutions,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23,416</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234,693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270,457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CI (IHS) Investment Holdings, LLC </w:t>
            </w:r>
            <w:r>
              <w:rPr>
                <w:rFonts w:ascii="Arial" w:cs="Arial" w:eastAsia="Arial" w:hAnsi="Arial"/>
                <w:sz w:val="12"/>
                <w:szCs w:val="12"/>
                <w:color w:val="auto"/>
              </w:rPr>
              <w:t>(9)</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(Interactive Health Solutions,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11,708</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117,346</w:t>
            </w: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Convergint Technologies Holdings, LLC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(Convergint Technologies)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Electronics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2,375</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5,556</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1,904,033</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6,665,183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2"/>
              </w:rPr>
              <w:t>Consumer Products</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30,000</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1,350,000</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HW Topco, Inc.</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(Hanley-Wood,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348,912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2,443,050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2,642,438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Kadmon Holdings, LLC, Class A</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(Kadmon Pharmaceuticals,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1,079,920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1,236,832</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12,013,688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Kadmon Holdings, LLC, Class D</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(Kadmon Pharmaceuticals,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1,079,920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1,028,807</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1,028,807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04/27/2020</w:t>
            </w:r>
          </w:p>
        </w:tc>
        <w:tc>
          <w:tcPr>
            <w:tcW w:w="15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93"/>
              </w:rPr>
              <w:t>Education</w:t>
            </w:r>
          </w:p>
        </w:tc>
        <w:tc>
          <w:tcPr>
            <w:tcW w:w="8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w:t>
            </w:r>
          </w:p>
        </w:tc>
        <w:tc>
          <w:tcPr>
            <w:tcW w:w="11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779,920</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Magnum Hunter Resources Corporation</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(Eureka Hunter Pipeline,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Oil and Gas</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1,221,932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3,239,999</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5,425,378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Magnum Hunter Resources Corporation (Warrants)</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(Eureka Hunter Pipeline, LLC)</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10/14/2013</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4"/>
              </w:rPr>
              <w:t>Oil and Gas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122,193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105,697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31,778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(JF Acquisition,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Distribution</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1,700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1,700,000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1,641,575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PPL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0" w:lineRule="exact"/>
              <w:rPr>
                <w:sz w:val="20"/>
                <w:szCs w:val="20"/>
                <w:color w:val="auto"/>
              </w:rPr>
            </w:pPr>
            <w:r>
              <w:rPr>
                <w:rFonts w:ascii="Arial" w:cs="Arial" w:eastAsia="Arial" w:hAnsi="Arial"/>
                <w:sz w:val="14"/>
                <w:szCs w:val="14"/>
                <w:color w:val="auto"/>
                <w:w w:val="89"/>
              </w:rPr>
              <w:t>Personal, Food and</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(Pre-Paid Legal Services,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Miscellaneous Services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4,377,360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Paradigm Acquisition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1"/>
              </w:rPr>
              <w:t>Healthcare, Education</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(Paradigm Management Services, LLC)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and Childcare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20,000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2,000,000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2,124,491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PAS Tech Holdings, Inc.</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(PAS Technologies,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9"/>
              </w:rPr>
              <w:t>Aerospace and Defense</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20,000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20,000</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QMG HoldCo, LLC, Class A</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(Questex Media Group,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4,325</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1,306,166</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1,404,661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QMG HoldCo, LLC, Class B</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(Questex Media Group,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6"/>
              </w:rPr>
              <w:t>Other Media</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531</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172,457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SPG Boyd Holdings Corp.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40" w:type="dxa"/>
            <w:vAlign w:val="bottom"/>
            <w:gridSpan w:val="2"/>
          </w:tcPr>
          <w:p>
            <w:pPr>
              <w:jc w:val="center"/>
              <w:ind w:right="160"/>
              <w:spacing w:after="0" w:line="130" w:lineRule="exact"/>
              <w:rPr>
                <w:sz w:val="20"/>
                <w:szCs w:val="20"/>
                <w:color w:val="auto"/>
              </w:rPr>
            </w:pPr>
            <w:r>
              <w:rPr>
                <w:rFonts w:ascii="Arial" w:cs="Arial" w:eastAsia="Arial" w:hAnsi="Arial"/>
                <w:sz w:val="14"/>
                <w:szCs w:val="14"/>
                <w:color w:val="auto"/>
                <w:w w:val="94"/>
              </w:rPr>
              <w:t>Chemical, Plastic</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(LTI Flexible Products,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and Rubber</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300,000</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3,000,000</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3,000,000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Titan Private Holdings I, LLC – Class A</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(Tekelec Global, Inc.)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Telecommunications</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2,276,847</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2,274,883</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6,182,426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12/29/2019</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Business Services</w:t>
            </w:r>
          </w:p>
        </w:tc>
        <w:tc>
          <w:tcPr>
            <w:tcW w:w="8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3,500</w:t>
            </w:r>
          </w:p>
        </w:tc>
        <w:tc>
          <w:tcPr>
            <w:tcW w:w="11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29,400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1,197,412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Transportation 100 Holdco, L.L.C. </w:t>
            </w:r>
            <w:r>
              <w:rPr>
                <w:rFonts w:ascii="Arial" w:cs="Arial" w:eastAsia="Arial" w:hAnsi="Arial"/>
                <w:sz w:val="12"/>
                <w:szCs w:val="12"/>
                <w:color w:val="auto"/>
              </w:rPr>
              <w:t>(13)</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(Greatwide Logistics Services, L.L.C.)</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2"/>
              </w:rPr>
              <w:t>Cargo Transport</w:t>
            </w:r>
          </w:p>
        </w:tc>
        <w:tc>
          <w:tcPr>
            <w:tcW w:w="8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137,923</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2,111,588</w:t>
            </w: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200" w:type="dxa"/>
            <w:vAlign w:val="bottom"/>
            <w:gridSpan w:val="2"/>
          </w:tcPr>
          <w:p>
            <w:pPr>
              <w:spacing w:after="0" w:line="130" w:lineRule="exact"/>
              <w:rPr>
                <w:sz w:val="20"/>
                <w:szCs w:val="20"/>
                <w:color w:val="auto"/>
              </w:rPr>
            </w:pPr>
            <w:r>
              <w:rPr>
                <w:rFonts w:ascii="Arial" w:cs="Arial" w:eastAsia="Arial" w:hAnsi="Arial"/>
                <w:sz w:val="14"/>
                <w:szCs w:val="14"/>
                <w:color w:val="auto"/>
              </w:rPr>
              <w:t>TZ Holdings, L.P.</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(Trizetto Group, Inc.)</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Insurance</w:t>
            </w:r>
          </w:p>
        </w:tc>
        <w:tc>
          <w:tcPr>
            <w:tcW w:w="8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2</w:t>
            </w:r>
          </w:p>
        </w:tc>
        <w:tc>
          <w:tcPr>
            <w:tcW w:w="1160" w:type="dxa"/>
            <w:vAlign w:val="bottom"/>
            <w:gridSpan w:val="3"/>
          </w:tcPr>
          <w:p>
            <w:pPr>
              <w:jc w:val="right"/>
              <w:ind w:right="260"/>
              <w:spacing w:after="0"/>
              <w:rPr>
                <w:sz w:val="20"/>
                <w:szCs w:val="20"/>
                <w:color w:val="auto"/>
              </w:rPr>
            </w:pPr>
            <w:r>
              <w:rPr>
                <w:rFonts w:ascii="Arial" w:cs="Arial" w:eastAsia="Arial" w:hAnsi="Arial"/>
                <w:sz w:val="14"/>
                <w:szCs w:val="14"/>
                <w:color w:val="auto"/>
              </w:rPr>
              <w:t>9,567</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713,718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Basis Point</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Current</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Spread</w:t>
            </w: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Issuer Name</w:t>
            </w: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Industry</w:t>
            </w:r>
          </w:p>
        </w:tc>
        <w:tc>
          <w:tcPr>
            <w:tcW w:w="1160" w:type="dxa"/>
            <w:vAlign w:val="bottom"/>
            <w:gridSpan w:val="2"/>
            <w:vMerge w:val="continue"/>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Above</w:t>
            </w: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71"/>
        </w:trPr>
        <w:tc>
          <w:tcPr>
            <w:tcW w:w="362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Coupon</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 xml:space="preserve">Index </w:t>
            </w:r>
            <w:r>
              <w:rPr>
                <w:rFonts w:ascii="Arial" w:cs="Arial" w:eastAsia="Arial" w:hAnsi="Arial"/>
                <w:sz w:val="12"/>
                <w:szCs w:val="12"/>
                <w:b w:val="1"/>
                <w:bCs w:val="1"/>
                <w:color w:val="auto"/>
                <w:w w:val="94"/>
              </w:rPr>
              <w:t>(4)</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9"/>
              </w:rPr>
              <w:t>Verde Parent</w:t>
            </w:r>
          </w:p>
        </w:tc>
        <w:tc>
          <w:tcPr>
            <w:tcW w:w="28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Holdings, Inc.</w:t>
            </w:r>
          </w:p>
        </w:tc>
        <w:tc>
          <w:tcPr>
            <w:tcW w:w="70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Personal Transportation</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80"/>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9,166</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9,167</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35,526</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6,941,000</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 Partnership Interests</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38,457,098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61,315,758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w w:val="93"/>
              </w:rPr>
              <w:t>Total Investments in Non-Controlled, Non-Affiliated Portfolio Companies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871,867,953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871,892,745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Investments in Non-Controlled, Affiliated Portfolio Companies—12.0% </w:t>
            </w:r>
            <w:r>
              <w:rPr>
                <w:rFonts w:ascii="Arial" w:cs="Arial" w:eastAsia="Arial" w:hAnsi="Arial"/>
                <w:sz w:val="12"/>
                <w:szCs w:val="12"/>
                <w:b w:val="1"/>
                <w:bCs w:val="1"/>
                <w:color w:val="auto"/>
              </w:rPr>
              <w:t>(1),(2)</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Performance,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01/16/2015</w:t>
            </w:r>
          </w:p>
        </w:tc>
        <w:tc>
          <w:tcPr>
            <w:tcW w:w="2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7.25%</w:t>
            </w:r>
          </w:p>
        </w:tc>
        <w:tc>
          <w:tcPr>
            <w:tcW w:w="980" w:type="dxa"/>
            <w:vAlign w:val="bottom"/>
            <w:gridSpan w:val="2"/>
            <w:shd w:val="clear" w:color="auto" w:fill="CCEEFF"/>
          </w:tcPr>
          <w:p>
            <w:pPr>
              <w:ind w:left="300"/>
              <w:spacing w:after="0" w:line="130" w:lineRule="exact"/>
              <w:rPr>
                <w:sz w:val="20"/>
                <w:szCs w:val="20"/>
                <w:color w:val="auto"/>
              </w:rPr>
            </w:pPr>
            <w:r>
              <w:rPr>
                <w:rFonts w:ascii="Arial" w:cs="Arial" w:eastAsia="Arial" w:hAnsi="Arial"/>
                <w:sz w:val="14"/>
                <w:szCs w:val="14"/>
                <w:color w:val="auto"/>
              </w:rPr>
              <w:t>L+625</w:t>
            </w:r>
            <w:r>
              <w:rPr>
                <w:rFonts w:ascii="Arial" w:cs="Arial" w:eastAsia="Arial" w:hAnsi="Arial"/>
                <w:sz w:val="12"/>
                <w:szCs w:val="12"/>
                <w:color w:val="auto"/>
              </w:rPr>
              <w:t>(8)</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8,000,000</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7,672,000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Subordinated Debt/Corporate Notes—7.1%</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96"/>
              </w:rPr>
              <w:t>07/16/2015</w:t>
            </w:r>
          </w:p>
        </w:tc>
        <w:tc>
          <w:tcPr>
            <w:tcW w:w="22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15.00%</w:t>
            </w:r>
            <w:r>
              <w:rPr>
                <w:rFonts w:ascii="Arial" w:cs="Arial" w:eastAsia="Arial" w:hAnsi="Arial"/>
                <w:sz w:val="12"/>
                <w:szCs w:val="12"/>
                <w:color w:val="auto"/>
              </w:rPr>
              <w:t>(7)</w:t>
            </w:r>
          </w:p>
        </w:tc>
        <w:tc>
          <w:tcPr>
            <w:tcW w:w="98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7,567,234</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7,435,314</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7,453,725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10/02/2017</w:t>
            </w:r>
          </w:p>
        </w:tc>
        <w:tc>
          <w:tcPr>
            <w:tcW w:w="2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12.50%</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4"/>
              </w:rPr>
              <w:t>24,000,000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23,495,700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24,000,000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Service Champ, Inc. </w:t>
            </w:r>
            <w:r>
              <w:rPr>
                <w:rFonts w:ascii="Arial" w:cs="Arial" w:eastAsia="Arial" w:hAnsi="Arial"/>
                <w:sz w:val="12"/>
                <w:szCs w:val="12"/>
                <w:color w:val="auto"/>
              </w:rPr>
              <w:t>(9)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10/02/2013</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16,000,000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15,640,000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16,000,000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46,571,014</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47,453,725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Equity/Partnership Interest—3.8%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Environmental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125,106</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10,055,844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18,425,519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NCP-Performance</w:t>
            </w:r>
          </w:p>
        </w:tc>
        <w:tc>
          <w:tcPr>
            <w:tcW w:w="9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3"/>
              </w:rPr>
              <w:t>Leisure, Amusement,</w:t>
            </w:r>
          </w:p>
        </w:tc>
        <w:tc>
          <w:tcPr>
            <w:tcW w:w="116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3,750,000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2,902,355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(Performance Holdings, Inc.)</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3"/>
              </w:rPr>
              <w:t>Motion Pictures and</w:t>
            </w: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Entertainment</w:t>
            </w:r>
          </w:p>
        </w:tc>
        <w:tc>
          <w:tcPr>
            <w:tcW w:w="7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New Service Champ Holdings, Inc.</w:t>
            </w:r>
          </w:p>
        </w:tc>
        <w:tc>
          <w:tcPr>
            <w:tcW w:w="92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2"/>
              </w:rPr>
              <w:t>Auto Sector</w:t>
            </w:r>
          </w:p>
        </w:tc>
        <w:tc>
          <w:tcPr>
            <w:tcW w:w="1160" w:type="dxa"/>
            <w:vAlign w:val="bottom"/>
            <w:gridSpan w:val="2"/>
          </w:tcPr>
          <w:p>
            <w:pPr>
              <w:ind w:left="48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16,800</w:t>
            </w:r>
          </w:p>
        </w:tc>
        <w:tc>
          <w:tcPr>
            <w:tcW w:w="8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Arial" w:cs="Arial" w:eastAsia="Arial" w:hAnsi="Arial"/>
                <w:sz w:val="14"/>
                <w:szCs w:val="14"/>
                <w:color w:val="auto"/>
              </w:rPr>
              <w:t>4,200,000</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4,501,658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gridSpan w:val="2"/>
          </w:tcPr>
          <w:p>
            <w:pPr>
              <w:ind w:left="140"/>
              <w:spacing w:after="0"/>
              <w:rPr>
                <w:sz w:val="20"/>
                <w:szCs w:val="20"/>
                <w:color w:val="auto"/>
              </w:rPr>
            </w:pPr>
            <w:r>
              <w:rPr>
                <w:rFonts w:ascii="Arial" w:cs="Arial" w:eastAsia="Arial" w:hAnsi="Arial"/>
                <w:sz w:val="14"/>
                <w:szCs w:val="14"/>
                <w:color w:val="auto"/>
              </w:rPr>
              <w:t>(Service Champ, Inc.)</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18,005,844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25,829,532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54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72,576,858</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80,955,257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 xml:space="preserve">Investments in Controlled, Affiliated Portfolio Companies—5.6% </w:t>
            </w:r>
            <w:r>
              <w:rPr>
                <w:rFonts w:ascii="Arial" w:cs="Arial" w:eastAsia="Arial" w:hAnsi="Arial"/>
                <w:sz w:val="12"/>
                <w:szCs w:val="12"/>
                <w:b w:val="1"/>
                <w:bCs w:val="1"/>
                <w:color w:val="auto"/>
                <w:w w:val="97"/>
              </w:rPr>
              <w:t>(1),(2)</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06/30/2020</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4"/>
              </w:rPr>
              <w:t>10,800,000</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10,800,000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10,800,000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22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743,187</w:t>
            </w: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668,632</w:t>
            </w: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743,187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UP Support Services, Inc. </w:t>
            </w:r>
            <w:r>
              <w:rPr>
                <w:rFonts w:ascii="Arial" w:cs="Arial" w:eastAsia="Arial" w:hAnsi="Arial"/>
                <w:sz w:val="12"/>
                <w:szCs w:val="12"/>
                <w:color w:val="auto"/>
              </w:rPr>
              <w:t>(9)</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12/31/2015</w:t>
            </w:r>
          </w:p>
        </w:tc>
        <w:tc>
          <w:tcPr>
            <w:tcW w:w="2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1,173,479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1,068,059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1,173,479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12,536,691</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12,716,666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00" w:type="dxa"/>
            <w:vAlign w:val="bottom"/>
            <w:gridSpan w:val="2"/>
          </w:tcPr>
          <w:p>
            <w:pPr>
              <w:spacing w:after="0" w:line="130" w:lineRule="exact"/>
              <w:rPr>
                <w:sz w:val="20"/>
                <w:szCs w:val="20"/>
                <w:color w:val="auto"/>
              </w:rPr>
            </w:pPr>
            <w:r>
              <w:rPr>
                <w:rFonts w:ascii="Arial" w:cs="Arial" w:eastAsia="Arial" w:hAnsi="Arial"/>
                <w:sz w:val="14"/>
                <w:szCs w:val="14"/>
                <w:color w:val="auto"/>
              </w:rPr>
              <w:t>UP Support Services, Inc.</w:t>
            </w:r>
          </w:p>
        </w:tc>
        <w:tc>
          <w:tcPr>
            <w:tcW w:w="700" w:type="dxa"/>
            <w:vAlign w:val="bottom"/>
          </w:tcPr>
          <w:p>
            <w:pPr>
              <w:jc w:val="right"/>
              <w:spacing w:after="0" w:line="130" w:lineRule="exact"/>
              <w:rPr>
                <w:sz w:val="20"/>
                <w:szCs w:val="20"/>
                <w:color w:val="auto"/>
              </w:rPr>
            </w:pPr>
            <w:r>
              <w:rPr>
                <w:rFonts w:ascii="Arial" w:cs="Arial" w:eastAsia="Arial" w:hAnsi="Arial"/>
                <w:sz w:val="14"/>
                <w:szCs w:val="14"/>
                <w:color w:val="auto"/>
                <w:w w:val="96"/>
              </w:rPr>
              <w:t>12/31/2015</w:t>
            </w:r>
          </w:p>
        </w:tc>
        <w:tc>
          <w:tcPr>
            <w:tcW w:w="220" w:type="dxa"/>
            <w:vAlign w:val="bottom"/>
          </w:tcPr>
          <w:p>
            <w:pPr>
              <w:spacing w:after="0"/>
              <w:rPr>
                <w:sz w:val="11"/>
                <w:szCs w:val="11"/>
                <w:color w:val="auto"/>
              </w:rPr>
            </w:pPr>
          </w:p>
        </w:tc>
        <w:tc>
          <w:tcPr>
            <w:tcW w:w="1540" w:type="dxa"/>
            <w:vAlign w:val="bottom"/>
            <w:gridSpan w:val="2"/>
          </w:tcPr>
          <w:p>
            <w:pPr>
              <w:jc w:val="center"/>
              <w:ind w:right="140"/>
              <w:spacing w:after="0" w:line="130"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15.00%</w:t>
            </w:r>
          </w:p>
        </w:tc>
        <w:tc>
          <w:tcPr>
            <w:tcW w:w="980" w:type="dxa"/>
            <w:vAlign w:val="bottom"/>
            <w:gridSpan w:val="2"/>
          </w:tcPr>
          <w:p>
            <w:pPr>
              <w:ind w:left="460"/>
              <w:spacing w:after="0" w:line="130"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w w:val="94"/>
              </w:rPr>
              <w:t>14,300,282</w:t>
            </w:r>
          </w:p>
        </w:tc>
        <w:tc>
          <w:tcPr>
            <w:tcW w:w="80" w:type="dxa"/>
            <w:vAlign w:val="bottom"/>
          </w:tcPr>
          <w:p>
            <w:pPr>
              <w:spacing w:after="0"/>
              <w:rPr>
                <w:sz w:val="11"/>
                <w:szCs w:val="11"/>
                <w:color w:val="auto"/>
              </w:rPr>
            </w:pPr>
          </w:p>
        </w:tc>
        <w:tc>
          <w:tcPr>
            <w:tcW w:w="1140" w:type="dxa"/>
            <w:vAlign w:val="bottom"/>
            <w:gridSpan w:val="2"/>
          </w:tcPr>
          <w:p>
            <w:pPr>
              <w:jc w:val="right"/>
              <w:ind w:right="300"/>
              <w:spacing w:after="0" w:line="130" w:lineRule="exact"/>
              <w:rPr>
                <w:sz w:val="20"/>
                <w:szCs w:val="20"/>
                <w:color w:val="auto"/>
              </w:rPr>
            </w:pPr>
            <w:r>
              <w:rPr>
                <w:rFonts w:ascii="Arial" w:cs="Arial" w:eastAsia="Arial" w:hAnsi="Arial"/>
                <w:sz w:val="14"/>
                <w:szCs w:val="14"/>
                <w:color w:val="auto"/>
              </w:rPr>
              <w:t>11,809,647</w:t>
            </w:r>
          </w:p>
        </w:tc>
        <w:tc>
          <w:tcPr>
            <w:tcW w:w="80" w:type="dxa"/>
            <w:vAlign w:val="bottom"/>
          </w:tcPr>
          <w:p>
            <w:pPr>
              <w:spacing w:after="0"/>
              <w:rPr>
                <w:sz w:val="11"/>
                <w:szCs w:val="11"/>
                <w:color w:val="auto"/>
              </w:rPr>
            </w:pPr>
          </w:p>
        </w:tc>
        <w:tc>
          <w:tcPr>
            <w:tcW w:w="80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14,300,282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color w:val="auto"/>
              </w:rPr>
              <w:t>(PIK 15.00)%</w:t>
            </w: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06/30/2020</w:t>
            </w:r>
          </w:p>
        </w:tc>
        <w:tc>
          <w:tcPr>
            <w:tcW w:w="220" w:type="dxa"/>
            <w:vAlign w:val="bottom"/>
          </w:tcPr>
          <w:p>
            <w:pPr>
              <w:spacing w:after="0"/>
              <w:rPr>
                <w:sz w:val="13"/>
                <w:szCs w:val="13"/>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14.00%</w:t>
            </w:r>
            <w:r>
              <w:rPr>
                <w:rFonts w:ascii="Arial" w:cs="Arial" w:eastAsia="Arial" w:hAnsi="Arial"/>
                <w:sz w:val="12"/>
                <w:szCs w:val="12"/>
                <w:color w:val="auto"/>
              </w:rPr>
              <w:t>(7)</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2,700,000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2,158,053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Preferred Equity—1.3%</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14.00%</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216,947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9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color w:val="auto"/>
                <w:w w:val="91"/>
              </w:rPr>
              <w:t>Oil and Gas</w:t>
            </w:r>
          </w:p>
        </w:tc>
        <w:tc>
          <w:tcPr>
            <w:tcW w:w="11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8.00%</w:t>
            </w:r>
          </w:p>
        </w:tc>
        <w:tc>
          <w:tcPr>
            <w:tcW w:w="98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411,988</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35,120,613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8,239,760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Preferred Equity</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37,120,613</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8,456,707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Common Equity—0.0% </w:t>
            </w:r>
            <w:r>
              <w:rPr>
                <w:rFonts w:ascii="Arial" w:cs="Arial" w:eastAsia="Arial" w:hAnsi="Arial"/>
                <w:sz w:val="12"/>
                <w:szCs w:val="12"/>
                <w:b w:val="1"/>
                <w:bCs w:val="1"/>
                <w:color w:val="auto"/>
              </w:rPr>
              <w:t>(6)</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w:t>
            </w: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0"/>
              </w:rPr>
              <w:t>Business Services</w:t>
            </w:r>
          </w:p>
        </w:tc>
        <w:tc>
          <w:tcPr>
            <w:tcW w:w="116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in Controlled, Affiliated Portfolio Companies</w:t>
            </w: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64,167,051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37,631,708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Investments—147.9%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1,008,611,862</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990,479,710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Equivalents—1.1%</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7,559,453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Equivalents—149.0%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1,016,171,315</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998,039,163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w w:val="91"/>
              </w:rPr>
              <w:t>(328,322,116)</w:t>
            </w:r>
          </w:p>
        </w:tc>
        <w:tc>
          <w:tcPr>
            <w:tcW w:w="0" w:type="dxa"/>
            <w:vAlign w:val="bottom"/>
          </w:tcPr>
          <w:p>
            <w:pPr>
              <w:spacing w:after="0"/>
              <w:rPr>
                <w:sz w:val="1"/>
                <w:szCs w:val="1"/>
                <w:color w:val="auto"/>
              </w:rPr>
            </w:pPr>
          </w:p>
        </w:tc>
      </w:tr>
      <w:tr>
        <w:trPr>
          <w:trHeight w:val="156"/>
        </w:trPr>
        <w:tc>
          <w:tcPr>
            <w:tcW w:w="3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669,717,047</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CONSOLIDATED SCHEDULE OF INVESTMENTS (CONTINUED) SEPTEMBER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89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2" w:lineRule="exact"/>
        <w:rPr>
          <w:sz w:val="20"/>
          <w:szCs w:val="20"/>
          <w:color w:val="auto"/>
        </w:rPr>
      </w:pPr>
    </w:p>
    <w:p>
      <w:pPr>
        <w:ind w:left="340" w:hanging="332"/>
        <w:spacing w:after="0" w:line="248" w:lineRule="auto"/>
        <w:tabs>
          <w:tab w:leader="none" w:pos="3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80" w:hanging="332"/>
        <w:spacing w:after="0" w:line="238" w:lineRule="auto"/>
        <w:tabs>
          <w:tab w:leader="none" w:pos="34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72" w:lineRule="exact"/>
        <w:rPr>
          <w:sz w:val="20"/>
          <w:szCs w:val="20"/>
          <w:color w:val="auto"/>
        </w:rPr>
      </w:pPr>
    </w:p>
    <w:p>
      <w:pPr>
        <w:ind w:right="180" w:firstLine="228"/>
        <w:spacing w:after="0" w:line="272" w:lineRule="auto"/>
        <w:rPr>
          <w:sz w:val="20"/>
          <w:szCs w:val="20"/>
          <w:color w:val="auto"/>
        </w:rPr>
      </w:pPr>
      <w:r>
        <w:rPr>
          <w:rFonts w:ascii="Arial" w:cs="Arial" w:eastAsia="Arial" w:hAnsi="Arial"/>
          <w:sz w:val="17"/>
          <w:szCs w:val="17"/>
          <w:b w:val="1"/>
          <w:bCs w:val="1"/>
          <w:i w:val="1"/>
          <w:iCs w:val="1"/>
          <w:color w:val="auto"/>
        </w:rPr>
        <w:t>Except where the context suggests otherwise, “we,” “our” or “us”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“RIC” refers to a regulated investment company under the Code.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173" w:lineRule="exact"/>
        <w:rPr>
          <w:sz w:val="20"/>
          <w:szCs w:val="20"/>
          <w:color w:val="auto"/>
        </w:rPr>
      </w:pPr>
    </w:p>
    <w:p>
      <w:pPr>
        <w:ind w:right="340" w:firstLine="456"/>
        <w:spacing w:after="0" w:line="273" w:lineRule="auto"/>
        <w:rPr>
          <w:sz w:val="20"/>
          <w:szCs w:val="20"/>
          <w:color w:val="auto"/>
        </w:rPr>
      </w:pPr>
      <w:r>
        <w:rPr>
          <w:rFonts w:ascii="Arial" w:cs="Arial" w:eastAsia="Arial" w:hAnsi="Arial"/>
          <w:sz w:val="17"/>
          <w:szCs w:val="17"/>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6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82"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900" w:right="20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900" w:right="640" w:hanging="446"/>
        <w:spacing w:after="0" w:line="264"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management’s preliminary valuations in light of their own independent assessment and also in light of any market quotations obtained from an independent pricing service, broker, dealer or market maker;</w:t>
      </w:r>
    </w:p>
    <w:p>
      <w:pPr>
        <w:spacing w:after="0" w:line="76" w:lineRule="exact"/>
        <w:rPr>
          <w:sz w:val="20"/>
          <w:szCs w:val="20"/>
          <w:color w:val="auto"/>
        </w:rPr>
      </w:pPr>
    </w:p>
    <w:p>
      <w:pPr>
        <w:ind w:left="900" w:right="260" w:hanging="446"/>
        <w:spacing w:after="0" w:line="286" w:lineRule="auto"/>
        <w:tabs>
          <w:tab w:leader="none" w:pos="90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70" w:lineRule="exact"/>
        <w:rPr>
          <w:rFonts w:ascii="Arial" w:cs="Arial" w:eastAsia="Arial" w:hAnsi="Arial"/>
          <w:sz w:val="17"/>
          <w:szCs w:val="17"/>
          <w:color w:val="auto"/>
        </w:rPr>
      </w:pPr>
    </w:p>
    <w:p>
      <w:pPr>
        <w:ind w:left="900" w:right="400" w:hanging="446"/>
        <w:spacing w:after="0" w:line="277" w:lineRule="auto"/>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78" w:lineRule="exact"/>
        <w:rPr>
          <w:rFonts w:ascii="Arial" w:cs="Arial" w:eastAsia="Arial" w:hAnsi="Arial"/>
          <w:sz w:val="18"/>
          <w:szCs w:val="18"/>
          <w:color w:val="auto"/>
        </w:rPr>
      </w:pPr>
    </w:p>
    <w:p>
      <w:pPr>
        <w:ind w:left="500" w:hanging="264"/>
        <w:spacing w:after="0"/>
        <w:tabs>
          <w:tab w:leader="none" w:pos="500" w:val="left"/>
        </w:tabs>
        <w:numPr>
          <w:ilvl w:val="0"/>
          <w:numId w:val="1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16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accrued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estimated excise taxes of $(0.1) million, $0.3 million and $0.2 million for the fiscal years ended September 30, 2013, 2012 and 2011, respectively.</w:t>
      </w:r>
    </w:p>
    <w:p>
      <w:pPr>
        <w:spacing w:after="0" w:line="23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18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Investment Management Agreement with the Investment Adviser was re-approved by our board of directors, including a majority of our directors who are not interested persons of us or the Investment Adviser, in February 2013.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 investment flexibility for the next quarter,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ind w:right="160" w:firstLine="456"/>
        <w:spacing w:after="0" w:line="283"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w:t>
      </w:r>
    </w:p>
    <w:p>
      <w:pPr>
        <w:spacing w:after="0" w:line="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fiscal years ended September 30, 2013, 2012 and 2011, the Investment Adviser received an incentive fee of $16.8 million, $14.2 million and $13.2 million, respectively, from us.</w:t>
      </w:r>
    </w:p>
    <w:p>
      <w:pPr>
        <w:spacing w:after="0" w:line="193"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2013, 2012 and 2011 the Investment Adviser did not earn an incentive fee on capital gains as calculated under the Investment Management Agreement (as described above).</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resulted in no accrual under GAAP.</w:t>
      </w:r>
    </w:p>
    <w:p>
      <w:pPr>
        <w:spacing w:after="0" w:line="16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Administration Agreement with the Administrator was reapproved by our board of directors, including a majority of our directors who are not interested persons of us, in February 2013.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incurred on behalf of the Administrator, for the services described above.</w:t>
      </w:r>
    </w:p>
    <w:p>
      <w:pPr>
        <w:spacing w:after="0" w:line="183"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2013, 2012 and 2011, PennantPark Investment was reimbursed $0.4 million, $0.7 million and $0.5 million, respectively, for the services described above.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right="500" w:firstLine="456"/>
        <w:spacing w:after="0" w:line="264" w:lineRule="auto"/>
        <w:rPr>
          <w:sz w:val="20"/>
          <w:szCs w:val="20"/>
          <w:color w:val="auto"/>
        </w:rPr>
      </w:pPr>
      <w:r>
        <w:rPr>
          <w:rFonts w:ascii="Arial" w:cs="Arial" w:eastAsia="Arial" w:hAnsi="Arial"/>
          <w:sz w:val="18"/>
          <w:szCs w:val="18"/>
          <w:color w:val="auto"/>
        </w:rPr>
        <w:t>Purchases of long-term investments, including PIK, for the fiscal years ended September 30, 2013, 2012 and 2011 totaled $516.2 million, $337.3 million and $490.6 million, respectively. Sales and repayments of long-term investments for the fiscal years ended September 30, 2013, 2012 and 2011 totaled $437.1 million, $201.7 million and $304.0 million, respectively.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29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September 30, 2013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ind w:left="64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3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289,964,255</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291,677,553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346,717,448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357,543,217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208,454,615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191,339,241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311,240,637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302,447,308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404,507,916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400,682,637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65,943,244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12,830,669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49,222,034</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19,634,989</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77,616,126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105,838,068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56,463,042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87,145,290</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1,091,517,885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1,078,175,553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1,008,611,862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990,479,710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58,440,829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58,440,829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1,149,958,714</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1,136,616,382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1,016,171,315</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998,039,163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3100" w:type="dxa"/>
            <w:vAlign w:val="bottom"/>
            <w:vMerge w:val="restart"/>
          </w:tcPr>
          <w:p>
            <w:pPr>
              <w:spacing w:after="0"/>
              <w:rPr>
                <w:sz w:val="14"/>
                <w:szCs w:val="14"/>
                <w:color w:val="auto"/>
              </w:rPr>
            </w:pPr>
          </w:p>
        </w:tc>
        <w:tc>
          <w:tcPr>
            <w:tcW w:w="3100" w:type="dxa"/>
            <w:vAlign w:val="bottom"/>
          </w:tcPr>
          <w:p>
            <w:pPr>
              <w:spacing w:after="0"/>
              <w:rPr>
                <w:sz w:val="14"/>
                <w:szCs w:val="14"/>
                <w:color w:val="auto"/>
              </w:rPr>
            </w:pPr>
          </w:p>
        </w:tc>
        <w:tc>
          <w:tcPr>
            <w:tcW w:w="19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1420" w:type="dxa"/>
            <w:vAlign w:val="bottom"/>
            <w:tcBorders>
              <w:bottom w:val="single" w:sz="8" w:color="auto"/>
            </w:tcBorders>
            <w:vMerge w:val="continue"/>
          </w:tcPr>
          <w:p>
            <w:pPr>
              <w:spacing w:after="0"/>
              <w:rPr>
                <w:sz w:val="12"/>
                <w:szCs w:val="12"/>
                <w:color w:val="auto"/>
              </w:rPr>
            </w:pPr>
          </w:p>
        </w:tc>
        <w:tc>
          <w:tcPr>
            <w:tcW w:w="310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8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9"/>
              </w:rPr>
              <w:t>Personal, Food and</w:t>
            </w:r>
          </w:p>
        </w:tc>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Miscellaneous Services</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Diversified Natural Resources, Precious Metals and Minerals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44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400" w:type="dxa"/>
            <w:vAlign w:val="bottom"/>
            <w:gridSpan w:val="3"/>
          </w:tcPr>
          <w:p>
            <w:pPr>
              <w:jc w:val="right"/>
              <w:ind w:right="86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3100" w:type="dxa"/>
            <w:vAlign w:val="bottom"/>
          </w:tcPr>
          <w:p>
            <w:pPr>
              <w:spacing w:after="0"/>
              <w:rPr>
                <w:sz w:val="18"/>
                <w:szCs w:val="18"/>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3100" w:type="dxa"/>
            <w:vAlign w:val="bottom"/>
          </w:tcPr>
          <w:p>
            <w:pPr>
              <w:spacing w:after="0"/>
              <w:rPr>
                <w:sz w:val="18"/>
                <w:szCs w:val="18"/>
                <w:color w:val="auto"/>
              </w:rPr>
            </w:pPr>
          </w:p>
        </w:tc>
        <w:tc>
          <w:tcPr>
            <w:tcW w:w="130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72"/>
        </w:trPr>
        <w:tc>
          <w:tcPr>
            <w:tcW w:w="1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F-24</w:t>
            </w:r>
          </w:p>
        </w:tc>
        <w:tc>
          <w:tcPr>
            <w:tcW w:w="44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520" w:right="620" w:hanging="1052"/>
        <w:spacing w:after="0" w:line="277" w:lineRule="auto"/>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130" w:lineRule="exact"/>
        <w:rPr>
          <w:sz w:val="20"/>
          <w:szCs w:val="20"/>
          <w:color w:val="auto"/>
        </w:rPr>
      </w:pPr>
    </w:p>
    <w:p>
      <w:pPr>
        <w:ind w:left="1520" w:right="440" w:hanging="1052"/>
        <w:spacing w:after="0" w:line="264"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1" w:lineRule="exact"/>
        <w:rPr>
          <w:sz w:val="20"/>
          <w:szCs w:val="20"/>
          <w:color w:val="auto"/>
        </w:rPr>
      </w:pPr>
    </w:p>
    <w:p>
      <w:pPr>
        <w:ind w:left="1520" w:right="440" w:hanging="1052"/>
        <w:spacing w:after="0" w:line="277"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60" w:right="2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such companies were rated, we believe that they would typically receive a rating below investment grade (between BB and CCC under the Standard &amp; Poor’s system) from the national rating agencies.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2013, our ability to observe valuation inputs has resulted in a reclassification of an investment from Level 3 to 2 with no other reclassifications of assets between levels. During the fiscal year ended September 30, 2012, our ability to observe valuation inputs resulted in no reclassification of assets between levels.</w:t>
      </w:r>
    </w:p>
    <w:p>
      <w:pPr>
        <w:spacing w:after="0" w:line="173"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8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88"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remainder of our portfolio, including our long-term Credit Facility, classified as Level 3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60" w:right="2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2013</w:t>
            </w:r>
          </w:p>
        </w:tc>
        <w:tc>
          <w:tcPr>
            <w:tcW w:w="22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First lien, second lien, subordinated</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448,842,465</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Broker/Dealer bid quotes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First lien, second lien, subordinated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tcPr>
          <w:p>
            <w:pPr>
              <w:spacing w:after="0"/>
              <w:rPr>
                <w:sz w:val="17"/>
                <w:szCs w:val="17"/>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466,571,947</w:t>
            </w:r>
          </w:p>
        </w:tc>
        <w:tc>
          <w:tcPr>
            <w:tcW w:w="2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9.5% - 21.5% (13.5%)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and common equity</w:t>
            </w: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110,923,754</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6.0 - 15.0 (9.0)</w:t>
            </w:r>
          </w:p>
        </w:tc>
        <w:tc>
          <w:tcPr>
            <w:tcW w:w="0" w:type="dxa"/>
            <w:vAlign w:val="bottom"/>
          </w:tcPr>
          <w:p>
            <w:pPr>
              <w:spacing w:after="0"/>
              <w:rPr>
                <w:sz w:val="1"/>
                <w:szCs w:val="1"/>
                <w:color w:val="auto"/>
              </w:rPr>
            </w:pPr>
          </w:p>
        </w:tc>
      </w:tr>
      <w:tr>
        <w:trPr>
          <w:trHeight w:val="217"/>
        </w:trPr>
        <w:tc>
          <w:tcPr>
            <w:tcW w:w="318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1,026,338,166</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117,500,000</w:t>
            </w:r>
          </w:p>
        </w:tc>
        <w:tc>
          <w:tcPr>
            <w:tcW w:w="3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Discount rate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3.6%</w:t>
            </w:r>
          </w:p>
        </w:tc>
        <w:tc>
          <w:tcPr>
            <w:tcW w:w="0" w:type="dxa"/>
            <w:vAlign w:val="bottom"/>
          </w:tcPr>
          <w:p>
            <w:pPr>
              <w:spacing w:after="0"/>
              <w:rPr>
                <w:sz w:val="1"/>
                <w:szCs w:val="1"/>
                <w:color w:val="auto"/>
              </w:rPr>
            </w:pPr>
          </w:p>
        </w:tc>
      </w:tr>
      <w:tr>
        <w:trPr>
          <w:trHeight w:val="3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20" w:type="dxa"/>
            <w:vAlign w:val="bottom"/>
          </w:tcPr>
          <w:p>
            <w:pPr>
              <w:spacing w:after="0"/>
              <w:rPr>
                <w:sz w:val="24"/>
                <w:szCs w:val="2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Fair Value at</w:t>
            </w:r>
          </w:p>
        </w:tc>
        <w:tc>
          <w:tcPr>
            <w:tcW w:w="2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Valuation Technique</w:t>
            </w:r>
          </w:p>
        </w:tc>
        <w:tc>
          <w:tcPr>
            <w:tcW w:w="2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1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 2012</w:t>
            </w:r>
          </w:p>
        </w:tc>
        <w:tc>
          <w:tcPr>
            <w:tcW w:w="224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2"/>
            <w:shd w:val="clear" w:color="auto" w:fill="CCEEFF"/>
          </w:tcPr>
          <w:p>
            <w:pPr>
              <w:spacing w:after="0" w:line="173" w:lineRule="exact"/>
              <w:rPr>
                <w:sz w:val="20"/>
                <w:szCs w:val="20"/>
                <w:color w:val="auto"/>
              </w:rPr>
            </w:pPr>
            <w:r>
              <w:rPr>
                <w:rFonts w:ascii="Arial" w:cs="Arial" w:eastAsia="Arial" w:hAnsi="Arial"/>
                <w:sz w:val="16"/>
                <w:szCs w:val="16"/>
                <w:color w:val="auto"/>
              </w:rPr>
              <w:t>First lien, second lien, subordinated</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258,617,082</w:t>
            </w: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2"/>
              </w:rPr>
              <w:t>Broker/Dealer bid quotes</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6"/>
                <w:szCs w:val="16"/>
                <w:color w:val="auto"/>
              </w:rPr>
              <w:t>First lien, second lien, subordinated</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debt/corporate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300"/>
              <w:spacing w:after="0"/>
              <w:rPr>
                <w:sz w:val="20"/>
                <w:szCs w:val="20"/>
                <w:color w:val="auto"/>
              </w:rPr>
            </w:pPr>
            <w:r>
              <w:rPr>
                <w:rFonts w:ascii="Arial" w:cs="Arial" w:eastAsia="Arial" w:hAnsi="Arial"/>
                <w:sz w:val="16"/>
                <w:szCs w:val="16"/>
                <w:color w:val="auto"/>
              </w:rPr>
              <w:t>589,806,989</w:t>
            </w:r>
          </w:p>
        </w:tc>
        <w:tc>
          <w:tcPr>
            <w:tcW w:w="2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tcPr>
          <w:p>
            <w:pPr>
              <w:jc w:val="center"/>
              <w:ind w:right="220"/>
              <w:spacing w:after="0"/>
              <w:rPr>
                <w:sz w:val="20"/>
                <w:szCs w:val="20"/>
                <w:color w:val="auto"/>
              </w:rPr>
            </w:pPr>
            <w:r>
              <w:rPr>
                <w:rFonts w:ascii="Arial" w:cs="Arial" w:eastAsia="Arial" w:hAnsi="Arial"/>
                <w:sz w:val="16"/>
                <w:szCs w:val="16"/>
                <w:color w:val="auto"/>
                <w:w w:val="96"/>
              </w:rPr>
              <w:t>Market Yield</w:t>
            </w:r>
          </w:p>
        </w:tc>
        <w:tc>
          <w:tcPr>
            <w:tcW w:w="1860" w:type="dxa"/>
            <w:vAlign w:val="bottom"/>
          </w:tcPr>
          <w:p>
            <w:pPr>
              <w:jc w:val="center"/>
              <w:spacing w:after="0"/>
              <w:rPr>
                <w:sz w:val="20"/>
                <w:szCs w:val="20"/>
                <w:color w:val="auto"/>
              </w:rPr>
            </w:pPr>
            <w:r>
              <w:rPr>
                <w:rFonts w:ascii="Arial" w:cs="Arial" w:eastAsia="Arial" w:hAnsi="Arial"/>
                <w:sz w:val="16"/>
                <w:szCs w:val="16"/>
                <w:color w:val="auto"/>
                <w:w w:val="93"/>
              </w:rPr>
              <w:t>8.4% - 19.0% (14.1%)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Preferred and common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101,323,123</w:t>
            </w:r>
          </w:p>
        </w:tc>
        <w:tc>
          <w:tcPr>
            <w:tcW w:w="3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Enterprise Market Value</w:t>
            </w:r>
          </w:p>
        </w:tc>
        <w:tc>
          <w:tcPr>
            <w:tcW w:w="232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EBITDA multiple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4.3x - 15.5x (8.5x)</w:t>
            </w:r>
          </w:p>
        </w:tc>
        <w:tc>
          <w:tcPr>
            <w:tcW w:w="0" w:type="dxa"/>
            <w:vAlign w:val="bottom"/>
          </w:tcPr>
          <w:p>
            <w:pPr>
              <w:spacing w:after="0"/>
              <w:rPr>
                <w:sz w:val="1"/>
                <w:szCs w:val="1"/>
                <w:color w:val="auto"/>
              </w:rPr>
            </w:pPr>
          </w:p>
        </w:tc>
      </w:tr>
      <w:tr>
        <w:trPr>
          <w:trHeight w:val="217"/>
        </w:trPr>
        <w:tc>
          <w:tcPr>
            <w:tcW w:w="3180" w:type="dxa"/>
            <w:vAlign w:val="bottom"/>
            <w:gridSpan w:val="3"/>
          </w:tcPr>
          <w:p>
            <w:pPr>
              <w:spacing w:after="0"/>
              <w:rPr>
                <w:sz w:val="20"/>
                <w:szCs w:val="20"/>
                <w:color w:val="auto"/>
              </w:rPr>
            </w:pPr>
            <w:r>
              <w:rPr>
                <w:rFonts w:ascii="Arial" w:cs="Arial" w:eastAsia="Arial" w:hAnsi="Arial"/>
                <w:sz w:val="16"/>
                <w:szCs w:val="16"/>
                <w:color w:val="auto"/>
              </w:rPr>
              <w:t>Total Level 3 investments</w:t>
            </w: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949,747,194</w:t>
            </w: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Credit Facility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144,452,500</w:t>
            </w:r>
          </w:p>
        </w:tc>
        <w:tc>
          <w:tcPr>
            <w:tcW w:w="300" w:type="dxa"/>
            <w:vAlign w:val="bottom"/>
            <w:shd w:val="clear" w:color="auto" w:fill="CCEEFF"/>
          </w:tcPr>
          <w:p>
            <w:pPr>
              <w:spacing w:after="0"/>
              <w:rPr>
                <w:sz w:val="17"/>
                <w:szCs w:val="17"/>
                <w:color w:val="auto"/>
              </w:rPr>
            </w:pPr>
          </w:p>
        </w:tc>
        <w:tc>
          <w:tcPr>
            <w:tcW w:w="224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Market Comparable</w:t>
            </w:r>
          </w:p>
        </w:tc>
        <w:tc>
          <w:tcPr>
            <w:tcW w:w="2320" w:type="dxa"/>
            <w:vAlign w:val="bottom"/>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1"/>
              </w:rPr>
              <w:t>Discount rate</w:t>
            </w:r>
          </w:p>
        </w:tc>
        <w:tc>
          <w:tcPr>
            <w:tcW w:w="1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3.5%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cash equivalents, 2025 Notes and investments and our Credit Facility were categorized as follows in the fair value hierarchy for ASC 820 purposes: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2013</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Loan and</w:t>
            </w: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$ 44,092,400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118,668,738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205,667</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110,923,751</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1,078,175,553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7,539,320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44,298,067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58,440,829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58,440,829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2"/>
              </w:rPr>
              <w:t>1,136,616,382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65,980,149</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$ 44,298,067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$28.0 million)</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68,400,000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68,400,000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68,400,000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gridSpan w:val="7"/>
          </w:tcPr>
          <w:p>
            <w:pPr>
              <w:ind w:left="40"/>
              <w:spacing w:after="0"/>
              <w:rPr>
                <w:sz w:val="20"/>
                <w:szCs w:val="20"/>
                <w:color w:val="auto"/>
              </w:rPr>
            </w:pPr>
            <w:r>
              <w:rPr>
                <w:rFonts w:ascii="Arial" w:cs="Arial" w:eastAsia="Arial" w:hAnsi="Arial"/>
                <w:sz w:val="14"/>
                <w:szCs w:val="14"/>
                <w:b w:val="1"/>
                <w:bCs w:val="1"/>
                <w:color w:val="auto"/>
              </w:rPr>
              <w:t>Fair Value at September 30, 2012</w:t>
            </w:r>
          </w:p>
        </w:tc>
        <w:tc>
          <w:tcPr>
            <w:tcW w:w="0" w:type="dxa"/>
            <w:vAlign w:val="bottom"/>
          </w:tcPr>
          <w:p>
            <w:pPr>
              <w:spacing w:after="0"/>
              <w:rPr>
                <w:sz w:val="1"/>
                <w:szCs w:val="1"/>
                <w:color w:val="auto"/>
              </w:rPr>
            </w:pPr>
          </w:p>
        </w:tc>
      </w:tr>
      <w:tr>
        <w:trPr>
          <w:trHeight w:val="142"/>
        </w:trPr>
        <w:tc>
          <w:tcPr>
            <w:tcW w:w="55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Level 1</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Loan and</w:t>
            </w: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883,699,431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$ 35,275,360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848,424,071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106,780,279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5,425,378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31,778</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101,323,123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990,479,710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5,425,378</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35,307,138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7,559,453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7,559,453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investments, cash and cash equivalents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998,039,163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12,984,831</w:t>
            </w:r>
          </w:p>
        </w:tc>
        <w:tc>
          <w:tcPr>
            <w:tcW w:w="18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$ 35,307,138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23"/>
        </w:trPr>
        <w:tc>
          <w:tcPr>
            <w:tcW w:w="558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$35.5 million)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108,952,500</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108,952,500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Year Ended September 30, 2013</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tcPr>
          <w:p>
            <w:pPr>
              <w:jc w:val="right"/>
              <w:ind w:right="468"/>
              <w:spacing w:after="0" w:line="119" w:lineRule="exact"/>
              <w:rPr>
                <w:sz w:val="20"/>
                <w:szCs w:val="20"/>
                <w:color w:val="auto"/>
              </w:rPr>
            </w:pPr>
            <w:r>
              <w:rPr>
                <w:rFonts w:ascii="Arial" w:cs="Arial" w:eastAsia="Arial" w:hAnsi="Arial"/>
                <w:sz w:val="13"/>
                <w:szCs w:val="13"/>
                <w:b w:val="1"/>
                <w:bCs w:val="1"/>
                <w:color w:val="auto"/>
              </w:rPr>
              <w:t>Loan and debt</w:t>
            </w:r>
          </w:p>
        </w:tc>
        <w:tc>
          <w:tcPr>
            <w:tcW w:w="148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0"/>
                <w:szCs w:val="10"/>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8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w w:val="97"/>
              </w:rPr>
              <w:t>investments</w:t>
            </w: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0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September 30, 2012</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848,424,071</w:t>
            </w:r>
          </w:p>
        </w:tc>
        <w:tc>
          <w:tcPr>
            <w:tcW w:w="4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$ 101,323,123</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Realized gains (losses)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rPr>
              <w:t>6,721,638</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3,311,652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10,033,290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35,227,586</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(28,273,765)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w w:val="99"/>
              </w:rPr>
              <w:t>512,045,145</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46,647,608</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558,692,753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94"/>
              </w:rPr>
              <w:t>(474,164,025)</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(12,084,867)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(486,248,892)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308"/>
              <w:spacing w:after="0"/>
              <w:rPr>
                <w:sz w:val="20"/>
                <w:szCs w:val="20"/>
                <w:color w:val="auto"/>
              </w:rPr>
            </w:pPr>
            <w:r>
              <w:rPr>
                <w:rFonts w:ascii="Arial" w:cs="Arial" w:eastAsia="Arial" w:hAnsi="Arial"/>
                <w:sz w:val="18"/>
                <w:szCs w:val="18"/>
                <w:color w:val="auto"/>
              </w:rPr>
              <w:t>(12,840,000)</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99"/>
              </w:rPr>
              <w:t>915,414,415</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$ 110,923,751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1,026,338,166</w:t>
            </w:r>
          </w:p>
        </w:tc>
        <w:tc>
          <w:tcPr>
            <w:tcW w:w="0" w:type="dxa"/>
            <w:vAlign w:val="bottom"/>
          </w:tcPr>
          <w:p>
            <w:pPr>
              <w:spacing w:after="0"/>
              <w:rPr>
                <w:sz w:val="1"/>
                <w:szCs w:val="1"/>
                <w:color w:val="auto"/>
              </w:rPr>
            </w:pPr>
          </w:p>
        </w:tc>
      </w:tr>
      <w:tr>
        <w:trPr>
          <w:trHeight w:val="209"/>
        </w:trPr>
        <w:tc>
          <w:tcPr>
            <w:tcW w:w="6800" w:type="dxa"/>
            <w:vAlign w:val="bottom"/>
            <w:gridSpan w:val="3"/>
          </w:tcPr>
          <w:p>
            <w:pPr>
              <w:spacing w:after="0"/>
              <w:rPr>
                <w:sz w:val="20"/>
                <w:szCs w:val="20"/>
                <w:color w:val="auto"/>
              </w:rPr>
            </w:pPr>
            <w:r>
              <w:rPr>
                <w:rFonts w:ascii="Arial" w:cs="Arial" w:eastAsia="Arial" w:hAnsi="Arial"/>
                <w:sz w:val="18"/>
                <w:szCs w:val="18"/>
                <w:color w:val="auto"/>
                <w:w w:val="95"/>
              </w:rPr>
              <w:t>Net change in unrealized appreciation (depreciation) for the fiscal year reported within the</w:t>
            </w: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w w:val="94"/>
              </w:rPr>
              <w:t>net change in unrealized appreciation (depreciation) on investments in our Consolidated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gridSpan w:val="2"/>
          </w:tcPr>
          <w:p>
            <w:pPr>
              <w:ind w:left="16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 date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68"/>
              <w:spacing w:after="0"/>
              <w:rPr>
                <w:sz w:val="20"/>
                <w:szCs w:val="20"/>
                <w:color w:val="auto"/>
              </w:rPr>
            </w:pPr>
            <w:r>
              <w:rPr>
                <w:rFonts w:ascii="Arial" w:cs="Arial" w:eastAsia="Arial" w:hAnsi="Arial"/>
                <w:sz w:val="18"/>
                <w:szCs w:val="18"/>
                <w:color w:val="auto"/>
              </w:rPr>
              <w:t>33,158,082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 (30,958,706)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2,199,376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80" w:type="dxa"/>
            <w:vAlign w:val="bottom"/>
          </w:tcPr>
          <w:p>
            <w:pPr>
              <w:ind w:left="4820"/>
              <w:spacing w:after="0"/>
              <w:rPr>
                <w:sz w:val="20"/>
                <w:szCs w:val="20"/>
                <w:color w:val="auto"/>
              </w:rPr>
            </w:pPr>
            <w:r>
              <w:rPr>
                <w:rFonts w:ascii="Arial" w:cs="Arial" w:eastAsia="Arial" w:hAnsi="Arial"/>
                <w:sz w:val="18"/>
                <w:szCs w:val="18"/>
                <w:color w:val="auto"/>
              </w:rPr>
              <w:t>F-28</w:t>
            </w: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September 30, 2012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10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Loan and debt</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investments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0"/>
              </w:rPr>
              <w:t>investments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Beginning</w:t>
            </w:r>
          </w:p>
        </w:tc>
        <w:tc>
          <w:tcPr>
            <w:tcW w:w="6380" w:type="dxa"/>
            <w:vAlign w:val="bottom"/>
            <w:tcBorders>
              <w:top w:val="single" w:sz="8" w:color="CCEEFF"/>
              <w:right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September 30, 2011</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732,694,451</w:t>
            </w: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52,353,328</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785,047,779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Realized gains (losses)</w:t>
            </w:r>
          </w:p>
        </w:tc>
        <w:tc>
          <w:tcPr>
            <w:tcW w:w="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(1,893,297)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(865,772)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(2,759,069)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Unrealized appreciation</w:t>
            </w:r>
          </w:p>
        </w:tc>
        <w:tc>
          <w:tcPr>
            <w:tcW w:w="6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23,034,558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(11,283,219)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Purchases, PIK, net discount accretion and non-cash exchanges</w:t>
            </w: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288,868,017</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66,892,499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355,760,516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 repayments</w:t>
            </w:r>
          </w:p>
        </w:tc>
        <w:tc>
          <w:tcPr>
            <w:tcW w:w="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(194,279,658)</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(5,773,713)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(200,053,371)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80" w:type="dxa"/>
            <w:vAlign w:val="bottom"/>
            <w:gridSpan w:val="2"/>
          </w:tcPr>
          <w:p>
            <w:pPr>
              <w:ind w:left="340"/>
              <w:spacing w:after="0"/>
              <w:rPr>
                <w:sz w:val="20"/>
                <w:szCs w:val="20"/>
                <w:color w:val="auto"/>
              </w:rPr>
            </w:pPr>
            <w:r>
              <w:rPr>
                <w:rFonts w:ascii="Arial" w:cs="Arial" w:eastAsia="Arial" w:hAnsi="Arial"/>
                <w:sz w:val="18"/>
                <w:szCs w:val="18"/>
                <w:color w:val="auto"/>
              </w:rPr>
              <w:t>Transfers in or out of Level 3</w:t>
            </w:r>
          </w:p>
        </w:tc>
        <w:tc>
          <w:tcPr>
            <w:tcW w:w="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848,424,071</w:t>
            </w:r>
          </w:p>
        </w:tc>
        <w:tc>
          <w:tcPr>
            <w:tcW w:w="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101,323,123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949,747,194</w:t>
            </w:r>
          </w:p>
        </w:tc>
        <w:tc>
          <w:tcPr>
            <w:tcW w:w="0" w:type="dxa"/>
            <w:vAlign w:val="bottom"/>
          </w:tcPr>
          <w:p>
            <w:pPr>
              <w:spacing w:after="0"/>
              <w:rPr>
                <w:sz w:val="1"/>
                <w:szCs w:val="1"/>
                <w:color w:val="auto"/>
              </w:rPr>
            </w:pPr>
          </w:p>
        </w:tc>
      </w:tr>
      <w:tr>
        <w:trPr>
          <w:trHeight w:val="209"/>
        </w:trPr>
        <w:tc>
          <w:tcPr>
            <w:tcW w:w="7100" w:type="dxa"/>
            <w:vAlign w:val="bottom"/>
            <w:gridSpan w:val="3"/>
          </w:tcPr>
          <w:p>
            <w:pPr>
              <w:spacing w:after="0"/>
              <w:rPr>
                <w:sz w:val="20"/>
                <w:szCs w:val="20"/>
                <w:color w:val="auto"/>
              </w:rPr>
            </w:pPr>
            <w:r>
              <w:rPr>
                <w:rFonts w:ascii="Arial" w:cs="Arial" w:eastAsia="Arial" w:hAnsi="Arial"/>
                <w:sz w:val="18"/>
                <w:szCs w:val="18"/>
                <w:color w:val="auto"/>
                <w:w w:val="99"/>
              </w:rPr>
              <w:t>Net change in unrealized appreciation (depreciation) for the fiscal year reported within the</w:t>
            </w:r>
          </w:p>
        </w:tc>
        <w:tc>
          <w:tcPr>
            <w:tcW w:w="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98"/>
              </w:rPr>
              <w:t>net change in unrealized appreciation (depreciation) on investments in our Consolidated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gridSpan w:val="2"/>
          </w:tcPr>
          <w:p>
            <w:pPr>
              <w:ind w:left="160"/>
              <w:spacing w:after="0"/>
              <w:rPr>
                <w:sz w:val="20"/>
                <w:szCs w:val="20"/>
                <w:color w:val="auto"/>
              </w:rPr>
            </w:pPr>
            <w:r>
              <w:rPr>
                <w:rFonts w:ascii="Arial" w:cs="Arial" w:eastAsia="Arial" w:hAnsi="Arial"/>
                <w:sz w:val="18"/>
                <w:szCs w:val="18"/>
                <w:color w:val="auto"/>
                <w:w w:val="98"/>
              </w:rPr>
              <w:t>Statement of Operations attributable to our Level 3 assets still held at the reporting date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25,864,375</w:t>
            </w:r>
          </w:p>
        </w:tc>
        <w:tc>
          <w:tcPr>
            <w:tcW w:w="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(9,858,219)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16,006,156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8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2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Carrying / Fair Value</w:t>
            </w:r>
          </w:p>
        </w:tc>
        <w:tc>
          <w:tcPr>
            <w:tcW w:w="0" w:type="dxa"/>
            <w:vAlign w:val="bottom"/>
          </w:tcPr>
          <w:p>
            <w:pPr>
              <w:spacing w:after="0"/>
              <w:rPr>
                <w:sz w:val="1"/>
                <w:szCs w:val="1"/>
                <w:color w:val="auto"/>
              </w:rPr>
            </w:pPr>
          </w:p>
        </w:tc>
      </w:tr>
      <w:tr>
        <w:trPr>
          <w:trHeight w:val="119"/>
        </w:trPr>
        <w:tc>
          <w:tcPr>
            <w:tcW w:w="8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Credit Facility</w:t>
            </w:r>
          </w:p>
        </w:tc>
        <w:tc>
          <w:tcPr>
            <w:tcW w:w="16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gridSpan w:val="3"/>
          </w:tcPr>
          <w:p>
            <w:pPr>
              <w:jc w:val="right"/>
              <w:ind w:right="1000"/>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53"/>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140" w:type="dxa"/>
            <w:vAlign w:val="bottom"/>
            <w:gridSpan w:val="2"/>
            <w:vMerge w:val="continue"/>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2013</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September 30, 2012</w:t>
            </w:r>
          </w:p>
        </w:tc>
        <w:tc>
          <w:tcPr>
            <w:tcW w:w="0" w:type="dxa"/>
            <w:vAlign w:val="bottom"/>
          </w:tcPr>
          <w:p>
            <w:pPr>
              <w:spacing w:after="0"/>
              <w:rPr>
                <w:sz w:val="1"/>
                <w:szCs w:val="1"/>
                <w:color w:val="auto"/>
              </w:rPr>
            </w:pPr>
          </w:p>
        </w:tc>
      </w:tr>
      <w:tr>
        <w:trPr>
          <w:trHeight w:val="210"/>
        </w:trPr>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w:t>
            </w:r>
          </w:p>
        </w:tc>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(Cost – $109,500,000 and $240,900,000, respectively)</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108,952,500</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Total unrealized depreciation (appreciation) included in earnings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547,500</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1,560,375</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660,800,000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556,800,000</w:t>
            </w:r>
          </w:p>
        </w:tc>
        <w:tc>
          <w:tcPr>
            <w:tcW w:w="0" w:type="dxa"/>
            <w:vAlign w:val="bottom"/>
          </w:tcPr>
          <w:p>
            <w:pPr>
              <w:spacing w:after="0"/>
              <w:rPr>
                <w:sz w:val="1"/>
                <w:szCs w:val="1"/>
                <w:color w:val="auto"/>
              </w:rPr>
            </w:pPr>
          </w:p>
        </w:tc>
      </w:tr>
      <w:tr>
        <w:trPr>
          <w:trHeight w:val="216"/>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Repayments</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800" w:type="dxa"/>
            <w:vAlign w:val="bottom"/>
            <w:gridSpan w:val="3"/>
          </w:tcPr>
          <w:p>
            <w:pPr>
              <w:jc w:val="right"/>
              <w:ind w:right="700"/>
              <w:spacing w:after="0"/>
              <w:rPr>
                <w:sz w:val="20"/>
                <w:szCs w:val="20"/>
                <w:color w:val="auto"/>
              </w:rPr>
            </w:pPr>
            <w:r>
              <w:rPr>
                <w:rFonts w:ascii="Arial" w:cs="Arial" w:eastAsia="Arial" w:hAnsi="Arial"/>
                <w:sz w:val="18"/>
                <w:szCs w:val="18"/>
                <w:color w:val="auto"/>
                <w:w w:val="96"/>
              </w:rPr>
              <w:t>(652,800,000)</w:t>
            </w: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(688,200,000)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Ending Balance (Cost – $117,500,000 and $109,500,000, respectively)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117,500,000</w:t>
            </w:r>
          </w:p>
        </w:tc>
        <w:tc>
          <w:tcPr>
            <w:tcW w:w="74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108,952,500</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Temporary draw outstanding, at cost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28,000,000</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8140" w:type="dxa"/>
            <w:vAlign w:val="bottom"/>
            <w:gridSpan w:val="2"/>
          </w:tcPr>
          <w:p>
            <w:pPr>
              <w:spacing w:after="0"/>
              <w:rPr>
                <w:sz w:val="20"/>
                <w:szCs w:val="20"/>
                <w:color w:val="auto"/>
              </w:rPr>
            </w:pPr>
            <w:r>
              <w:rPr>
                <w:rFonts w:ascii="Arial" w:cs="Arial" w:eastAsia="Arial" w:hAnsi="Arial"/>
                <w:sz w:val="18"/>
                <w:szCs w:val="18"/>
                <w:color w:val="auto"/>
              </w:rPr>
              <w:t>Ending Balance (Cost – $145,500,000 and 145,000,000, respectively)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145,500,000</w:t>
            </w:r>
          </w:p>
        </w:tc>
        <w:tc>
          <w:tcPr>
            <w:tcW w:w="74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144,452,500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20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year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AND INCOME ACCRUED FROM AFFILIATED COMPANIES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An affiliated company is a company in which we have ownership of 5% or more of its voting securities. A controlled affiliate is a company in which we own 25% or more of its voting securities. Transactions and accrued income related to our investments with both controlled and non-controlled affiliates for the year ended September 30, 2013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3"/>
              </w:rPr>
              <w:t>Purchases of /</w:t>
            </w:r>
          </w:p>
        </w:tc>
        <w:tc>
          <w:tcPr>
            <w:tcW w:w="100" w:type="dxa"/>
            <w:vAlign w:val="bottom"/>
          </w:tcPr>
          <w:p>
            <w:pPr>
              <w:spacing w:after="0"/>
              <w:rPr>
                <w:sz w:val="13"/>
                <w:szCs w:val="13"/>
                <w:color w:val="auto"/>
              </w:rPr>
            </w:pPr>
          </w:p>
        </w:tc>
        <w:tc>
          <w:tcPr>
            <w:tcW w:w="920" w:type="dxa"/>
            <w:vAlign w:val="bottom"/>
            <w:gridSpan w:val="2"/>
          </w:tcPr>
          <w:p>
            <w:pPr>
              <w:jc w:val="center"/>
              <w:ind w:right="239"/>
              <w:spacing w:after="0"/>
              <w:rPr>
                <w:sz w:val="20"/>
                <w:szCs w:val="20"/>
                <w:color w:val="auto"/>
              </w:rPr>
            </w:pPr>
            <w:r>
              <w:rPr>
                <w:rFonts w:ascii="Arial" w:cs="Arial" w:eastAsia="Arial" w:hAnsi="Arial"/>
                <w:sz w:val="13"/>
                <w:szCs w:val="13"/>
                <w:b w:val="1"/>
                <w:bCs w:val="1"/>
                <w:color w:val="auto"/>
                <w:w w:val="88"/>
              </w:rPr>
              <w:t>Sale of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140" w:type="dxa"/>
            <w:vAlign w:val="bottom"/>
          </w:tcPr>
          <w:p>
            <w:pPr>
              <w:spacing w:after="0"/>
              <w:rPr>
                <w:sz w:val="11"/>
                <w:szCs w:val="11"/>
                <w:color w:val="auto"/>
              </w:rPr>
            </w:pPr>
          </w:p>
        </w:tc>
        <w:tc>
          <w:tcPr>
            <w:tcW w:w="1000" w:type="dxa"/>
            <w:vAlign w:val="bottom"/>
          </w:tcPr>
          <w:p>
            <w:pPr>
              <w:jc w:val="right"/>
              <w:ind w:right="149"/>
              <w:spacing w:after="0" w:line="135" w:lineRule="exact"/>
              <w:rPr>
                <w:sz w:val="20"/>
                <w:szCs w:val="20"/>
                <w:color w:val="auto"/>
              </w:rPr>
            </w:pPr>
            <w:r>
              <w:rPr>
                <w:rFonts w:ascii="Arial" w:cs="Arial" w:eastAsia="Arial" w:hAnsi="Arial"/>
                <w:sz w:val="13"/>
                <w:szCs w:val="13"/>
                <w:b w:val="1"/>
                <w:bCs w:val="1"/>
                <w:color w:val="auto"/>
                <w:w w:val="98"/>
              </w:rPr>
              <w:t>Fair Value at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1020" w:type="dxa"/>
            <w:vAlign w:val="bottom"/>
            <w:gridSpan w:val="3"/>
          </w:tcPr>
          <w:p>
            <w:pPr>
              <w:jc w:val="center"/>
              <w:ind w:right="139"/>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87"/>
              </w:rPr>
              <w:t>Income</w:t>
            </w:r>
          </w:p>
        </w:tc>
        <w:tc>
          <w:tcPr>
            <w:tcW w:w="160" w:type="dxa"/>
            <w:vAlign w:val="bottom"/>
          </w:tcPr>
          <w:p>
            <w:pPr>
              <w:spacing w:after="0"/>
              <w:rPr>
                <w:sz w:val="11"/>
                <w:szCs w:val="11"/>
                <w:color w:val="auto"/>
              </w:rPr>
            </w:pPr>
          </w:p>
        </w:tc>
        <w:tc>
          <w:tcPr>
            <w:tcW w:w="130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0"/>
              </w:rPr>
              <w:t>Fair Value at</w:t>
            </w:r>
          </w:p>
        </w:tc>
        <w:tc>
          <w:tcPr>
            <w:tcW w:w="1020" w:type="dxa"/>
            <w:vAlign w:val="bottom"/>
            <w:gridSpan w:val="3"/>
          </w:tcPr>
          <w:p>
            <w:pPr>
              <w:jc w:val="right"/>
              <w:ind w:right="119"/>
              <w:spacing w:after="0" w:line="135" w:lineRule="exact"/>
              <w:rPr>
                <w:sz w:val="20"/>
                <w:szCs w:val="20"/>
                <w:color w:val="auto"/>
              </w:rPr>
            </w:pPr>
            <w:r>
              <w:rPr>
                <w:rFonts w:ascii="Arial" w:cs="Arial" w:eastAsia="Arial" w:hAnsi="Arial"/>
                <w:sz w:val="13"/>
                <w:szCs w:val="13"/>
                <w:b w:val="1"/>
                <w:bCs w:val="1"/>
                <w:color w:val="auto"/>
                <w:w w:val="92"/>
              </w:rPr>
              <w:t>Capital Gains /</w:t>
            </w:r>
          </w:p>
        </w:tc>
        <w:tc>
          <w:tcPr>
            <w:tcW w:w="0" w:type="dxa"/>
            <w:vAlign w:val="bottom"/>
          </w:tcPr>
          <w:p>
            <w:pPr>
              <w:spacing w:after="0"/>
              <w:rPr>
                <w:sz w:val="1"/>
                <w:szCs w:val="1"/>
                <w:color w:val="auto"/>
              </w:rPr>
            </w:pPr>
          </w:p>
        </w:tc>
      </w:tr>
      <w:tr>
        <w:trPr>
          <w:trHeight w:val="153"/>
        </w:trPr>
        <w:tc>
          <w:tcPr>
            <w:tcW w:w="4200" w:type="dxa"/>
            <w:vAlign w:val="bottom"/>
            <w:gridSpan w:val="2"/>
            <w:vMerge w:val="continue"/>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88"/>
              </w:rPr>
              <w:t>September 30, 2012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Affiliates</w:t>
            </w:r>
          </w:p>
        </w:tc>
        <w:tc>
          <w:tcPr>
            <w:tcW w:w="1020" w:type="dxa"/>
            <w:vAlign w:val="bottom"/>
            <w:gridSpan w:val="3"/>
          </w:tcPr>
          <w:p>
            <w:pPr>
              <w:jc w:val="center"/>
              <w:ind w:right="159"/>
              <w:spacing w:after="0"/>
              <w:rPr>
                <w:sz w:val="20"/>
                <w:szCs w:val="20"/>
                <w:color w:val="auto"/>
              </w:rPr>
            </w:pPr>
            <w:r>
              <w:rPr>
                <w:rFonts w:ascii="Arial" w:cs="Arial" w:eastAsia="Arial" w:hAnsi="Arial"/>
                <w:sz w:val="13"/>
                <w:szCs w:val="13"/>
                <w:b w:val="1"/>
                <w:bCs w:val="1"/>
                <w:color w:val="auto"/>
                <w:w w:val="89"/>
              </w:rPr>
              <w:t>from Affiliates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Accrued</w:t>
            </w:r>
          </w:p>
        </w:tc>
        <w:tc>
          <w:tcPr>
            <w:tcW w:w="14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September 30, 2013</w:t>
            </w:r>
          </w:p>
        </w:tc>
        <w:tc>
          <w:tcPr>
            <w:tcW w:w="160" w:type="dxa"/>
            <w:vAlign w:val="bottom"/>
          </w:tcPr>
          <w:p>
            <w:pPr>
              <w:spacing w:after="0"/>
              <w:rPr>
                <w:sz w:val="13"/>
                <w:szCs w:val="13"/>
                <w:color w:val="auto"/>
              </w:rPr>
            </w:pPr>
          </w:p>
        </w:tc>
        <w:tc>
          <w:tcPr>
            <w:tcW w:w="860" w:type="dxa"/>
            <w:vAlign w:val="bottom"/>
            <w:gridSpan w:val="2"/>
          </w:tcPr>
          <w:p>
            <w:pPr>
              <w:jc w:val="right"/>
              <w:ind w:right="319"/>
              <w:spacing w:after="0"/>
              <w:rPr>
                <w:sz w:val="20"/>
                <w:szCs w:val="20"/>
                <w:color w:val="auto"/>
              </w:rPr>
            </w:pPr>
            <w:r>
              <w:rPr>
                <w:rFonts w:ascii="Arial" w:cs="Arial" w:eastAsia="Arial" w:hAnsi="Arial"/>
                <w:sz w:val="13"/>
                <w:szCs w:val="13"/>
                <w:b w:val="1"/>
                <w:bCs w:val="1"/>
                <w:color w:val="auto"/>
                <w:w w:val="89"/>
              </w:rPr>
              <w:t>(Losses)</w:t>
            </w: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Controlled Affiliates</w:t>
            </w:r>
          </w:p>
        </w:tc>
        <w:tc>
          <w:tcPr>
            <w:tcW w:w="140" w:type="dxa"/>
            <w:vAlign w:val="bottom"/>
            <w:shd w:val="clear" w:color="auto" w:fill="CCEEFF"/>
          </w:tcPr>
          <w:p>
            <w:pPr>
              <w:spacing w:after="0"/>
              <w:rPr>
                <w:sz w:val="11"/>
                <w:szCs w:val="11"/>
                <w:color w:val="auto"/>
              </w:rPr>
            </w:pPr>
          </w:p>
        </w:tc>
        <w:tc>
          <w:tcPr>
            <w:tcW w:w="100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SuttonPark Holdings, Inc.</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13,175,000</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5,500,000</w:t>
            </w:r>
          </w:p>
        </w:tc>
        <w:tc>
          <w:tcPr>
            <w:tcW w:w="3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(7,500,000)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1,798,319</w:t>
            </w:r>
          </w:p>
        </w:tc>
        <w:tc>
          <w:tcPr>
            <w:tcW w:w="160" w:type="dxa"/>
            <w:vAlign w:val="bottom"/>
          </w:tcPr>
          <w:p>
            <w:pPr>
              <w:jc w:val="right"/>
              <w:ind w:right="11"/>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13,500,000</w:t>
            </w:r>
          </w:p>
        </w:tc>
        <w:tc>
          <w:tcPr>
            <w:tcW w:w="300" w:type="dxa"/>
            <w:vAlign w:val="bottom"/>
          </w:tcPr>
          <w:p>
            <w:pPr>
              <w:spacing w:after="0"/>
              <w:rPr>
                <w:sz w:val="12"/>
                <w:szCs w:val="12"/>
                <w:color w:val="auto"/>
              </w:rPr>
            </w:pP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LLC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24,456,708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1,341,667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(2,041,667)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3,008,010</w:t>
            </w:r>
          </w:p>
        </w:tc>
        <w:tc>
          <w:tcPr>
            <w:tcW w:w="1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19,468,711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Non-Controlled Affiliates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 Buy Holdings,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10,880,000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956,224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1,412,589</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17,805,936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(1,350,000)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Envirosolutions, Inc.</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18,425,519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1,835,978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21,265,345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17,946,928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77,584</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1,694,296</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(1,999,960)</w:t>
            </w:r>
          </w:p>
        </w:tc>
        <w:tc>
          <w:tcPr>
            <w:tcW w:w="0" w:type="dxa"/>
            <w:vAlign w:val="bottom"/>
          </w:tcPr>
          <w:p>
            <w:pPr>
              <w:spacing w:after="0"/>
              <w:rPr>
                <w:sz w:val="1"/>
                <w:szCs w:val="1"/>
                <w:color w:val="auto"/>
              </w:rPr>
            </w:pP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Performance Holdings, Inc.</w:t>
            </w:r>
          </w:p>
        </w:tc>
        <w:tc>
          <w:tcPr>
            <w:tcW w:w="14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18,028,080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w w:val="95"/>
              </w:rPr>
              <w:t>(15,851,005)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1,408,352</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2,500,165</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107,804</w:t>
            </w:r>
          </w:p>
        </w:tc>
        <w:tc>
          <w:tcPr>
            <w:tcW w:w="0" w:type="dxa"/>
            <w:vAlign w:val="bottom"/>
          </w:tcPr>
          <w:p>
            <w:pPr>
              <w:spacing w:after="0"/>
              <w:rPr>
                <w:sz w:val="1"/>
                <w:szCs w:val="1"/>
                <w:color w:val="auto"/>
              </w:rPr>
            </w:pP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 Champ, Inc.</w:t>
            </w:r>
          </w:p>
        </w:tc>
        <w:tc>
          <w:tcPr>
            <w:tcW w:w="140" w:type="dxa"/>
            <w:vAlign w:val="bottom"/>
            <w:shd w:val="clear" w:color="auto" w:fill="CCEEFF"/>
          </w:tcPr>
          <w:p>
            <w:pPr>
              <w:spacing w:after="0"/>
              <w:rPr>
                <w:sz w:val="12"/>
                <w:szCs w:val="12"/>
                <w:color w:val="auto"/>
              </w:rPr>
            </w:pPr>
          </w:p>
        </w:tc>
        <w:tc>
          <w:tcPr>
            <w:tcW w:w="10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44,501,658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3,910,000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(1,478,400)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3,540,001</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33,470,058</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Controlled and Non-Controlled Affiliates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147,413,893</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16,543,869</w:t>
            </w:r>
          </w:p>
        </w:tc>
        <w:tc>
          <w:tcPr>
            <w:tcW w:w="3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(26,871,072</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11,244,855</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109,704,511</w:t>
            </w:r>
          </w:p>
        </w:tc>
        <w:tc>
          <w:tcPr>
            <w:tcW w:w="3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(3,242,156</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right="6160" w:firstLine="8"/>
        <w:spacing w:after="0" w:line="291" w:lineRule="auto"/>
        <w:tabs>
          <w:tab w:leader="none" w:pos="338" w:val="left"/>
        </w:tabs>
        <w:numPr>
          <w:ilvl w:val="0"/>
          <w:numId w:val="138"/>
        </w:numPr>
        <w:rPr>
          <w:rFonts w:ascii="Arial" w:cs="Arial" w:eastAsia="Arial" w:hAnsi="Arial"/>
          <w:sz w:val="13"/>
          <w:szCs w:val="13"/>
          <w:color w:val="auto"/>
        </w:rPr>
      </w:pPr>
      <w:r>
        <w:rPr>
          <w:rFonts w:ascii="Arial" w:cs="Arial" w:eastAsia="Arial" w:hAnsi="Arial"/>
          <w:sz w:val="13"/>
          <w:szCs w:val="13"/>
          <w:color w:val="auto"/>
        </w:rPr>
        <w:t>Became a non-controlled affiliate during the three months ended March 31, 2013. ** Became a non-controlled affiliate during the three months ended December 31, 2012.</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426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7"/>
              </w:rPr>
              <w:t>Years ended September 30,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14"/>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4"/>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w w:val="98"/>
              </w:rPr>
              <w:t>Numerator for net increase in net assets resulting from operations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91,777,652</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w w:val="86"/>
              </w:rPr>
              <w:t>63,353,100</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10,263,474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0" w:type="dxa"/>
            <w:vAlign w:val="bottom"/>
            <w:gridSpan w:val="3"/>
          </w:tcPr>
          <w:p>
            <w:pPr>
              <w:spacing w:after="0"/>
              <w:rPr>
                <w:sz w:val="20"/>
                <w:szCs w:val="20"/>
                <w:color w:val="auto"/>
              </w:rPr>
            </w:pPr>
            <w:r>
              <w:rPr>
                <w:rFonts w:ascii="Arial" w:cs="Arial" w:eastAsia="Arial" w:hAnsi="Arial"/>
                <w:sz w:val="18"/>
                <w:szCs w:val="18"/>
                <w:color w:val="auto"/>
              </w:rPr>
              <w:t>Denominator for basic/diluted and weighted average shares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66,380,829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52,969,278*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42,196,076</w:t>
            </w:r>
          </w:p>
        </w:tc>
        <w:tc>
          <w:tcPr>
            <w:tcW w:w="0" w:type="dxa"/>
            <w:vAlign w:val="bottom"/>
          </w:tcPr>
          <w:p>
            <w:pPr>
              <w:spacing w:after="0"/>
              <w:rPr>
                <w:sz w:val="1"/>
                <w:szCs w:val="1"/>
                <w:color w:val="auto"/>
              </w:rPr>
            </w:pPr>
          </w:p>
        </w:tc>
      </w:tr>
      <w:tr>
        <w:trPr>
          <w:trHeight w:val="202"/>
        </w:trPr>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Basic/diluted net increase in net assets per share resulting from</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spacing w:after="0"/>
              <w:rPr>
                <w:sz w:val="11"/>
                <w:szCs w:val="11"/>
                <w:color w:val="auto"/>
              </w:rPr>
            </w:pPr>
          </w:p>
        </w:tc>
        <w:tc>
          <w:tcPr>
            <w:tcW w:w="496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900" w:type="dxa"/>
            <w:vAlign w:val="bottom"/>
            <w:gridSpan w:val="4"/>
          </w:tcPr>
          <w:p>
            <w:pPr>
              <w:ind w:left="120"/>
              <w:spacing w:after="0"/>
              <w:rPr>
                <w:sz w:val="20"/>
                <w:szCs w:val="20"/>
                <w:color w:val="auto"/>
              </w:rPr>
            </w:pPr>
            <w:r>
              <w:rPr>
                <w:rFonts w:ascii="Arial" w:cs="Arial" w:eastAsia="Arial" w:hAnsi="Arial"/>
                <w:sz w:val="14"/>
                <w:szCs w:val="14"/>
                <w:color w:val="auto"/>
              </w:rPr>
              <w:t>The denominator for diluted weighted average shares was 52,975,015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0"/>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ind w:left="3680"/>
              <w:spacing w:after="0"/>
              <w:rPr>
                <w:sz w:val="20"/>
                <w:szCs w:val="20"/>
                <w:color w:val="auto"/>
              </w:rPr>
            </w:pPr>
            <w:r>
              <w:rPr>
                <w:rFonts w:ascii="Arial" w:cs="Arial" w:eastAsia="Arial" w:hAnsi="Arial"/>
                <w:sz w:val="18"/>
                <w:szCs w:val="18"/>
                <w:color w:val="auto"/>
              </w:rPr>
              <w:t>F-30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2013, 2012 and 2011:</w:t>
      </w:r>
    </w:p>
    <w:p>
      <w:pPr>
        <w:spacing w:after="0" w:line="17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2013</w:t>
            </w: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6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paid-in capital</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903,627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$(228,824)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Increase (Decrease) in accumulated net realized loss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(824,021)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2,176,918</w:t>
            </w:r>
          </w:p>
        </w:tc>
        <w:tc>
          <w:tcPr>
            <w:tcW w:w="68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(79,606)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9"/>
              </w:rPr>
              <w:t>(2,453,820)</w:t>
            </w:r>
          </w:p>
        </w:tc>
        <w:tc>
          <w:tcPr>
            <w:tcW w:w="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$ 228,824</w:t>
            </w:r>
          </w:p>
        </w:tc>
      </w:tr>
    </w:tbl>
    <w:p>
      <w:pPr>
        <w:spacing w:after="0" w:line="20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As of September 30, 2013 and 2012, the cost of investments for federal income tax purposes was $1,089.8 million and $1,006.8 million, respectively, resulting in a gross unrealized appreciation of $76.8 million and $59.9 million, respectively, and gross unrealized depreciation of $88.4 million and $76.3 million, respectively.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8"/>
              </w:rPr>
              <w:t>Years Ended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right"/>
              <w:ind w:right="256"/>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2"/>
                <w:szCs w:val="12"/>
                <w:color w:val="auto"/>
              </w:rPr>
            </w:pPr>
          </w:p>
        </w:tc>
        <w:tc>
          <w:tcPr>
            <w:tcW w:w="146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98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8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$ 91,777,652</w:t>
            </w: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$ 63,353,100</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$ 10,263,474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realized (gain) loss on investments not taxable</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(17,687,211)</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12,798,035</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(16,259,622)</w:t>
            </w: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Net unrealized (appreciation) depreciation on investments,</w:t>
            </w: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Facility and 2025 Notes</w:t>
            </w:r>
          </w:p>
        </w:tc>
        <w:tc>
          <w:tcPr>
            <w:tcW w:w="1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(7,092,320)</w:t>
            </w:r>
          </w:p>
        </w:tc>
        <w:tc>
          <w:tcPr>
            <w:tcW w:w="21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(19,081,794)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58,641,223</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1940" w:type="dxa"/>
            <w:vAlign w:val="bottom"/>
            <w:gridSpan w:val="3"/>
          </w:tcPr>
          <w:p>
            <w:pPr>
              <w:jc w:val="right"/>
              <w:ind w:right="120"/>
              <w:spacing w:after="0"/>
              <w:rPr>
                <w:sz w:val="20"/>
                <w:szCs w:val="20"/>
                <w:color w:val="auto"/>
              </w:rPr>
            </w:pPr>
            <w:r>
              <w:rPr>
                <w:rFonts w:ascii="Arial" w:cs="Arial" w:eastAsia="Arial" w:hAnsi="Arial"/>
                <w:sz w:val="18"/>
                <w:szCs w:val="18"/>
                <w:color w:val="auto"/>
              </w:rPr>
              <w:t>(3,035,861)</w:t>
            </w:r>
          </w:p>
        </w:tc>
        <w:tc>
          <w:tcPr>
            <w:tcW w:w="2140" w:type="dxa"/>
            <w:vAlign w:val="bottom"/>
            <w:gridSpan w:val="3"/>
          </w:tcPr>
          <w:p>
            <w:pPr>
              <w:jc w:val="right"/>
              <w:ind w:right="680"/>
              <w:spacing w:after="0"/>
              <w:rPr>
                <w:sz w:val="20"/>
                <w:szCs w:val="20"/>
                <w:color w:val="auto"/>
              </w:rPr>
            </w:pPr>
            <w:r>
              <w:rPr>
                <w:rFonts w:ascii="Arial" w:cs="Arial" w:eastAsia="Arial" w:hAnsi="Arial"/>
                <w:sz w:val="18"/>
                <w:szCs w:val="18"/>
                <w:color w:val="auto"/>
              </w:rPr>
              <w:t>2,444,817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(3,178,194)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2,715,980</w:t>
            </w:r>
          </w:p>
        </w:tc>
        <w:tc>
          <w:tcPr>
            <w:tcW w:w="18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307,990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228,824</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8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$ 66,678,240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$ 59,822,148</w:t>
            </w:r>
          </w:p>
        </w:tc>
        <w:tc>
          <w:tcPr>
            <w:tcW w:w="6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$ 49,695,705</w:t>
            </w:r>
          </w:p>
        </w:tc>
        <w:tc>
          <w:tcPr>
            <w:tcW w:w="100" w:type="dxa"/>
            <w:vAlign w:val="bottom"/>
          </w:tcPr>
          <w:p>
            <w:pPr>
              <w:spacing w:after="0"/>
              <w:rPr>
                <w:sz w:val="19"/>
                <w:szCs w:val="19"/>
                <w:color w:val="auto"/>
              </w:rPr>
            </w:pPr>
          </w:p>
        </w:tc>
      </w:tr>
      <w:tr>
        <w:trPr>
          <w:trHeight w:val="372"/>
        </w:trPr>
        <w:tc>
          <w:tcPr>
            <w:tcW w:w="4420" w:type="dxa"/>
            <w:vAlign w:val="bottom"/>
          </w:tcPr>
          <w:p>
            <w:pPr>
              <w:spacing w:after="0"/>
              <w:rPr>
                <w:sz w:val="24"/>
                <w:szCs w:val="24"/>
                <w:color w:val="auto"/>
              </w:rPr>
            </w:pPr>
          </w:p>
        </w:tc>
        <w:tc>
          <w:tcPr>
            <w:tcW w:w="1940" w:type="dxa"/>
            <w:vAlign w:val="bottom"/>
            <w:gridSpan w:val="3"/>
          </w:tcPr>
          <w:p>
            <w:pPr>
              <w:jc w:val="right"/>
              <w:ind w:right="1400"/>
              <w:spacing w:after="0"/>
              <w:rPr>
                <w:sz w:val="20"/>
                <w:szCs w:val="20"/>
                <w:color w:val="auto"/>
              </w:rPr>
            </w:pPr>
            <w:r>
              <w:rPr>
                <w:rFonts w:ascii="Arial" w:cs="Arial" w:eastAsia="Arial" w:hAnsi="Arial"/>
                <w:sz w:val="18"/>
                <w:szCs w:val="18"/>
                <w:color w:val="auto"/>
              </w:rPr>
              <w:t>F-31</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80" w:right="278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surplus on tax basis and reconciliation to accumulated deficit on a book basis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As of September 30,</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9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340" w:type="dxa"/>
            <w:vAlign w:val="bottom"/>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2012</w:t>
            </w:r>
          </w:p>
        </w:tc>
        <w:tc>
          <w:tcPr>
            <w:tcW w:w="680" w:type="dxa"/>
            <w:vAlign w:val="bottom"/>
          </w:tcPr>
          <w:p>
            <w:pPr>
              <w:spacing w:after="0"/>
              <w:rPr>
                <w:sz w:val="12"/>
                <w:szCs w:val="12"/>
                <w:color w:val="auto"/>
              </w:rPr>
            </w:pPr>
          </w:p>
        </w:tc>
        <w:tc>
          <w:tcPr>
            <w:tcW w:w="98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Undistributed ordinary income – tax basis</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$ 15,325,379</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$ 18,634,553</w:t>
            </w:r>
          </w:p>
        </w:tc>
        <w:tc>
          <w:tcPr>
            <w:tcW w:w="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$ 17,639,482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taxable income</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15,325,379</w:t>
            </w:r>
          </w:p>
        </w:tc>
        <w:tc>
          <w:tcPr>
            <w:tcW w:w="20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18,634,553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17,639,482</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5"/>
                <w:szCs w:val="15"/>
                <w:color w:val="auto"/>
              </w:rPr>
              <w:t>(1) (2)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(39,216,288)</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(56,786,282)</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(47,030,821)</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 and other temporary differences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(26,021,069)</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(21,086,425)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(12,477,778)</w:t>
            </w:r>
          </w:p>
        </w:tc>
      </w:tr>
      <w:tr>
        <w:trPr>
          <w:trHeight w:val="202"/>
        </w:trPr>
        <w:tc>
          <w:tcPr>
            <w:tcW w:w="5200" w:type="dxa"/>
            <w:vAlign w:val="bottom"/>
          </w:tcPr>
          <w:p>
            <w:pPr>
              <w:spacing w:after="0" w:line="201" w:lineRule="exact"/>
              <w:rPr>
                <w:sz w:val="20"/>
                <w:szCs w:val="20"/>
                <w:color w:val="auto"/>
              </w:rPr>
            </w:pPr>
            <w:r>
              <w:rPr>
                <w:rFonts w:ascii="Arial" w:cs="Arial" w:eastAsia="Arial" w:hAnsi="Arial"/>
                <w:sz w:val="18"/>
                <w:szCs w:val="18"/>
                <w:color w:val="auto"/>
              </w:rPr>
              <w:t>Net unrealized appreciation (depreciation) of investments,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200" w:type="dxa"/>
            <w:vAlign w:val="bottom"/>
          </w:tcPr>
          <w:p>
            <w:pPr>
              <w:ind w:left="180"/>
              <w:spacing w:after="0"/>
              <w:rPr>
                <w:sz w:val="20"/>
                <w:szCs w:val="20"/>
                <w:color w:val="auto"/>
              </w:rPr>
            </w:pPr>
            <w:r>
              <w:rPr>
                <w:rFonts w:ascii="Arial" w:cs="Arial" w:eastAsia="Arial" w:hAnsi="Arial"/>
                <w:sz w:val="18"/>
                <w:szCs w:val="18"/>
                <w:color w:val="auto"/>
              </w:rPr>
              <w:t>Credit Facility and 2025 Notes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(8,727,689)</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(15,815,138)</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(36,122,397)</w:t>
            </w:r>
          </w:p>
        </w:tc>
      </w:tr>
      <w:tr>
        <w:trPr>
          <w:trHeight w:val="27"/>
        </w:trPr>
        <w:tc>
          <w:tcPr>
            <w:tcW w:w="5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(58,639,667)</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(75,053,292)</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(77,991,514)</w:t>
            </w:r>
          </w:p>
        </w:tc>
      </w:tr>
      <w:tr>
        <w:trPr>
          <w:trHeight w:val="20"/>
        </w:trPr>
        <w:tc>
          <w:tcPr>
            <w:tcW w:w="5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As of September 30, 2013, the capital loss carry forward of $39.2 million expires, if not utilized against future capital gains, as follows: $39.2 million in 2018.</w:t>
      </w:r>
    </w:p>
    <w:p>
      <w:pPr>
        <w:ind w:left="340" w:right="220" w:hanging="332"/>
        <w:spacing w:after="0" w:line="237" w:lineRule="auto"/>
        <w:tabs>
          <w:tab w:leader="none" w:pos="3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tax characteristics of dividends declared during the fiscal years ended September 30, 2013, 2012 and 2011 were solely from ordinary income and totaled $74.4 million, or $1.12 per share, $60.1 million, or $1.13 per share and $46.3 million, or $1.10 per share,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2013 and 2012, cash and cash equivalents consisted of $58.4 million and $7.6 million, respectively.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2009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year</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10.13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Cumulative effect of adoption of fair value option</w:t>
            </w:r>
            <w:r>
              <w:rPr>
                <w:rFonts w:ascii="Arial" w:cs="Arial" w:eastAsia="Arial" w:hAnsi="Arial"/>
                <w:sz w:val="12"/>
                <w:szCs w:val="12"/>
                <w:color w:val="auto"/>
              </w:rPr>
              <w:t>(1)</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Adjusted NAV, beginning of year</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10.22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10.13</w:t>
            </w: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11.85</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11.99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realized and unrealized gain (loss)</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0.12</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(0.53)</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net assets resulting from operations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0.56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Distributions to stockholders</w:t>
            </w:r>
            <w:r>
              <w:rPr>
                <w:rFonts w:ascii="Arial" w:cs="Arial" w:eastAsia="Arial" w:hAnsi="Arial"/>
                <w:sz w:val="12"/>
                <w:szCs w:val="12"/>
                <w:color w:val="auto"/>
              </w:rPr>
              <w:t>(2),(3)</w:t>
            </w: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Offering costs</w:t>
            </w:r>
            <w:r>
              <w:rPr>
                <w:rFonts w:ascii="Arial" w:cs="Arial" w:eastAsia="Arial" w:hAnsi="Arial"/>
                <w:sz w:val="12"/>
                <w:szCs w:val="12"/>
                <w:color w:val="auto"/>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(0.15)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Accretive (Dilutive) effect of common stock issuance</w:t>
            </w: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0.17</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(0.43)</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10.22</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10.69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56"/>
        </w:trPr>
        <w:tc>
          <w:tcPr>
            <w:tcW w:w="6120" w:type="dxa"/>
            <w:vAlign w:val="bottom"/>
            <w:gridSpan w:val="2"/>
          </w:tcPr>
          <w:p>
            <w:pPr>
              <w:spacing w:after="0" w:line="155" w:lineRule="exact"/>
              <w:rPr>
                <w:sz w:val="20"/>
                <w:szCs w:val="20"/>
                <w:color w:val="auto"/>
              </w:rPr>
            </w:pPr>
            <w:r>
              <w:rPr>
                <w:rFonts w:ascii="Arial" w:cs="Arial" w:eastAsia="Arial" w:hAnsi="Arial"/>
                <w:sz w:val="14"/>
                <w:szCs w:val="14"/>
                <w:color w:val="auto"/>
              </w:rPr>
              <w:t>Per share market value, end of year</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11.28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10.61</w:t>
            </w:r>
          </w:p>
        </w:tc>
        <w:tc>
          <w:tcPr>
            <w:tcW w:w="2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8.92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10.61</w:t>
            </w:r>
          </w:p>
        </w:tc>
        <w:tc>
          <w:tcPr>
            <w:tcW w:w="2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return</w:t>
            </w:r>
            <w:r>
              <w:rPr>
                <w:rFonts w:ascii="Arial" w:cs="Arial" w:eastAsia="Arial" w:hAnsi="Arial"/>
                <w:sz w:val="12"/>
                <w:szCs w:val="12"/>
                <w:color w:val="auto"/>
              </w:rPr>
              <w:t>(4)</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28.71%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44.79%</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year</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66,499,327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9"/>
              </w:rPr>
              <w:t>65,514,503</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45,689,781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36,158,772</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25,368,772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Ratio / Supplemental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Ratio of operating expenses to average net assets</w:t>
            </w:r>
            <w:r>
              <w:rPr>
                <w:rFonts w:ascii="Arial" w:cs="Arial" w:eastAsia="Arial" w:hAnsi="Arial"/>
                <w:sz w:val="12"/>
                <w:szCs w:val="12"/>
                <w:color w:val="auto"/>
              </w:rPr>
              <w:t>(5),(6)</w:t>
            </w:r>
          </w:p>
        </w:tc>
        <w:tc>
          <w:tcPr>
            <w:tcW w:w="8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7.11%</w:t>
            </w: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7.16%</w:t>
            </w:r>
          </w:p>
        </w:tc>
        <w:tc>
          <w:tcPr>
            <w:tcW w:w="8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Credit Facility related expenses to average net assets</w:t>
            </w: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3.08%</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4"/>
                <w:szCs w:val="14"/>
                <w:color w:val="auto"/>
              </w:rPr>
              <w:t>Ratio of total expenses to average net assets</w:t>
            </w:r>
            <w:r>
              <w:rPr>
                <w:rFonts w:ascii="Arial" w:cs="Arial" w:eastAsia="Arial" w:hAnsi="Arial"/>
                <w:sz w:val="12"/>
                <w:szCs w:val="12"/>
                <w:color w:val="auto"/>
              </w:rPr>
              <w:t>(7),(8)</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10.19%</w:t>
            </w: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8.43%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8.24%</w:t>
            </w:r>
          </w:p>
        </w:tc>
        <w:tc>
          <w:tcPr>
            <w:tcW w:w="80" w:type="dxa"/>
            <w:vAlign w:val="bottom"/>
          </w:tcPr>
          <w:p>
            <w:pPr>
              <w:spacing w:after="0"/>
              <w:rPr>
                <w:sz w:val="13"/>
                <w:szCs w:val="13"/>
                <w:color w:val="auto"/>
              </w:rPr>
            </w:pPr>
          </w:p>
        </w:tc>
        <w:tc>
          <w:tcPr>
            <w:tcW w:w="9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10.32%</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9.45%</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Net assets at end of year</w:t>
            </w:r>
            <w:r>
              <w:rPr>
                <w:rFonts w:ascii="Arial" w:cs="Arial" w:eastAsia="Arial" w:hAnsi="Arial"/>
                <w:sz w:val="12"/>
                <w:szCs w:val="12"/>
                <w:color w:val="auto"/>
              </w:rPr>
              <w:t>(8)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697,506,199</w:t>
            </w: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9"/>
              </w:rPr>
              <w:t>669,717,047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462,657,196</w:t>
            </w:r>
          </w:p>
        </w:tc>
        <w:tc>
          <w:tcPr>
            <w:tcW w:w="2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2"/>
              </w:rPr>
              <w:t>386,575,223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2"/>
              </w:rPr>
              <w:t>300,580,268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r>
              <w:rPr>
                <w:rFonts w:ascii="Arial" w:cs="Arial" w:eastAsia="Arial" w:hAnsi="Arial"/>
                <w:sz w:val="12"/>
                <w:szCs w:val="12"/>
                <w:color w:val="auto"/>
              </w:rPr>
              <w:t>(8)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363,246,849</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9"/>
              </w:rPr>
              <w:t>340,868,033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278,294,433</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2"/>
              </w:rPr>
              <w:t>246,216,548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2"/>
              </w:rPr>
              <w:t>182,490,685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Weighted average debt per share</w:t>
            </w:r>
            <w:r>
              <w:rPr>
                <w:rFonts w:ascii="Arial" w:cs="Arial" w:eastAsia="Arial" w:hAnsi="Arial"/>
                <w:sz w:val="12"/>
                <w:szCs w:val="12"/>
                <w:color w:val="auto"/>
              </w:rPr>
              <w:t>(8)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coverage per unit</w:t>
            </w:r>
            <w:r>
              <w:rPr>
                <w:rFonts w:ascii="Arial" w:cs="Arial" w:eastAsia="Arial" w:hAnsi="Arial"/>
                <w:sz w:val="12"/>
                <w:szCs w:val="12"/>
                <w:color w:val="auto"/>
              </w:rPr>
              <w:t>(9)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4,261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5,636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2,655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color w:val="auto"/>
              </w:rPr>
              <w:t>Average market value per unit</w:t>
            </w:r>
            <w:r>
              <w:rPr>
                <w:rFonts w:ascii="Arial" w:cs="Arial" w:eastAsia="Arial" w:hAnsi="Arial"/>
                <w:sz w:val="12"/>
                <w:szCs w:val="12"/>
                <w:color w:val="auto"/>
              </w:rPr>
              <w:t>(10)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24.79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N/A</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22.81%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25.97%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0" w:lineRule="exact"/>
        <w:rPr>
          <w:sz w:val="20"/>
          <w:szCs w:val="20"/>
          <w:color w:val="auto"/>
        </w:rPr>
      </w:pPr>
    </w:p>
    <w:p>
      <w:pPr>
        <w:ind w:left="340" w:right="40" w:hanging="332"/>
        <w:spacing w:after="0" w:line="230"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adoption, NAV increased $41.8 million, or $1.99 per share, due to the fair value adjustment related to our Credit Facility.</w:t>
      </w:r>
    </w:p>
    <w:p>
      <w:pPr>
        <w:ind w:left="3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ind w:left="3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ind w:left="3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3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Excludes Credit Facility interest and amendment costs.</w:t>
      </w:r>
    </w:p>
    <w:p>
      <w:pPr>
        <w:ind w:left="3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6.32%, 7.11%, 7.38%, 7.95% and 9.32%, respectively.</w:t>
      </w:r>
    </w:p>
    <w:p>
      <w:pPr>
        <w:ind w:left="3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8.92%, 10.20%, 8.55%, 9.15% and (1.75%), respectively.</w:t>
      </w:r>
    </w:p>
    <w:p>
      <w:pPr>
        <w:ind w:left="340" w:hanging="332"/>
        <w:spacing w:after="0" w:line="221"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Includes SBA debentures outstanding.</w:t>
      </w:r>
    </w:p>
    <w:p>
      <w:pPr>
        <w:ind w:left="340" w:right="180" w:hanging="332"/>
        <w:spacing w:after="0" w:line="238" w:lineRule="auto"/>
        <w:tabs>
          <w:tab w:leader="none" w:pos="34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340" w:right="180" w:hanging="332"/>
        <w:spacing w:after="0" w:line="237" w:lineRule="auto"/>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 Funds.</w:t>
      </w:r>
    </w:p>
    <w:p>
      <w:pPr>
        <w:spacing w:after="0" w:line="16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accordance with the 1940 Act, with certain limited exceptions, we are only allowed to borrow amounts such that we are in compliance with our asset coverage requirement, excluding SBA debentures, pursuant to exemptive relief from the SEC received in June 2011.</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2013. In January 2013, our wholly-owned subsidiary, SBIC II, received a license from the SBA to operate as an SBIC under the 1958 Act. We have funded SBIC II with $2.5 million of seed capital. Our SBIC Funds are subject to a variety of regulations and oversight by the SBA concerning, among other things, the size and nature of the companies in which they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SBIC LP may borrow to a maximum of $150.0 million, which is up to twice its potential regulatory capital, and as part of a group of SBICs under common control may borrow a maximum of $225 million. SBIC LP has accessed the maximum borrowing with its $75.0 million in regulatory capital.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2013, $150.0 million in debt commitments were fully drawn with a weighted average interest rate of 3.70%, exclusive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in upfront fees which are amortized over the life of the loan (4.04% after upfront fees). Our fixed rate SBA debentures as of September 30, 2013 were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Fixed All-in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44"/>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8"/>
              </w:rPr>
              <w:t>Issuance Dates</w:t>
            </w:r>
          </w:p>
        </w:tc>
        <w:tc>
          <w:tcPr>
            <w:tcW w:w="250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720" w:type="dxa"/>
            <w:vAlign w:val="bottom"/>
            <w:vMerge w:val="restart"/>
          </w:tcPr>
          <w:p>
            <w:pPr>
              <w:spacing w:after="0"/>
              <w:rPr>
                <w:sz w:val="12"/>
                <w:szCs w:val="12"/>
                <w:color w:val="auto"/>
              </w:rPr>
            </w:pPr>
          </w:p>
        </w:tc>
        <w:tc>
          <w:tcPr>
            <w:tcW w:w="134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4"/>
              </w:rPr>
              <w:t>Coupon Rate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20" w:type="dxa"/>
            <w:vAlign w:val="bottom"/>
            <w:tcBorders>
              <w:bottom w:val="single" w:sz="8" w:color="auto"/>
            </w:tcBorders>
            <w:vMerge w:val="continue"/>
          </w:tcPr>
          <w:p>
            <w:pPr>
              <w:spacing w:after="0"/>
              <w:rPr>
                <w:sz w:val="14"/>
                <w:szCs w:val="14"/>
                <w:color w:val="auto"/>
              </w:rPr>
            </w:pPr>
          </w:p>
        </w:tc>
        <w:tc>
          <w:tcPr>
            <w:tcW w:w="2500" w:type="dxa"/>
            <w:vAlign w:val="bottom"/>
            <w:tcBorders>
              <w:bottom w:val="single" w:sz="8" w:color="CCEEFF"/>
            </w:tcBorders>
            <w:vMerge w:val="continue"/>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1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88"/>
              </w:rPr>
              <w:t>September 1, 2020</w:t>
            </w: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3380" w:type="dxa"/>
            <w:vAlign w:val="bottom"/>
            <w:gridSpan w:val="3"/>
          </w:tcPr>
          <w:p>
            <w:pPr>
              <w:ind w:left="1280"/>
              <w:spacing w:after="0"/>
              <w:rPr>
                <w:sz w:val="20"/>
                <w:szCs w:val="20"/>
                <w:color w:val="auto"/>
              </w:rPr>
            </w:pPr>
            <w:r>
              <w:rPr>
                <w:rFonts w:ascii="Arial" w:cs="Arial" w:eastAsia="Arial" w:hAnsi="Arial"/>
                <w:sz w:val="18"/>
                <w:szCs w:val="18"/>
                <w:color w:val="auto"/>
              </w:rPr>
              <w:t>March 1, 2021</w:t>
            </w: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4.46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44,500,000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338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September 1, 2021</w:t>
            </w:r>
          </w:p>
        </w:tc>
        <w:tc>
          <w:tcPr>
            <w:tcW w:w="8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5"/>
              </w:rPr>
              <w:t>3.38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105,000,000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gridSpan w:val="2"/>
          </w:tcPr>
          <w:p>
            <w:pPr>
              <w:ind w:left="540"/>
              <w:spacing w:after="0"/>
              <w:rPr>
                <w:sz w:val="20"/>
                <w:szCs w:val="20"/>
                <w:color w:val="auto"/>
              </w:rPr>
            </w:pPr>
            <w:r>
              <w:rPr>
                <w:rFonts w:ascii="Arial" w:cs="Arial" w:eastAsia="Arial" w:hAnsi="Arial"/>
                <w:sz w:val="18"/>
                <w:szCs w:val="18"/>
                <w:color w:val="auto"/>
              </w:rPr>
              <w:t>3.70%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8"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2800"/>
        <w:spacing w:after="0" w:line="266" w:lineRule="auto"/>
        <w:rPr>
          <w:sz w:val="20"/>
          <w:szCs w:val="20"/>
          <w:color w:val="auto"/>
        </w:rPr>
      </w:pPr>
      <w:r>
        <w:rPr>
          <w:rFonts w:ascii="Arial" w:cs="Arial" w:eastAsia="Arial" w:hAnsi="Arial"/>
          <w:sz w:val="18"/>
          <w:szCs w:val="18"/>
          <w:b w:val="1"/>
          <w:bCs w:val="1"/>
          <w:color w:val="auto"/>
        </w:rPr>
        <w:t>PENNANTPARK INVESTMENT CORPORATION AND SUBSIDIARIES NOTES TO CONSOLIDATED FINANCIAL STATEMENTS SEPTEMBER 30, 2013</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wholly-owned by us.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January 2013, we issued $71.3 million in aggregate principal amount of 2025 Notes, including the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GUARANTEES AND CONTINGENCIES</w:t>
      </w:r>
    </w:p>
    <w:p>
      <w:pPr>
        <w:spacing w:after="0" w:line="121" w:lineRule="exact"/>
        <w:rPr>
          <w:sz w:val="20"/>
          <w:szCs w:val="20"/>
          <w:color w:val="auto"/>
        </w:rPr>
      </w:pPr>
    </w:p>
    <w:p>
      <w:pPr>
        <w:jc w:val="both"/>
        <w:ind w:right="200" w:firstLine="456"/>
        <w:spacing w:after="0" w:line="302"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4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September 30, 2013 our maximum guaranty is $13.0 million. Based on SPH’s and industry historical loss rates we believe the risk of loss is remote, thus, we have not recorded a liability associated with the guaranties. The current guaranties will decline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60" w:right="259" w:bottom="1440" w:gutter="0" w:footer="0" w:header="0"/>
        </w:sectPr>
      </w:pPr>
    </w:p>
    <w:bookmarkStart w:id="268" w:name="page269"/>
    <w:bookmarkEnd w:id="2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648970</wp:posOffset>
            </wp:positionV>
            <wp:extent cx="1766570" cy="3771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29"/>
          <w:szCs w:val="29"/>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 Notes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1134745</wp:posOffset>
            </wp:positionV>
            <wp:extent cx="40563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241300</wp:posOffset>
            </wp:positionV>
            <wp:extent cx="40563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J.P. Morgan</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Goldman, Sachs &amp; Co.</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Morgan Stanley</w:t>
      </w:r>
    </w:p>
    <w:p>
      <w:pPr>
        <w:spacing w:after="0" w:line="9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SunTrust Robinson Humphrey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6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1"/>
      <w:numFmt w:val="lowerLetter"/>
      <w:start w:val="1"/>
    </w:lvl>
    <w:lvl w:ilvl="1">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1)"/>
      <w:numFmt w:val="decimal"/>
      <w:start w:val="1"/>
    </w:lvl>
  </w:abstractNum>
  <w:abstractNum w:abstractNumId="8">
    <w:nsid w:val="7BD3EE7B"/>
    <w:multiLevelType w:val="hybridMultilevel"/>
    <w:lvl w:ilvl="0">
      <w:lvlJc w:val="left"/>
      <w:lvlText w:val="(%1)"/>
      <w:numFmt w:val="decimal"/>
      <w:start w:val="1"/>
    </w:lvl>
  </w:abstractNum>
  <w:abstractNum w:abstractNumId="9">
    <w:nsid w:val="51D9C564"/>
    <w:multiLevelType w:val="hybridMultilevel"/>
    <w:lvl w:ilvl="0">
      <w:lvlJc w:val="left"/>
      <w:lvlText w:val="(%1)"/>
      <w:numFmt w:val="decimal"/>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1)"/>
      <w:numFmt w:val="decimal"/>
      <w:start w:val="1"/>
    </w:lvl>
  </w:abstractNum>
  <w:abstractNum w:abstractNumId="13">
    <w:nsid w:val="42963E5A"/>
    <w:multiLevelType w:val="hybridMultilevel"/>
    <w:lvl w:ilvl="0">
      <w:lvlJc w:val="left"/>
      <w:lvlText w:val="%1."/>
      <w:numFmt w:val="decimal"/>
      <w:start w:val="1"/>
    </w:lvl>
  </w:abstractNum>
  <w:abstractNum w:abstractNumId="14">
    <w:nsid w:val="A0382C5"/>
    <w:multiLevelType w:val="hybridMultilevel"/>
    <w:lvl w:ilvl="0">
      <w:lvlJc w:val="left"/>
      <w:lvlText w:val="(%1)"/>
      <w:numFmt w:val="lowerLetter"/>
      <w:start w:val="2"/>
    </w:lvl>
  </w:abstractNum>
  <w:abstractNum w:abstractNumId="15">
    <w:nsid w:val="8F2B15E"/>
    <w:multiLevelType w:val="hybridMultilevel"/>
    <w:lvl w:ilvl="0">
      <w:lvlJc w:val="left"/>
      <w:lvlText w:val="(%1)"/>
      <w:numFmt w:val="decimal"/>
      <w:start w:val="1"/>
    </w:lvl>
  </w:abstractNum>
  <w:abstractNum w:abstractNumId="16">
    <w:nsid w:val="1A32234B"/>
    <w:multiLevelType w:val="hybridMultilevel"/>
    <w:lvl w:ilvl="0">
      <w:lvlJc w:val="left"/>
      <w:lvlText w:val="(%1)"/>
      <w:numFmt w:val="decimal"/>
      <w:start w:val="3"/>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lvl w:ilvl="1">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1)"/>
      <w:numFmt w:val="decimal"/>
      <w:start w:val="1"/>
    </w:lvl>
  </w:abstractNum>
  <w:abstractNum w:abstractNumId="35">
    <w:nsid w:val="14E17E33"/>
    <w:multiLevelType w:val="hybridMultilevel"/>
    <w:lvl w:ilvl="0">
      <w:lvlJc w:val="left"/>
      <w:lvlText w:val="(%1)"/>
      <w:numFmt w:val="decimal"/>
      <w:start w:val="1"/>
    </w:lvl>
  </w:abstractNum>
  <w:abstractNum w:abstractNumId="36">
    <w:nsid w:val="3222E7CD"/>
    <w:multiLevelType w:val="hybridMultilevel"/>
    <w:lvl w:ilvl="0">
      <w:lvlJc w:val="left"/>
      <w:lvlText w:val="(%1)"/>
      <w:numFmt w:val="decimal"/>
      <w:start w:val="1"/>
    </w:lvl>
  </w:abstractNum>
  <w:abstractNum w:abstractNumId="37">
    <w:nsid w:val="74DE0EE3"/>
    <w:multiLevelType w:val="hybridMultilevel"/>
    <w:lvl w:ilvl="0">
      <w:lvlJc w:val="left"/>
      <w:lvlText w:val="(%1)"/>
      <w:numFmt w:val="decimal"/>
      <w:start w:val="1"/>
    </w:lvl>
  </w:abstractNum>
  <w:abstractNum w:abstractNumId="38">
    <w:nsid w:val="68EBC550"/>
    <w:multiLevelType w:val="hybridMultilevel"/>
    <w:lvl w:ilvl="0">
      <w:lvlJc w:val="left"/>
      <w:lvlText w:val="(%1)"/>
      <w:numFmt w:val="lowerLetter"/>
      <w:start w:val="5"/>
    </w:lvl>
    <w:lvl w:ilvl="1">
      <w:lvlJc w:val="left"/>
      <w:lvlText w:val="%2."/>
      <w:numFmt w:val="decimal"/>
      <w:start w:val="1"/>
    </w:lvl>
  </w:abstractNum>
  <w:abstractNum w:abstractNumId="39">
    <w:nsid w:val="2DF6D648"/>
    <w:multiLevelType w:val="hybridMultilevel"/>
    <w:lvl w:ilvl="0">
      <w:lvlJc w:val="left"/>
      <w:lvlText w:val="%1."/>
      <w:numFmt w:val="decimal"/>
      <w:start w:val="9"/>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1)"/>
      <w:numFmt w:val="decimal"/>
      <w:start w:val="1"/>
    </w:lvl>
  </w:abstractNum>
  <w:abstractNum w:abstractNumId="42">
    <w:nsid w:val="39EE015C"/>
    <w:multiLevelType w:val="hybridMultilevel"/>
    <w:lvl w:ilvl="0">
      <w:lvlJc w:val="left"/>
      <w:lvlText w:val="(%1)"/>
      <w:numFmt w:val="decimal"/>
      <w:start w:val="1"/>
    </w:lvl>
  </w:abstractNum>
  <w:abstractNum w:abstractNumId="43">
    <w:nsid w:val="57FC4FBB"/>
    <w:multiLevelType w:val="hybridMultilevel"/>
    <w:lvl w:ilvl="0">
      <w:lvlJc w:val="left"/>
      <w:lvlText w:val="(%1)"/>
      <w:numFmt w:val="decimal"/>
      <w:start w:val="7"/>
    </w:lvl>
  </w:abstractNum>
  <w:abstractNum w:abstractNumId="44">
    <w:nsid w:val="CC1016F"/>
    <w:multiLevelType w:val="hybridMultilevel"/>
    <w:lvl w:ilvl="0">
      <w:lvlJc w:val="left"/>
      <w:lvlText w:val="•"/>
      <w:numFmt w:val="bullet"/>
      <w:start w:val="1"/>
    </w:lvl>
  </w:abstractNum>
  <w:abstractNum w:abstractNumId="45">
    <w:nsid w:val="43F18422"/>
    <w:multiLevelType w:val="hybridMultilevel"/>
    <w:lvl w:ilvl="0">
      <w:lvlJc w:val="left"/>
      <w:lvlText w:val="•"/>
      <w:numFmt w:val="bullet"/>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1)"/>
      <w:numFmt w:val="decimal"/>
      <w:start w:val="1"/>
    </w:lvl>
  </w:abstractNum>
  <w:abstractNum w:abstractNumId="48">
    <w:nsid w:val="7F01579B"/>
    <w:multiLevelType w:val="hybridMultilevel"/>
    <w:lvl w:ilvl="0">
      <w:lvlJc w:val="left"/>
      <w:lvlText w:val="•"/>
      <w:numFmt w:val="bullet"/>
      <w:start w:val="1"/>
    </w:lvl>
  </w:abstractNum>
  <w:abstractNum w:abstractNumId="49">
    <w:nsid w:val="49DA307D"/>
    <w:multiLevelType w:val="hybridMultilevel"/>
    <w:lvl w:ilvl="0">
      <w:lvlJc w:val="left"/>
      <w:lvlText w:val="•"/>
      <w:numFmt w:val="bullet"/>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
      <w:numFmt w:val="bullet"/>
      <w:start w:val="1"/>
    </w:lvl>
  </w:abstractNum>
  <w:abstractNum w:abstractNumId="55">
    <w:nsid w:val="6AA78F7F"/>
    <w:multiLevelType w:val="hybridMultilevel"/>
    <w:lvl w:ilvl="0">
      <w:lvlJc w:val="left"/>
      <w:lvlText w:val="(%1)"/>
      <w:numFmt w:val="decimal"/>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1)"/>
      <w:numFmt w:val="decimal"/>
      <w:start w:val="1"/>
    </w:lvl>
  </w:abstractNum>
  <w:abstractNum w:abstractNumId="59">
    <w:nsid w:val="7D5E18F8"/>
    <w:multiLevelType w:val="hybridMultilevel"/>
    <w:lvl w:ilvl="0">
      <w:lvlJc w:val="left"/>
      <w:lvlText w:val="(%1)"/>
      <w:numFmt w:val="decimal"/>
      <w:start w:val="5"/>
    </w:lvl>
  </w:abstractNum>
  <w:abstractNum w:abstractNumId="60">
    <w:nsid w:val="5F3534A4"/>
    <w:multiLevelType w:val="hybridMultilevel"/>
    <w:lvl w:ilvl="0">
      <w:lvlJc w:val="left"/>
      <w:lvlText w:val="(%1)"/>
      <w:numFmt w:val="decimal"/>
      <w:start w:val="1"/>
    </w:lvl>
  </w:abstractNum>
  <w:abstractNum w:abstractNumId="61">
    <w:nsid w:val="73A1821B"/>
    <w:multiLevelType w:val="hybridMultilevel"/>
    <w:lvl w:ilvl="0">
      <w:lvlJc w:val="left"/>
      <w:lvlText w:val="(%1)"/>
      <w:numFmt w:val="decimal"/>
      <w:start w:val="5"/>
    </w:lvl>
  </w:abstractNum>
  <w:abstractNum w:abstractNumId="62">
    <w:nsid w:val="7DE67713"/>
    <w:multiLevelType w:val="hybridMultilevel"/>
    <w:lvl w:ilvl="0">
      <w:lvlJc w:val="left"/>
      <w:lvlText w:val="(%1)"/>
      <w:numFmt w:val="decimal"/>
      <w:start w:val="1"/>
    </w:lvl>
  </w:abstractNum>
  <w:abstractNum w:abstractNumId="63">
    <w:nsid w:val="555C55B5"/>
    <w:multiLevelType w:val="hybridMultilevel"/>
    <w:lvl w:ilvl="0">
      <w:lvlJc w:val="left"/>
      <w:lvlText w:val="(%1)"/>
      <w:numFmt w:val="lowerLetter"/>
      <w:start w:val="1"/>
    </w:lvl>
  </w:abstractNum>
  <w:abstractNum w:abstractNumId="64">
    <w:nsid w:val="3FA62ACA"/>
    <w:multiLevelType w:val="hybridMultilevel"/>
    <w:lvl w:ilvl="0">
      <w:lvlJc w:val="left"/>
      <w:lvlText w:val="(%1)"/>
      <w:numFmt w:val="decimal"/>
      <w:start w:val="1"/>
    </w:lvl>
  </w:abstractNum>
  <w:abstractNum w:abstractNumId="65">
    <w:nsid w:val="14FCE74E"/>
    <w:multiLevelType w:val="hybridMultilevel"/>
    <w:lvl w:ilvl="0">
      <w:lvlJc w:val="left"/>
      <w:lvlText w:val="(%1)"/>
      <w:numFmt w:val="decimal"/>
      <w:start w:val="3"/>
    </w:lvl>
  </w:abstractNum>
  <w:abstractNum w:abstractNumId="66">
    <w:nsid w:val="6A3DD3E8"/>
    <w:multiLevelType w:val="hybridMultilevel"/>
    <w:lvl w:ilvl="0">
      <w:lvlJc w:val="left"/>
      <w:lvlText w:val="(%1)"/>
      <w:numFmt w:val="decimal"/>
      <w:start w:val="1"/>
    </w:lvl>
  </w:abstractNum>
  <w:abstractNum w:abstractNumId="67">
    <w:nsid w:val="71C91298"/>
    <w:multiLevelType w:val="hybridMultilevel"/>
    <w:lvl w:ilvl="0">
      <w:lvlJc w:val="left"/>
      <w:lvlText w:val="(%1)"/>
      <w:numFmt w:val="decimal"/>
      <w:start w:val="1"/>
    </w:lvl>
  </w:abstractNum>
  <w:abstractNum w:abstractNumId="68">
    <w:nsid w:val="9DAF632"/>
    <w:multiLevelType w:val="hybridMultilevel"/>
    <w:lvl w:ilvl="0">
      <w:lvlJc w:val="left"/>
      <w:lvlText w:val="(%1)"/>
      <w:numFmt w:val="decimal"/>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
      <w:numFmt w:val="bullet"/>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1)"/>
      <w:numFmt w:val="lowerLetter"/>
      <w:start w:val="1"/>
    </w:lvl>
  </w:abstractNum>
  <w:abstractNum w:abstractNumId="73">
    <w:nsid w:val="59ADEA3D"/>
    <w:multiLevelType w:val="hybridMultilevel"/>
    <w:lvl w:ilvl="0">
      <w:lvlJc w:val="left"/>
      <w:lvlText w:val="%1)"/>
      <w:numFmt w:val="lowerLetter"/>
      <w:start w:val="2"/>
    </w:lvl>
  </w:abstractNum>
  <w:abstractNum w:abstractNumId="74">
    <w:nsid w:val="288F1A34"/>
    <w:multiLevelType w:val="hybridMultilevel"/>
    <w:lvl w:ilvl="0">
      <w:lvlJc w:val="left"/>
      <w:lvlText w:val="%1)"/>
      <w:numFmt w:val="lowerLetter"/>
      <w:start w:val="2"/>
    </w:lvl>
    <w:lvl w:ilvl="1">
      <w:lvlJc w:val="left"/>
      <w:lvlText w:val="•"/>
      <w:numFmt w:val="bullet"/>
      <w:start w:val="1"/>
    </w:lvl>
  </w:abstractNum>
  <w:abstractNum w:abstractNumId="75">
    <w:nsid w:val="2A155DBC"/>
    <w:multiLevelType w:val="hybridMultilevel"/>
    <w:lvl w:ilvl="0">
      <w:lvlJc w:val="left"/>
      <w:lvlText w:val="%1)"/>
      <w:numFmt w:val="lowerLetter"/>
      <w:start w:val="4"/>
    </w:lvl>
  </w:abstractNum>
  <w:abstractNum w:abstractNumId="76">
    <w:nsid w:val="1D9F6E5F"/>
    <w:multiLevelType w:val="hybridMultilevel"/>
    <w:lvl w:ilvl="0">
      <w:lvlJc w:val="left"/>
      <w:lvlText w:val="%1)"/>
      <w:numFmt w:val="lowerLetter"/>
      <w:start w:val="1"/>
    </w:lvl>
  </w:abstractNum>
  <w:abstractNum w:abstractNumId="77">
    <w:nsid w:val="97E1B4E"/>
    <w:multiLevelType w:val="hybridMultilevel"/>
    <w:lvl w:ilvl="0">
      <w:lvlJc w:val="left"/>
      <w:lvlText w:val="%1)"/>
      <w:numFmt w:val="lowerLetter"/>
      <w:start w:val="2"/>
    </w:lvl>
  </w:abstractNum>
  <w:abstractNum w:abstractNumId="78">
    <w:nsid w:val="51088277"/>
    <w:multiLevelType w:val="hybridMultilevel"/>
    <w:lvl w:ilvl="0">
      <w:lvlJc w:val="left"/>
      <w:lvlText w:val="%1)"/>
      <w:numFmt w:val="lowerLetter"/>
      <w:start w:val="3"/>
    </w:lvl>
  </w:abstractNum>
  <w:abstractNum w:abstractNumId="79">
    <w:nsid w:val="1CA0C5FA"/>
    <w:multiLevelType w:val="hybridMultilevel"/>
    <w:lvl w:ilvl="0">
      <w:lvlJc w:val="left"/>
      <w:lvlText w:val="%1)"/>
      <w:numFmt w:val="lowerLetter"/>
      <w:start w:val="4"/>
    </w:lvl>
  </w:abstractNum>
  <w:abstractNum w:abstractNumId="80">
    <w:nsid w:val="53584BCB"/>
    <w:multiLevelType w:val="hybridMultilevel"/>
    <w:lvl w:ilvl="0">
      <w:lvlJc w:val="left"/>
      <w:lvlText w:val="%1)"/>
      <w:numFmt w:val="lowerLetter"/>
      <w:start w:val="5"/>
    </w:lvl>
  </w:abstractNum>
  <w:abstractNum w:abstractNumId="81">
    <w:nsid w:val="415E286C"/>
    <w:multiLevelType w:val="hybridMultilevel"/>
    <w:lvl w:ilvl="0">
      <w:lvlJc w:val="left"/>
      <w:lvlText w:val="%1)"/>
      <w:numFmt w:val="lowerLetter"/>
      <w:start w:val="6"/>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1)"/>
      <w:numFmt w:val="decimal"/>
      <w:start w:val="1"/>
    </w:lvl>
  </w:abstractNum>
  <w:abstractNum w:abstractNumId="86">
    <w:nsid w:val="E7FFA2B"/>
    <w:multiLevelType w:val="hybridMultilevel"/>
    <w:lvl w:ilvl="0">
      <w:lvlJc w:val="left"/>
      <w:lvlText w:val="(%1)"/>
      <w:numFmt w:val="decimal"/>
      <w:start w:val="4"/>
    </w:lvl>
  </w:abstractNum>
  <w:abstractNum w:abstractNumId="87">
    <w:nsid w:val="3C5991AA"/>
    <w:multiLevelType w:val="hybridMultilevel"/>
    <w:lvl w:ilvl="0">
      <w:lvlJc w:val="left"/>
      <w:lvlText w:val="(%1)"/>
      <w:numFmt w:val="decimal"/>
      <w:start w:val="1"/>
    </w:lvl>
  </w:abstractNum>
  <w:abstractNum w:abstractNumId="88">
    <w:nsid w:val="4BD8591A"/>
    <w:multiLevelType w:val="hybridMultilevel"/>
    <w:lvl w:ilvl="0">
      <w:lvlJc w:val="left"/>
      <w:lvlText w:val="(%1)"/>
      <w:numFmt w:val="decimal"/>
      <w:start w:val="1"/>
    </w:lvl>
  </w:abstractNum>
  <w:abstractNum w:abstractNumId="89">
    <w:nsid w:val="78DF6A55"/>
    <w:multiLevelType w:val="hybridMultilevel"/>
    <w:lvl w:ilvl="0">
      <w:lvlJc w:val="left"/>
      <w:lvlText w:val="*"/>
      <w:numFmt w:val="bullet"/>
      <w:start w:val="1"/>
    </w:lvl>
  </w:abstractNum>
  <w:abstractNum w:abstractNumId="90">
    <w:nsid w:val="39B7AAA2"/>
    <w:multiLevelType w:val="hybridMultilevel"/>
    <w:lvl w:ilvl="0">
      <w:lvlJc w:val="left"/>
      <w:lvlText w:val="(%1)"/>
      <w:numFmt w:val="decimal"/>
      <w:start w:val="1"/>
    </w:lvl>
  </w:abstractNum>
  <w:abstractNum w:abstractNumId="91">
    <w:nsid w:val="2B0D8DBE"/>
    <w:multiLevelType w:val="hybridMultilevel"/>
    <w:lvl w:ilvl="0">
      <w:lvlJc w:val="left"/>
      <w:lvlText w:val="•"/>
      <w:numFmt w:val="bullet"/>
      <w:start w:val="1"/>
    </w:lvl>
  </w:abstractNum>
  <w:abstractNum w:abstractNumId="92">
    <w:nsid w:val="6C80EC70"/>
    <w:multiLevelType w:val="hybridMultilevel"/>
    <w:lvl w:ilvl="0">
      <w:lvlJc w:val="left"/>
      <w:lvlText w:val="(%1)"/>
      <w:numFmt w:val="decimal"/>
      <w:start w:val="2"/>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
      <w:numFmt w:val="bullet"/>
      <w:start w:val="1"/>
    </w:lvl>
    <w:lvl w:ilvl="1">
      <w:lvlJc w:val="left"/>
      <w:lvlText w:val="="/>
      <w:numFmt w:val="bullet"/>
      <w:start w:val="1"/>
    </w:lvl>
  </w:abstractNum>
  <w:abstractNum w:abstractNumId="95">
    <w:nsid w:val="2C27173B"/>
    <w:multiLevelType w:val="hybridMultilevel"/>
    <w:lvl w:ilvl="0">
      <w:lvlJc w:val="left"/>
      <w:lvlText w:val="(%1)"/>
      <w:numFmt w:val="decimal"/>
      <w:start w:val="1"/>
    </w:lvl>
  </w:abstractNum>
  <w:abstractNum w:abstractNumId="96">
    <w:nsid w:val="4C9B0904"/>
    <w:multiLevelType w:val="hybridMultilevel"/>
    <w:lvl w:ilvl="0">
      <w:lvlJc w:val="left"/>
      <w:lvlText w:val="(%1)"/>
      <w:numFmt w:val="decimal"/>
      <w:start w:val="1"/>
    </w:lvl>
  </w:abstractNum>
  <w:abstractNum w:abstractNumId="97">
    <w:nsid w:val="6AA7B75C"/>
    <w:multiLevelType w:val="hybridMultilevel"/>
    <w:lvl w:ilvl="0">
      <w:lvlJc w:val="left"/>
      <w:lvlText w:val="•"/>
      <w:numFmt w:val="bullet"/>
      <w:start w:val="1"/>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
      <w:numFmt w:val="bullet"/>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
      <w:numFmt w:val="bullet"/>
      <w:start w:val="1"/>
    </w:lvl>
  </w:abstractNum>
  <w:abstractNum w:abstractNumId="106">
    <w:nsid w:val="53B0A9E"/>
    <w:multiLevelType w:val="hybridMultilevel"/>
    <w:lvl w:ilvl="0">
      <w:lvlJc w:val="left"/>
      <w:lvlText w:val="•"/>
      <w:numFmt w:val="bullet"/>
      <w:start w:val="1"/>
    </w:lvl>
  </w:abstractNum>
  <w:abstractNum w:abstractNumId="107">
    <w:nsid w:val="34FD6B4F"/>
    <w:multiLevelType w:val="hybridMultilevel"/>
    <w:lvl w:ilvl="0">
      <w:lvlJc w:val="left"/>
      <w:lvlText w:val="•"/>
      <w:numFmt w:val="bullet"/>
      <w:start w:val="1"/>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
      <w:numFmt w:val="bullet"/>
      <w:start w:val="1"/>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
      <w:numFmt w:val="bullet"/>
      <w:start w:val="1"/>
    </w:lvl>
  </w:abstractNum>
  <w:abstractNum w:abstractNumId="112">
    <w:nsid w:val="17A1B582"/>
    <w:multiLevelType w:val="hybridMultilevel"/>
    <w:lvl w:ilvl="0">
      <w:lvlJc w:val="left"/>
      <w:lvlText w:val="•"/>
      <w:numFmt w:val="bullet"/>
      <w:start w:val="1"/>
    </w:lvl>
  </w:abstractNum>
  <w:abstractNum w:abstractNumId="113">
    <w:nsid w:val="4DF72E4E"/>
    <w:multiLevelType w:val="hybridMultilevel"/>
    <w:lvl w:ilvl="0">
      <w:lvlJc w:val="left"/>
      <w:lvlText w:val="•"/>
      <w:numFmt w:val="bullet"/>
      <w:start w:val="1"/>
    </w:lvl>
  </w:abstractNum>
  <w:abstractNum w:abstractNumId="114">
    <w:nsid w:val="5046B5A9"/>
    <w:multiLevelType w:val="hybridMultilevel"/>
    <w:lvl w:ilvl="0">
      <w:lvlJc w:val="left"/>
      <w:lvlText w:val="•"/>
      <w:numFmt w:val="bullet"/>
      <w:start w:val="1"/>
    </w:lvl>
  </w:abstractNum>
  <w:abstractNum w:abstractNumId="115">
    <w:nsid w:val="5D888A08"/>
    <w:multiLevelType w:val="hybridMultilevel"/>
    <w:lvl w:ilvl="0">
      <w:lvlJc w:val="left"/>
      <w:lvlText w:val="•"/>
      <w:numFmt w:val="bullet"/>
      <w:start w:val="1"/>
    </w:lvl>
  </w:abstractNum>
  <w:abstractNum w:abstractNumId="116">
    <w:nsid w:val="2A082C70"/>
    <w:multiLevelType w:val="hybridMultilevel"/>
    <w:lvl w:ilvl="0">
      <w:lvlJc w:val="left"/>
      <w:lvlText w:val="•"/>
      <w:numFmt w:val="bullet"/>
      <w:start w:val="1"/>
    </w:lvl>
  </w:abstractNum>
  <w:abstractNum w:abstractNumId="117">
    <w:nsid w:val="5EC6AFD4"/>
    <w:multiLevelType w:val="hybridMultilevel"/>
    <w:lvl w:ilvl="0">
      <w:lvlJc w:val="left"/>
      <w:lvlText w:val="•"/>
      <w:numFmt w:val="bullet"/>
      <w:start w:val="1"/>
    </w:lvl>
  </w:abstractNum>
  <w:abstractNum w:abstractNumId="118">
    <w:nsid w:val="19E21BB2"/>
    <w:multiLevelType w:val="hybridMultilevel"/>
    <w:lvl w:ilvl="0">
      <w:lvlJc w:val="left"/>
      <w:lvlText w:val="•"/>
      <w:numFmt w:val="bullet"/>
      <w:start w:val="1"/>
    </w:lvl>
  </w:abstractNum>
  <w:abstractNum w:abstractNumId="119">
    <w:nsid w:val="75E0858A"/>
    <w:multiLevelType w:val="hybridMultilevel"/>
    <w:lvl w:ilvl="0">
      <w:lvlJc w:val="left"/>
      <w:lvlText w:val="•"/>
      <w:numFmt w:val="bullet"/>
      <w:start w:val="1"/>
    </w:lvl>
  </w:abstractNum>
  <w:abstractNum w:abstractNumId="120">
    <w:nsid w:val="57A61A29"/>
    <w:multiLevelType w:val="hybridMultilevel"/>
    <w:lvl w:ilvl="0">
      <w:lvlJc w:val="left"/>
      <w:lvlText w:val="•"/>
      <w:numFmt w:val="bullet"/>
      <w:start w:val="1"/>
    </w:lvl>
  </w:abstractNum>
  <w:abstractNum w:abstractNumId="121">
    <w:nsid w:val="5399C654"/>
    <w:multiLevelType w:val="hybridMultilevel"/>
    <w:lvl w:ilvl="0">
      <w:lvlJc w:val="left"/>
      <w:lvlText w:val="•"/>
      <w:numFmt w:val="bullet"/>
      <w:start w:val="1"/>
    </w:lvl>
  </w:abstractNum>
  <w:abstractNum w:abstractNumId="122">
    <w:nsid w:val="20EE1348"/>
    <w:multiLevelType w:val="hybridMultilevel"/>
    <w:lvl w:ilvl="0">
      <w:lvlJc w:val="left"/>
      <w:lvlText w:val="•"/>
      <w:numFmt w:val="bullet"/>
      <w:start w:val="1"/>
    </w:lvl>
  </w:abstractNum>
  <w:abstractNum w:abstractNumId="123">
    <w:nsid w:val="4427069A"/>
    <w:multiLevelType w:val="hybridMultilevel"/>
    <w:lvl w:ilvl="0">
      <w:lvlJc w:val="left"/>
      <w:lvlText w:val="•"/>
      <w:numFmt w:val="bullet"/>
      <w:start w:val="1"/>
    </w:lvl>
  </w:abstractNum>
  <w:abstractNum w:abstractNumId="124">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5">
    <w:nsid w:val="2157F6BC"/>
    <w:multiLevelType w:val="hybridMultilevel"/>
    <w:lvl w:ilvl="0">
      <w:lvlJc w:val="left"/>
      <w:lvlText w:val="(%1)"/>
      <w:numFmt w:val="decimal"/>
      <w:start w:val="3"/>
    </w:lvl>
  </w:abstractNum>
  <w:abstractNum w:abstractNumId="126">
    <w:nsid w:val="704E1DD5"/>
    <w:multiLevelType w:val="hybridMultilevel"/>
    <w:lvl w:ilvl="0">
      <w:lvlJc w:val="left"/>
      <w:lvlText w:val="•"/>
      <w:numFmt w:val="bullet"/>
      <w:start w:val="1"/>
    </w:lvl>
  </w:abstractNum>
  <w:abstractNum w:abstractNumId="127">
    <w:nsid w:val="57D2F10E"/>
    <w:multiLevelType w:val="hybridMultilevel"/>
    <w:lvl w:ilvl="0">
      <w:lvlJc w:val="left"/>
      <w:lvlText w:val="•"/>
      <w:numFmt w:val="bullet"/>
      <w:start w:val="1"/>
    </w:lvl>
  </w:abstractNum>
  <w:abstractNum w:abstractNumId="128">
    <w:nsid w:val="BFFAE18"/>
    <w:multiLevelType w:val="hybridMultilevel"/>
    <w:lvl w:ilvl="0">
      <w:lvlJc w:val="left"/>
      <w:lvlText w:val="•"/>
      <w:numFmt w:val="bullet"/>
      <w:start w:val="1"/>
    </w:lvl>
  </w:abstractNum>
  <w:abstractNum w:abstractNumId="129">
    <w:nsid w:val="E3E47A8"/>
    <w:multiLevelType w:val="hybridMultilevel"/>
    <w:lvl w:ilvl="0">
      <w:lvlJc w:val="left"/>
      <w:lvlText w:val="•"/>
      <w:numFmt w:val="bullet"/>
      <w:start w:val="1"/>
    </w:lvl>
    <w:lvl w:ilvl="1">
      <w:lvlJc w:val="left"/>
      <w:lvlText w:val="%2)"/>
      <w:numFmt w:val="decimal"/>
      <w:start w:val="1"/>
    </w:lvl>
  </w:abstractNum>
  <w:abstractNum w:abstractNumId="130">
    <w:nsid w:val="2E48F044"/>
    <w:multiLevelType w:val="hybridMultilevel"/>
    <w:lvl w:ilvl="0">
      <w:lvlJc w:val="left"/>
      <w:lvlText w:val="•"/>
      <w:numFmt w:val="bullet"/>
      <w:start w:val="1"/>
    </w:lvl>
  </w:abstractNum>
  <w:abstractNum w:abstractNumId="131">
    <w:nsid w:val="49D0FEAC"/>
    <w:multiLevelType w:val="hybridMultilevel"/>
    <w:lvl w:ilvl="0">
      <w:lvlJc w:val="left"/>
      <w:lvlText w:val="(%1)"/>
      <w:numFmt w:val="decimal"/>
      <w:start w:val="1"/>
    </w:lvl>
  </w:abstractNum>
  <w:abstractNum w:abstractNumId="132">
    <w:nsid w:val="4BEE5A5B"/>
    <w:multiLevelType w:val="hybridMultilevel"/>
    <w:lvl w:ilvl="0">
      <w:lvlJc w:val="left"/>
      <w:lvlText w:val="(%1)"/>
      <w:numFmt w:val="decimal"/>
      <w:start w:val="1"/>
    </w:lvl>
  </w:abstractNum>
  <w:abstractNum w:abstractNumId="133">
    <w:nsid w:val="5551B9F3"/>
    <w:multiLevelType w:val="hybridMultilevel"/>
    <w:lvl w:ilvl="0">
      <w:lvlJc w:val="left"/>
      <w:lvlText w:val="(%1)"/>
      <w:numFmt w:val="decimal"/>
      <w:start w:val="1"/>
    </w:lvl>
  </w:abstractNum>
  <w:abstractNum w:abstractNumId="134">
    <w:nsid w:val="24F6AB8E"/>
    <w:multiLevelType w:val="hybridMultilevel"/>
    <w:lvl w:ilvl="0">
      <w:lvlJc w:val="left"/>
      <w:lvlText w:val="%1"/>
      <w:numFmt w:val="lowerLetter"/>
      <w:start w:val="1"/>
    </w:lvl>
    <w:lvl w:ilvl="1">
      <w:lvlJc w:val="left"/>
      <w:lvlText w:val="(%2)"/>
      <w:numFmt w:val="decimal"/>
      <w:start w:val="4"/>
    </w:lvl>
  </w:abstractNum>
  <w:abstractNum w:abstractNumId="135">
    <w:nsid w:val="634C574C"/>
    <w:multiLevelType w:val="hybridMultilevel"/>
    <w:lvl w:ilvl="0">
      <w:lvlJc w:val="left"/>
      <w:lvlText w:val="(%1)"/>
      <w:numFmt w:val="lowerLetter"/>
      <w:start w:val="2"/>
    </w:lvl>
    <w:lvl w:ilvl="1">
      <w:lvlJc w:val="left"/>
      <w:lvlText w:val="%2"/>
      <w:numFmt w:val="decimal"/>
      <w:start w:val="1"/>
    </w:lvl>
  </w:abstractNum>
  <w:abstractNum w:abstractNumId="136">
    <w:nsid w:val="24E99DD7"/>
    <w:multiLevelType w:val="hybridMultilevel"/>
    <w:lvl w:ilvl="0">
      <w:lvlJc w:val="left"/>
      <w:lvlText w:val="(%1)"/>
      <w:numFmt w:val="decimal"/>
      <w:start w:val="1"/>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1)"/>
      <w:numFmt w:val="decimal"/>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2019-12-07T15:16:35Z</dcterms:created>
  <dcterms:modified xsi:type="dcterms:W3CDTF">2019-12-07T15:16:35Z</dcterms:modified>
</cp:coreProperties>
</file>