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20" w:after="283"/>
        <w:jc w:val="center"/>
        <w:rPr>
          <w:rFonts w:ascii="Times New Roman" w:hAnsi="Times New Roman"/>
          <w:b/>
          <w:color w:val="000000"/>
          <w:sz w:val="20"/>
        </w:rPr>
      </w:pPr>
      <w:bookmarkStart w:id="0" w:name="pnnt-20221116.htm"/>
      <w:bookmarkStart w:id="1" w:name="kspnnt20221116"/>
      <w:bookmarkEnd w:id="0"/>
      <w:bookmarkEnd w:id="1"/>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FORM 8-K</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CURRENT REPORT</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Pursuant to Section 13 or 15(d) of the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Securities Exchange Act of 1934</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November 15, 2023</w:t>
      </w:r>
    </w:p>
    <w:p>
      <w:pPr>
        <w:pStyle w:val="TextBody"/>
        <w:bidi w:val="0"/>
        <w:jc w:val="center"/>
        <w:rPr>
          <w:rFonts w:ascii="Times New Roman" w:hAnsi="Times New Roman"/>
          <w:b/>
          <w:color w:val="000000"/>
          <w:sz w:val="20"/>
        </w:rPr>
      </w:pPr>
      <w:r>
        <w:rPr>
          <w:rFonts w:ascii="Times New Roman" w:hAnsi="Times New Roman"/>
          <w:b/>
          <w:color w:val="000000"/>
          <w:sz w:val="20"/>
        </w:rPr>
        <w:t>PennantPark Investment Corporation</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(Exact name of registrant as specified in its charter)</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3721"/>
        <w:gridCol w:w="2296"/>
        <w:gridCol w:w="3256"/>
      </w:tblGrid>
      <w:tr>
        <w:trPr/>
        <w:tc>
          <w:tcPr>
            <w:tcW w:w="372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372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Maryland</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(State or Other Jurisdiction of Incorporation)</w:t>
            </w:r>
          </w:p>
        </w:tc>
        <w:tc>
          <w:tcPr>
            <w:tcW w:w="229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814-00736</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(Commission File Number)</w:t>
            </w:r>
          </w:p>
        </w:tc>
        <w:tc>
          <w:tcPr>
            <w:tcW w:w="325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20-8250744</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(IRS Employer Identification Number)</w:t>
            </w:r>
          </w:p>
        </w:tc>
      </w:tr>
    </w:tbl>
    <w:p>
      <w:pPr>
        <w:pStyle w:val="TextBody"/>
        <w:bidi w:val="0"/>
        <w:jc w:val="left"/>
        <w:rPr/>
      </w:pPr>
      <w:r>
        <w:rPr/>
        <w:t> </w:t>
      </w:r>
    </w:p>
    <w:tbl>
      <w:tblPr>
        <w:tblW w:w="4397" w:type="dxa"/>
        <w:jc w:val="left"/>
        <w:tblInd w:w="0" w:type="dxa"/>
        <w:tblLayout w:type="fixed"/>
        <w:tblCellMar>
          <w:top w:w="28" w:type="dxa"/>
          <w:left w:w="28" w:type="dxa"/>
          <w:bottom w:w="28" w:type="dxa"/>
          <w:right w:w="28" w:type="dxa"/>
        </w:tblCellMar>
      </w:tblPr>
      <w:tblGrid>
        <w:gridCol w:w="3361"/>
        <w:gridCol w:w="1036"/>
      </w:tblGrid>
      <w:tr>
        <w:trPr/>
        <w:tc>
          <w:tcPr>
            <w:tcW w:w="33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jc w:val="center"/>
              <w:rPr>
                <w:rFonts w:ascii="Times New Roman" w:hAnsi="Times New Roman"/>
                <w:sz w:val="20"/>
              </w:rPr>
            </w:pPr>
            <w:r>
              <w:rPr>
                <w:rFonts w:ascii="Times New Roman" w:hAnsi="Times New Roman"/>
                <w:b/>
                <w:color w:val="000000"/>
                <w:sz w:val="20"/>
              </w:rPr>
              <w:t>1691 Michigan Avenue,</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Miami Beach, Florida</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(Address of Principal Executive Offices)</w:t>
            </w:r>
          </w:p>
        </w:tc>
        <w:tc>
          <w:tcPr>
            <w:tcW w:w="103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33319</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(Zip Code)</w:t>
            </w:r>
          </w:p>
        </w:tc>
      </w:tr>
    </w:tbl>
    <w:p>
      <w:pPr>
        <w:pStyle w:val="TextBody"/>
        <w:bidi w:val="0"/>
        <w:jc w:val="left"/>
        <w:rPr/>
      </w:pPr>
      <w:r>
        <w:rPr/>
        <w:t> </w:t>
      </w:r>
    </w:p>
    <w:tbl>
      <w:tblPr>
        <w:tblW w:w="5026" w:type="dxa"/>
        <w:jc w:val="left"/>
        <w:tblInd w:w="0" w:type="dxa"/>
        <w:tblLayout w:type="fixed"/>
        <w:tblCellMar>
          <w:top w:w="28" w:type="dxa"/>
          <w:left w:w="28" w:type="dxa"/>
          <w:bottom w:w="28" w:type="dxa"/>
          <w:right w:w="28" w:type="dxa"/>
        </w:tblCellMar>
      </w:tblPr>
      <w:tblGrid>
        <w:gridCol w:w="5026"/>
      </w:tblGrid>
      <w:tr>
        <w:trPr/>
        <w:tc>
          <w:tcPr>
            <w:tcW w:w="5026" w:type="dxa"/>
            <w:tcBorders/>
            <w:vAlign w:val="center"/>
          </w:tcPr>
          <w:p>
            <w:pPr>
              <w:pStyle w:val="TableContents"/>
              <w:bidi w:val="0"/>
              <w:spacing w:before="0" w:after="283"/>
              <w:jc w:val="left"/>
              <w:rPr>
                <w:sz w:val="4"/>
                <w:szCs w:val="4"/>
              </w:rPr>
            </w:pPr>
            <w:r>
              <w:rPr>
                <w:sz w:val="4"/>
                <w:szCs w:val="4"/>
              </w:rPr>
            </w:r>
          </w:p>
        </w:tc>
      </w:tr>
      <w:tr>
        <w:trPr/>
        <w:tc>
          <w:tcPr>
            <w:tcW w:w="50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(786) 297-9500</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(Registrant's telephone number, including area code)</w:t>
            </w:r>
          </w:p>
        </w:tc>
      </w:tr>
      <w:tr>
        <w:trPr/>
        <w:tc>
          <w:tcPr>
            <w:tcW w:w="5026" w:type="dxa"/>
            <w:tcBorders/>
            <w:vAlign w:val="center"/>
          </w:tcPr>
          <w:p>
            <w:pPr>
              <w:pStyle w:val="TableContents"/>
              <w:bidi w:val="0"/>
              <w:spacing w:before="200" w:after="283"/>
              <w:jc w:val="center"/>
              <w:rPr>
                <w:rFonts w:ascii="Times New Roman" w:hAnsi="Times New Roman"/>
                <w:b/>
                <w:color w:val="000000"/>
                <w:sz w:val="20"/>
              </w:rPr>
            </w:pPr>
            <w:r>
              <w:rPr>
                <w:rFonts w:ascii="Times New Roman" w:hAnsi="Times New Roman"/>
                <w:b/>
                <w:color w:val="000000"/>
                <w:sz w:val="20"/>
              </w:rPr>
              <w:t>Not Applicable</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(Former name or former address, if changed since last report)</w:t>
            </w:r>
          </w:p>
        </w:tc>
      </w:tr>
    </w:tbl>
    <w:p>
      <w:pPr>
        <w:pStyle w:val="TextBody"/>
        <w:pBdr>
          <w:bottom w:val="single" w:sz="6" w:space="1" w:color="000000"/>
        </w:pBdr>
        <w:bidi w:val="0"/>
        <w:spacing w:before="0" w:after="22"/>
        <w:jc w:val="center"/>
        <w:rPr/>
      </w:pPr>
      <w:r>
        <w:rPr/>
        <w:t>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1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Written communications pursuant to Rule 425 under the Securities Act (17 CFR 230.425)</w:t>
            </w:r>
          </w:p>
        </w:tc>
      </w:tr>
      <w:tr>
        <w:trPr/>
        <w:tc>
          <w:tcPr>
            <w:tcW w:w="331"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91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Soliciting material pursuant to Rule 14a-12 under the Exchange Act (17 CFR 240.14a-12)</w:t>
            </w:r>
          </w:p>
        </w:tc>
      </w:tr>
      <w:tr>
        <w:trPr/>
        <w:tc>
          <w:tcPr>
            <w:tcW w:w="331"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91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Pre-commencement communications pursuant to Rule 14d-2(b) under the Exchange Act (17 CFR 240.14d-2(b))</w:t>
            </w:r>
          </w:p>
        </w:tc>
      </w:tr>
      <w:tr>
        <w:trPr/>
        <w:tc>
          <w:tcPr>
            <w:tcW w:w="331"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91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p>
      <w:pPr>
        <w:pStyle w:val="TextBody"/>
        <w:bidi w:val="0"/>
        <w:spacing w:before="0" w:after="200"/>
        <w:jc w:val="both"/>
        <w:rPr/>
      </w:pPr>
      <w:r>
        <w:rPr/>
        <w:t> </w:t>
      </w:r>
    </w:p>
    <w:tbl>
      <w:tblPr>
        <w:tblW w:w="9318" w:type="dxa"/>
        <w:jc w:val="left"/>
        <w:tblInd w:w="0" w:type="dxa"/>
        <w:tblLayout w:type="fixed"/>
        <w:tblCellMar>
          <w:top w:w="28" w:type="dxa"/>
          <w:left w:w="28" w:type="dxa"/>
          <w:bottom w:w="28" w:type="dxa"/>
          <w:right w:w="28" w:type="dxa"/>
        </w:tblCellMar>
      </w:tblPr>
      <w:tblGrid>
        <w:gridCol w:w="3601"/>
        <w:gridCol w:w="1696"/>
        <w:gridCol w:w="4021"/>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Common Stock, par value $0.001 per share</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PNNT</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The New York Stock Exchange</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Indicate by check mark whether the registrant is an emerging growth company as defined in Rule 405 of the Securities Act of 1933 (17 CFR § 230.405) or Rule 12b-2 of the Securities Exchange Act of 1934 (17 CFR § 240.12b-2).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6"/>
        </w:rPr>
        <w:t>28435281.2.BUSINESS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On November 15, 2023, PennantPark Investment Corporation, or the Company, issued a press release announcing its financial results for the fourth quarter and fiscal year ended September 30, 2023. A copy of the press release is furnished as Exhibit 99.1 to this report pursuant to Item 2.02 on Form 8-K and Regulation FD. A copy of the Company's schedule of investments as of September 30, 2023 and 2022 are furnished as Exhibit 99.2 to this report pursuant to Item 2.02 on Form 8-K and Regulation FD.</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 Company is completing its assessment of the effectiveness of its internal control over financial reporting as of September 30, 2023. Based on currently available information, the Company expects to report certain material weaknesses in internal control over financial reporting in Item 9A of its Annual Report on Form 10-K for the fiscal year ended September 30, 2023 (the "2023 Annual Report"). The material weaknesses identified to date relate to the control environment over the Company's review process of its cash and par reconciliations and its interest income analysis. The material weaknesses are not expected to impact the accuracy of the Company's financial statements to be reported in the 2023 Annual Report. Because the Company has not completed the preparation of its consolidated financial statements for the year ended September 30, 2023, the preliminary unaudited results presented in the press release as of and for the fourth quarter and year ended September 30, 2023 are based on current expectations and are subject to adjustment.</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 information in this report on Form 8-K, including Exhibits 99.1 and 99.2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This report on Form 8-K, including Exhibits 99.1 and 99.2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 Financial statements: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 Pro forma financial information: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 Shell company transactions: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 Exhibits</w:t>
      </w:r>
    </w:p>
    <w:p>
      <w:pPr>
        <w:pStyle w:val="TextBody"/>
        <w:bidi w:val="0"/>
        <w:jc w:val="both"/>
        <w:rPr/>
      </w:pPr>
      <w:r>
        <w:rPr/>
        <w:t> </w:t>
      </w:r>
    </w:p>
    <w:tbl>
      <w:tblPr>
        <w:tblW w:w="7127" w:type="dxa"/>
        <w:jc w:val="left"/>
        <w:tblInd w:w="0" w:type="dxa"/>
        <w:tblLayout w:type="fixed"/>
        <w:tblCellMar>
          <w:top w:w="28" w:type="dxa"/>
          <w:left w:w="28" w:type="dxa"/>
          <w:bottom w:w="28" w:type="dxa"/>
          <w:right w:w="28" w:type="dxa"/>
        </w:tblCellMar>
      </w:tblPr>
      <w:tblGrid>
        <w:gridCol w:w="481"/>
        <w:gridCol w:w="6646"/>
      </w:tblGrid>
      <w:tr>
        <w:trPr/>
        <w:tc>
          <w:tcPr>
            <w:tcW w:w="4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48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99.1</w:t>
            </w:r>
          </w:p>
        </w:tc>
        <w:tc>
          <w:tcPr>
            <w:tcW w:w="6646" w:type="dxa"/>
            <w:tcBorders/>
            <w:vAlign w:val="center"/>
          </w:tcPr>
          <w:p>
            <w:pPr>
              <w:pStyle w:val="TableContents"/>
              <w:bidi w:val="0"/>
              <w:spacing w:before="0" w:after="283"/>
              <w:jc w:val="both"/>
              <w:rPr/>
            </w:pPr>
            <w:hyperlink w:anchor="pnnt-ex99_1.htm">
              <w:r>
                <w:rPr>
                  <w:rStyle w:val="InternetLink"/>
                  <w:rFonts w:ascii="Times New Roman" w:hAnsi="Times New Roman"/>
                  <w:b w:val="false"/>
                  <w:color w:val="0000FF"/>
                  <w:sz w:val="20"/>
                  <w:u w:val="single"/>
                </w:rPr>
                <w:t>Press Release of PennantPark Investment Corporation dated November 15, 2023</w:t>
              </w:r>
            </w:hyperlink>
          </w:p>
        </w:tc>
      </w:tr>
      <w:tr>
        <w:trPr/>
        <w:tc>
          <w:tcPr>
            <w:tcW w:w="48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99.2</w:t>
            </w:r>
          </w:p>
        </w:tc>
        <w:tc>
          <w:tcPr>
            <w:tcW w:w="6646" w:type="dxa"/>
            <w:tcBorders/>
            <w:vAlign w:val="center"/>
          </w:tcPr>
          <w:p>
            <w:pPr>
              <w:pStyle w:val="TableContents"/>
              <w:bidi w:val="0"/>
              <w:spacing w:before="0" w:after="283"/>
              <w:jc w:val="both"/>
              <w:rPr/>
            </w:pPr>
            <w:hyperlink w:anchor="pnnt-ex99_2.htm">
              <w:r>
                <w:rPr>
                  <w:rStyle w:val="InternetLink"/>
                  <w:rFonts w:ascii="Times New Roman" w:hAnsi="Times New Roman"/>
                  <w:b w:val="false"/>
                  <w:color w:val="0000FF"/>
                  <w:sz w:val="20"/>
                  <w:u w:val="single"/>
                </w:rPr>
                <w:t>Schedule of Investments as of September 30, 2023 and 2022</w:t>
              </w:r>
            </w:hyperlink>
          </w:p>
        </w:tc>
      </w:tr>
      <w:tr>
        <w:trPr/>
        <w:tc>
          <w:tcPr>
            <w:tcW w:w="48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104</w:t>
            </w:r>
          </w:p>
        </w:tc>
        <w:tc>
          <w:tcPr>
            <w:tcW w:w="664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6"/>
        </w:rPr>
        <w:t>28435281.2.BUSINESS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Pursuant to the requirements of the Exchange Act, the registrant has duly caused this report to be signed on its behalf by the undersigned hereunto duly authorized.</w:t>
      </w:r>
    </w:p>
    <w:p>
      <w:pPr>
        <w:pStyle w:val="TextBody"/>
        <w:bidi w:val="0"/>
        <w:jc w:val="left"/>
        <w:rPr/>
      </w:pPr>
      <w:r>
        <w:rPr/>
        <w:t> </w:t>
      </w:r>
    </w:p>
    <w:tbl>
      <w:tblPr>
        <w:tblW w:w="6781" w:type="dxa"/>
        <w:jc w:val="left"/>
        <w:tblInd w:w="0" w:type="dxa"/>
        <w:tblLayout w:type="fixed"/>
        <w:tblCellMar>
          <w:top w:w="28" w:type="dxa"/>
          <w:left w:w="28" w:type="dxa"/>
          <w:bottom w:w="28" w:type="dxa"/>
          <w:right w:w="28" w:type="dxa"/>
        </w:tblCellMar>
      </w:tblPr>
      <w:tblGrid>
        <w:gridCol w:w="2311"/>
        <w:gridCol w:w="516"/>
        <w:gridCol w:w="3954"/>
      </w:tblGrid>
      <w:tr>
        <w:trPr/>
        <w:tc>
          <w:tcPr>
            <w:tcW w:w="23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15, 2023</w:t>
            </w:r>
          </w:p>
        </w:tc>
        <w:tc>
          <w:tcPr>
            <w:tcW w:w="4470"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PENNANTPARK INVESTMENT CORPORATION</w:t>
            </w:r>
          </w:p>
        </w:tc>
      </w:tr>
      <w:tr>
        <w:trPr/>
        <w:tc>
          <w:tcPr>
            <w:tcW w:w="231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3954"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95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Richard T. Allorto, Jr.</w:t>
            </w:r>
          </w:p>
        </w:tc>
      </w:tr>
      <w:tr>
        <w:trPr/>
        <w:tc>
          <w:tcPr>
            <w:tcW w:w="231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395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Richard T. Allorto, Jr.</w:t>
            </w:r>
          </w:p>
        </w:tc>
      </w:tr>
      <w:tr>
        <w:trPr/>
        <w:tc>
          <w:tcPr>
            <w:tcW w:w="2311"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3954"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Chief Financial Officer &amp; Treasurer</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6"/>
        </w:rPr>
        <w:t>28435281.2.BUSINESS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pnnt-ex99_1.htm"/>
      <w:bookmarkStart w:id="3" w:name="kspnnt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2009775"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485775"/>
                    </a:xfrm>
                    <a:prstGeom prst="rect">
                      <a:avLst/>
                    </a:prstGeom>
                  </pic:spPr>
                </pic:pic>
              </a:graphicData>
            </a:graphic>
          </wp:inline>
        </w:drawing>
      </w: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PennantPark Investment Corporation Announces Financial Results for the Fourth Quarter and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Fiscal Year Ended September 30, 2023</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Miami, Florida — (GLOBE NEWSWIRE – November 15, 2023) — PennantPark Investment Corporation (NYSE: PNNT) announced today financial results for the fourth quarter and fiscal year ended</w:t>
      </w:r>
      <w:r>
        <w:rPr>
          <w:rFonts w:ascii="Times New Roman" w:hAnsi="Times New Roman"/>
          <w:color w:val="000000"/>
          <w:sz w:val="20"/>
        </w:rPr>
        <w:t xml:space="preserve"> </w:t>
      </w:r>
      <w:r>
        <w:rPr>
          <w:rFonts w:ascii="Times New Roman" w:hAnsi="Times New Roman"/>
          <w:b w:val="false"/>
          <w:color w:val="000000"/>
          <w:sz w:val="20"/>
        </w:rPr>
        <w:t>September 30, 2023.</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HIGHLIGHTS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Year ended September 30, 2023 - Unaudited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 in millions, except per share amounts)</w:t>
      </w:r>
      <w:r>
        <w:rPr>
          <w:rFonts w:ascii="Times New Roman" w:hAnsi="Times New Roman"/>
          <w:color w:val="000000"/>
          <w:sz w:val="20"/>
        </w:rPr>
        <w:t xml:space="preserve"> </w:t>
      </w:r>
    </w:p>
    <w:tbl>
      <w:tblPr>
        <w:tblW w:w="9570" w:type="dxa"/>
        <w:jc w:val="left"/>
        <w:tblInd w:w="0" w:type="dxa"/>
        <w:tblLayout w:type="fixed"/>
        <w:tblCellMar>
          <w:top w:w="28" w:type="dxa"/>
          <w:left w:w="28" w:type="dxa"/>
          <w:bottom w:w="28" w:type="dxa"/>
          <w:right w:w="28" w:type="dxa"/>
        </w:tblCellMar>
      </w:tblPr>
      <w:tblGrid>
        <w:gridCol w:w="5106"/>
        <w:gridCol w:w="465"/>
        <w:gridCol w:w="1260"/>
        <w:gridCol w:w="146"/>
        <w:gridCol w:w="146"/>
        <w:gridCol w:w="390"/>
        <w:gridCol w:w="1335"/>
        <w:gridCol w:w="331"/>
        <w:gridCol w:w="391"/>
      </w:tblGrid>
      <w:tr>
        <w:trPr/>
        <w:tc>
          <w:tcPr>
            <w:tcW w:w="510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0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 and Liabilities:</w:t>
            </w:r>
          </w:p>
        </w:tc>
        <w:tc>
          <w:tcPr>
            <w:tcW w:w="172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725" w:type="dxa"/>
            <w:gridSpan w:val="2"/>
            <w:tcBorders/>
            <w:shd w:fill="CCECFF" w:val="clear"/>
            <w:vAlign w:val="center"/>
          </w:tcPr>
          <w:p>
            <w:pPr>
              <w:pStyle w:val="TableContents"/>
              <w:bidi w:val="0"/>
              <w:spacing w:before="0" w:after="283"/>
              <w:jc w:val="right"/>
              <w:rPr/>
            </w:pPr>
            <w:r>
              <w:rPr/>
              <w:t> </w:t>
            </w:r>
          </w:p>
        </w:tc>
        <w:tc>
          <w:tcPr>
            <w:tcW w:w="331" w:type="dxa"/>
            <w:tcBorders/>
            <w:shd w:fill="CCECFF" w:val="clear"/>
            <w:vAlign w:val="center"/>
          </w:tcPr>
          <w:p>
            <w:pPr>
              <w:pStyle w:val="TableContents"/>
              <w:bidi w:val="0"/>
              <w:spacing w:before="0" w:after="283"/>
              <w:jc w:val="righ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10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Investment portfolio </w:t>
            </w:r>
            <w:r>
              <w:rPr>
                <w:rFonts w:ascii="Times New Roman" w:hAnsi="Times New Roman"/>
                <w:b w:val="false"/>
                <w:color w:val="000000"/>
                <w:sz w:val="13"/>
              </w:rPr>
              <w:t>(1)</w:t>
            </w:r>
          </w:p>
        </w:tc>
        <w:tc>
          <w:tcPr>
            <w:tcW w:w="17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1,001.9</w:t>
            </w:r>
          </w:p>
        </w:tc>
        <w:tc>
          <w:tcPr>
            <w:tcW w:w="331"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0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assets</w:t>
            </w:r>
          </w:p>
        </w:tc>
        <w:tc>
          <w:tcPr>
            <w:tcW w:w="172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502.2</w:t>
            </w:r>
          </w:p>
        </w:tc>
        <w:tc>
          <w:tcPr>
            <w:tcW w:w="331" w:type="dxa"/>
            <w:tcBorders/>
            <w:shd w:fill="CCECFF" w:val="clear"/>
            <w:vAlign w:val="center"/>
          </w:tcPr>
          <w:p>
            <w:pPr>
              <w:pStyle w:val="TableContents"/>
              <w:bidi w:val="0"/>
              <w:spacing w:before="0" w:after="283"/>
              <w:jc w:val="lef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10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Adjusted net asset value per share</w:t>
            </w:r>
            <w:r>
              <w:rPr>
                <w:rFonts w:ascii="Times New Roman" w:hAnsi="Times New Roman"/>
                <w:color w:val="000000"/>
                <w:sz w:val="20"/>
              </w:rPr>
              <w:t> </w:t>
            </w:r>
            <w:r>
              <w:rPr>
                <w:rFonts w:ascii="Times New Roman" w:hAnsi="Times New Roman"/>
                <w:b w:val="false"/>
                <w:color w:val="000000"/>
                <w:sz w:val="13"/>
              </w:rPr>
              <w:t>(2)</w:t>
            </w:r>
          </w:p>
        </w:tc>
        <w:tc>
          <w:tcPr>
            <w:tcW w:w="17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7.70</w:t>
            </w:r>
          </w:p>
        </w:tc>
        <w:tc>
          <w:tcPr>
            <w:tcW w:w="331"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06" w:type="dxa"/>
            <w:tcBorders/>
            <w:shd w:fill="CCEC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Quarterly increase in adjusted net asset value per share </w:t>
            </w:r>
            <w:r>
              <w:rPr>
                <w:rFonts w:ascii="Times New Roman" w:hAnsi="Times New Roman"/>
                <w:b w:val="false"/>
                <w:color w:val="000000"/>
                <w:sz w:val="13"/>
              </w:rPr>
              <w:t>(2)</w:t>
            </w:r>
          </w:p>
        </w:tc>
        <w:tc>
          <w:tcPr>
            <w:tcW w:w="172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left"/>
              <w:rPr/>
            </w:pPr>
            <w:r>
              <w:rPr/>
              <w:t> </w:t>
            </w:r>
          </w:p>
        </w:tc>
        <w:tc>
          <w:tcPr>
            <w:tcW w:w="133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33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1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GAAP net asset value per share</w:t>
            </w:r>
          </w:p>
        </w:tc>
        <w:tc>
          <w:tcPr>
            <w:tcW w:w="17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7.70</w:t>
            </w:r>
          </w:p>
        </w:tc>
        <w:tc>
          <w:tcPr>
            <w:tcW w:w="331"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0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Quarterly decrease in GAAP net asset value per share</w:t>
            </w:r>
          </w:p>
        </w:tc>
        <w:tc>
          <w:tcPr>
            <w:tcW w:w="172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left"/>
              <w:rPr/>
            </w:pPr>
            <w:r>
              <w:rPr/>
              <w:t> </w:t>
            </w:r>
          </w:p>
        </w:tc>
        <w:tc>
          <w:tcPr>
            <w:tcW w:w="133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33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CECFF" w:val="clear"/>
            <w:vAlign w:val="center"/>
          </w:tcPr>
          <w:p>
            <w:pPr>
              <w:pStyle w:val="TableContents"/>
              <w:bidi w:val="0"/>
              <w:spacing w:before="0" w:after="283"/>
              <w:jc w:val="left"/>
              <w:rPr/>
            </w:pPr>
            <w:r>
              <w:rPr/>
              <w:t> </w:t>
            </w:r>
          </w:p>
        </w:tc>
      </w:tr>
      <w:tr>
        <w:trPr/>
        <w:tc>
          <w:tcPr>
            <w:tcW w:w="510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0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Credit Facility</w:t>
            </w:r>
          </w:p>
        </w:tc>
        <w:tc>
          <w:tcPr>
            <w:tcW w:w="172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206.9</w:t>
            </w:r>
          </w:p>
        </w:tc>
        <w:tc>
          <w:tcPr>
            <w:tcW w:w="331" w:type="dxa"/>
            <w:tcBorders/>
            <w:shd w:fill="CCECFF" w:val="clear"/>
            <w:vAlign w:val="center"/>
          </w:tcPr>
          <w:p>
            <w:pPr>
              <w:pStyle w:val="TableContents"/>
              <w:bidi w:val="0"/>
              <w:spacing w:before="0" w:after="283"/>
              <w:jc w:val="lef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1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2026 Notes</w:t>
            </w:r>
          </w:p>
        </w:tc>
        <w:tc>
          <w:tcPr>
            <w:tcW w:w="17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147.7</w:t>
            </w:r>
          </w:p>
        </w:tc>
        <w:tc>
          <w:tcPr>
            <w:tcW w:w="331"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0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2026-2 Notes</w:t>
            </w:r>
          </w:p>
        </w:tc>
        <w:tc>
          <w:tcPr>
            <w:tcW w:w="172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331" w:type="dxa"/>
            <w:tcBorders/>
            <w:shd w:fill="CCECFF" w:val="clear"/>
            <w:vAlign w:val="center"/>
          </w:tcPr>
          <w:p>
            <w:pPr>
              <w:pStyle w:val="TableContents"/>
              <w:bidi w:val="0"/>
              <w:spacing w:before="0" w:after="283"/>
              <w:jc w:val="lef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1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Regulatory Debt to Equity</w:t>
            </w:r>
          </w:p>
        </w:tc>
        <w:tc>
          <w:tcPr>
            <w:tcW w:w="17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1.05x</w:t>
            </w:r>
          </w:p>
        </w:tc>
        <w:tc>
          <w:tcPr>
            <w:tcW w:w="331"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0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 average yield on debt investments at quarter-end</w:t>
            </w:r>
          </w:p>
        </w:tc>
        <w:tc>
          <w:tcPr>
            <w:tcW w:w="172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left"/>
              <w:rPr/>
            </w:pPr>
            <w:r>
              <w:rPr/>
              <w:t> </w:t>
            </w:r>
          </w:p>
        </w:tc>
        <w:tc>
          <w:tcPr>
            <w:tcW w:w="133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c>
          <w:tcPr>
            <w:tcW w:w="33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CECFF" w:val="clear"/>
            <w:vAlign w:val="center"/>
          </w:tcPr>
          <w:p>
            <w:pPr>
              <w:pStyle w:val="TableContents"/>
              <w:bidi w:val="0"/>
              <w:spacing w:before="0" w:after="283"/>
              <w:jc w:val="left"/>
              <w:rPr/>
            </w:pPr>
            <w:r>
              <w:rPr/>
              <w:t> </w:t>
            </w:r>
          </w:p>
        </w:tc>
      </w:tr>
      <w:tr>
        <w:trPr/>
        <w:tc>
          <w:tcPr>
            <w:tcW w:w="510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106" w:type="dxa"/>
            <w:tcBorders/>
            <w:shd w:fill="CCECFF" w:val="clear"/>
            <w:vAlign w:val="center"/>
          </w:tcPr>
          <w:p>
            <w:pPr>
              <w:pStyle w:val="TableContents"/>
              <w:bidi w:val="0"/>
              <w:spacing w:before="0" w:after="283"/>
              <w:jc w:val="left"/>
              <w:rPr/>
            </w:pPr>
            <w:r>
              <w:rPr/>
              <w:t> </w:t>
            </w:r>
          </w:p>
        </w:tc>
        <w:tc>
          <w:tcPr>
            <w:tcW w:w="1725" w:type="dxa"/>
            <w:gridSpan w:val="2"/>
            <w:tcBorders/>
            <w:shd w:fill="CCECFF" w:val="clear"/>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Quarter Ended</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25" w:type="dxa"/>
            <w:gridSpan w:val="2"/>
            <w:tcBorders/>
            <w:shd w:fill="CCECFF" w:val="clear"/>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Year Ended</w:t>
            </w:r>
          </w:p>
        </w:tc>
        <w:tc>
          <w:tcPr>
            <w:tcW w:w="331" w:type="dxa"/>
            <w:tcBorders/>
            <w:shd w:fill="CCECFF" w:val="clear"/>
            <w:vAlign w:val="center"/>
          </w:tcPr>
          <w:p>
            <w:pPr>
              <w:pStyle w:val="TableContents"/>
              <w:bidi w:val="0"/>
              <w:spacing w:before="0" w:after="283"/>
              <w:jc w:val="center"/>
              <w:rPr/>
            </w:pPr>
            <w:r>
              <w:rPr/>
              <w:t> </w:t>
            </w:r>
          </w:p>
        </w:tc>
        <w:tc>
          <w:tcPr>
            <w:tcW w:w="391" w:type="dxa"/>
            <w:tcBorders/>
            <w:shd w:fill="CCECFF" w:val="clear"/>
            <w:vAlign w:val="center"/>
          </w:tcPr>
          <w:p>
            <w:pPr>
              <w:pStyle w:val="TableContents"/>
              <w:bidi w:val="0"/>
              <w:spacing w:before="0" w:after="283"/>
              <w:jc w:val="left"/>
              <w:rPr/>
            </w:pPr>
            <w:r>
              <w:rPr/>
              <w:t> </w:t>
            </w:r>
          </w:p>
        </w:tc>
      </w:tr>
      <w:tr>
        <w:trPr/>
        <w:tc>
          <w:tcPr>
            <w:tcW w:w="510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September 30,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September 30, 2023</w:t>
            </w:r>
          </w:p>
        </w:tc>
        <w:tc>
          <w:tcPr>
            <w:tcW w:w="331" w:type="dxa"/>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5106" w:type="dxa"/>
            <w:tcBorders/>
            <w:shd w:fill="CCEC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(Unaudited)</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rFonts w:ascii="Calibri;sans-serif" w:hAnsi="Calibri;sans-serif"/>
                <w:b w:val="false"/>
                <w:color w:val="000000"/>
                <w:sz w:val="20"/>
              </w:rPr>
            </w:pPr>
            <w:r>
              <w:rPr>
                <w:rFonts w:ascii="Calibri;sans-serif" w:hAnsi="Calibri;sans-serif"/>
                <w:b w:val="false"/>
                <w:color w:val="000000"/>
                <w:sz w:val="20"/>
              </w:rPr>
              <w:t>(Unaudited)</w:t>
            </w:r>
          </w:p>
        </w:tc>
        <w:tc>
          <w:tcPr>
            <w:tcW w:w="3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CCECFF" w:val="clear"/>
            <w:vAlign w:val="center"/>
          </w:tcPr>
          <w:p>
            <w:pPr>
              <w:pStyle w:val="TableContents"/>
              <w:bidi w:val="0"/>
              <w:spacing w:before="0" w:after="283"/>
              <w:jc w:val="left"/>
              <w:rPr/>
            </w:pPr>
            <w:r>
              <w:rPr/>
              <w:t> </w:t>
            </w:r>
          </w:p>
        </w:tc>
      </w:tr>
      <w:tr>
        <w:trPr/>
        <w:tc>
          <w:tcPr>
            <w:tcW w:w="51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Results:</w:t>
            </w:r>
          </w:p>
        </w:tc>
        <w:tc>
          <w:tcPr>
            <w:tcW w:w="17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0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investment income</w:t>
            </w:r>
          </w:p>
        </w:tc>
        <w:tc>
          <w:tcPr>
            <w:tcW w:w="46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w:t>
            </w:r>
          </w:p>
        </w:tc>
        <w:tc>
          <w:tcPr>
            <w:tcW w:w="331" w:type="dxa"/>
            <w:tcBorders/>
            <w:shd w:fill="CCECFF" w:val="clear"/>
            <w:vAlign w:val="center"/>
          </w:tcPr>
          <w:p>
            <w:pPr>
              <w:pStyle w:val="TableContents"/>
              <w:bidi w:val="0"/>
              <w:spacing w:before="0" w:after="283"/>
              <w:jc w:val="lef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1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investment income per share</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31"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06" w:type="dxa"/>
            <w:tcBorders/>
            <w:shd w:fill="CCEC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Core net investment income per share </w:t>
            </w:r>
            <w:r>
              <w:rPr>
                <w:rFonts w:ascii="Times New Roman" w:hAnsi="Times New Roman"/>
                <w:b w:val="false"/>
                <w:color w:val="000000"/>
                <w:sz w:val="13"/>
              </w:rPr>
              <w:t>(3)</w:t>
            </w:r>
          </w:p>
        </w:tc>
        <w:tc>
          <w:tcPr>
            <w:tcW w:w="46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0.84</w:t>
            </w:r>
          </w:p>
        </w:tc>
        <w:tc>
          <w:tcPr>
            <w:tcW w:w="331" w:type="dxa"/>
            <w:tcBorders/>
            <w:shd w:fill="CCECFF" w:val="clear"/>
            <w:vAlign w:val="center"/>
          </w:tcPr>
          <w:p>
            <w:pPr>
              <w:pStyle w:val="TableContents"/>
              <w:bidi w:val="0"/>
              <w:spacing w:before="0" w:after="283"/>
              <w:jc w:val="lef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1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Distributions declared per share</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0.76</w:t>
            </w:r>
          </w:p>
        </w:tc>
        <w:tc>
          <w:tcPr>
            <w:tcW w:w="331"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06" w:type="dxa"/>
            <w:tcBorders/>
            <w:shd w:fill="CCECFF" w:val="clear"/>
            <w:vAlign w:val="center"/>
          </w:tcPr>
          <w:p>
            <w:pPr>
              <w:pStyle w:val="TableContents"/>
              <w:bidi w:val="0"/>
              <w:spacing w:before="0" w:after="283"/>
              <w:ind w:left="200" w:right="0" w:firstLine="200"/>
              <w:jc w:val="left"/>
              <w:rPr/>
            </w:pPr>
            <w:r>
              <w:rPr/>
              <w:t> </w:t>
            </w:r>
          </w:p>
        </w:tc>
        <w:tc>
          <w:tcPr>
            <w:tcW w:w="172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725" w:type="dxa"/>
            <w:gridSpan w:val="2"/>
            <w:tcBorders/>
            <w:shd w:fill="CCECFF" w:val="clear"/>
            <w:vAlign w:val="center"/>
          </w:tcPr>
          <w:p>
            <w:pPr>
              <w:pStyle w:val="TableContents"/>
              <w:bidi w:val="0"/>
              <w:spacing w:before="0" w:after="283"/>
              <w:jc w:val="right"/>
              <w:rPr/>
            </w:pPr>
            <w:r>
              <w:rPr/>
              <w:t> </w:t>
            </w:r>
          </w:p>
        </w:tc>
        <w:tc>
          <w:tcPr>
            <w:tcW w:w="331" w:type="dxa"/>
            <w:tcBorders/>
            <w:shd w:fill="CCECFF" w:val="clear"/>
            <w:vAlign w:val="center"/>
          </w:tcPr>
          <w:p>
            <w:pPr>
              <w:pStyle w:val="TableContents"/>
              <w:bidi w:val="0"/>
              <w:spacing w:before="0" w:after="283"/>
              <w:jc w:val="righ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106" w:type="dxa"/>
            <w:tcBorders/>
            <w:shd w:fill="FFFFFF" w:val="clear"/>
            <w:vAlign w:val="center"/>
          </w:tcPr>
          <w:p>
            <w:pPr>
              <w:pStyle w:val="TableContents"/>
              <w:bidi w:val="0"/>
              <w:spacing w:before="0" w:after="283"/>
              <w:ind w:left="200" w:right="0" w:firstLine="200"/>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10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Portfolio Activity:</w:t>
            </w:r>
          </w:p>
        </w:tc>
        <w:tc>
          <w:tcPr>
            <w:tcW w:w="172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725" w:type="dxa"/>
            <w:gridSpan w:val="2"/>
            <w:tcBorders/>
            <w:shd w:fill="CCECFF" w:val="clear"/>
            <w:vAlign w:val="center"/>
          </w:tcPr>
          <w:p>
            <w:pPr>
              <w:pStyle w:val="TableContents"/>
              <w:bidi w:val="0"/>
              <w:spacing w:before="0" w:after="283"/>
              <w:jc w:val="right"/>
              <w:rPr/>
            </w:pPr>
            <w:r>
              <w:rPr/>
              <w:t> </w:t>
            </w:r>
          </w:p>
        </w:tc>
        <w:tc>
          <w:tcPr>
            <w:tcW w:w="331" w:type="dxa"/>
            <w:tcBorders/>
            <w:shd w:fill="CCECFF" w:val="clear"/>
            <w:vAlign w:val="center"/>
          </w:tcPr>
          <w:p>
            <w:pPr>
              <w:pStyle w:val="TableContents"/>
              <w:bidi w:val="0"/>
              <w:spacing w:before="0" w:after="283"/>
              <w:jc w:val="righ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1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investments</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275.4</w:t>
            </w:r>
          </w:p>
        </w:tc>
        <w:tc>
          <w:tcPr>
            <w:tcW w:w="331"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0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repayments of investments</w:t>
            </w:r>
          </w:p>
        </w:tc>
        <w:tc>
          <w:tcPr>
            <w:tcW w:w="46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418.6</w:t>
            </w:r>
          </w:p>
        </w:tc>
        <w:tc>
          <w:tcPr>
            <w:tcW w:w="331" w:type="dxa"/>
            <w:tcBorders/>
            <w:shd w:fill="CCECFF" w:val="clear"/>
            <w:vAlign w:val="center"/>
          </w:tcPr>
          <w:p>
            <w:pPr>
              <w:pStyle w:val="TableContents"/>
              <w:bidi w:val="0"/>
              <w:spacing w:before="0" w:after="283"/>
              <w:jc w:val="left"/>
              <w:rPr/>
            </w:pPr>
            <w:r>
              <w:rPr/>
              <w:t> </w:t>
            </w:r>
          </w:p>
        </w:tc>
        <w:tc>
          <w:tcPr>
            <w:tcW w:w="391" w:type="dxa"/>
            <w:tcBorders/>
            <w:shd w:fill="CCECFF" w:val="clear"/>
            <w:vAlign w:val="center"/>
          </w:tcPr>
          <w:p>
            <w:pPr>
              <w:pStyle w:val="TableContents"/>
              <w:bidi w:val="0"/>
              <w:spacing w:before="0" w:after="283"/>
              <w:jc w:val="left"/>
              <w:rPr/>
            </w:pPr>
            <w:r>
              <w:rPr/>
              <w:t> </w:t>
            </w:r>
          </w:p>
        </w:tc>
      </w:tr>
      <w:tr>
        <w:trPr/>
        <w:tc>
          <w:tcPr>
            <w:tcW w:w="510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510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PSLF Portfolio data:</w:t>
            </w:r>
          </w:p>
        </w:tc>
        <w:tc>
          <w:tcPr>
            <w:tcW w:w="1725"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725" w:type="dxa"/>
            <w:gridSpan w:val="2"/>
            <w:tcBorders/>
            <w:shd w:fill="CCECFF" w:val="clear"/>
            <w:vAlign w:val="center"/>
          </w:tcPr>
          <w:p>
            <w:pPr>
              <w:pStyle w:val="TableContents"/>
              <w:bidi w:val="0"/>
              <w:spacing w:before="0" w:after="283"/>
              <w:jc w:val="right"/>
              <w:rPr/>
            </w:pPr>
            <w:r>
              <w:rPr/>
              <w:t> </w:t>
            </w:r>
          </w:p>
        </w:tc>
        <w:tc>
          <w:tcPr>
            <w:tcW w:w="331" w:type="dxa"/>
            <w:tcBorders/>
            <w:shd w:fill="CCECFF" w:val="clear"/>
            <w:vAlign w:val="center"/>
          </w:tcPr>
          <w:p>
            <w:pPr>
              <w:pStyle w:val="TableContents"/>
              <w:bidi w:val="0"/>
              <w:spacing w:before="0" w:after="283"/>
              <w:jc w:val="righ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1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PSLF investment portfolio</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804.2</w:t>
            </w:r>
          </w:p>
        </w:tc>
        <w:tc>
          <w:tcPr>
            <w:tcW w:w="331"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0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investments</w:t>
            </w:r>
          </w:p>
        </w:tc>
        <w:tc>
          <w:tcPr>
            <w:tcW w:w="46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176.2</w:t>
            </w:r>
          </w:p>
        </w:tc>
        <w:tc>
          <w:tcPr>
            <w:tcW w:w="331" w:type="dxa"/>
            <w:tcBorders/>
            <w:shd w:fill="CCECFF" w:val="clear"/>
            <w:vAlign w:val="center"/>
          </w:tcPr>
          <w:p>
            <w:pPr>
              <w:pStyle w:val="TableContents"/>
              <w:bidi w:val="0"/>
              <w:spacing w:before="0" w:after="283"/>
              <w:jc w:val="left"/>
              <w:rPr/>
            </w:pPr>
            <w:r>
              <w:rPr/>
              <w:t> </w:t>
            </w:r>
          </w:p>
        </w:tc>
        <w:tc>
          <w:tcPr>
            <w:tcW w:w="391" w:type="dxa"/>
            <w:tcBorders/>
            <w:shd w:fill="CCECFF" w:val="clear"/>
            <w:vAlign w:val="center"/>
          </w:tcPr>
          <w:p>
            <w:pPr>
              <w:pStyle w:val="TableContents"/>
              <w:bidi w:val="0"/>
              <w:spacing w:before="0" w:after="283"/>
              <w:ind w:left="0" w:right="0" w:firstLine="200"/>
              <w:jc w:val="left"/>
              <w:rPr/>
            </w:pPr>
            <w:r>
              <w:rPr/>
              <w:t> </w:t>
            </w:r>
          </w:p>
        </w:tc>
      </w:tr>
      <w:tr>
        <w:trPr/>
        <w:tc>
          <w:tcPr>
            <w:tcW w:w="51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repayments of investments</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106.6</w:t>
            </w:r>
          </w:p>
        </w:tc>
        <w:tc>
          <w:tcPr>
            <w:tcW w:w="331"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Includes investments in PennantPark Senior Loan Fund, LLC ("PSLF"), an unconsolidated joint venture, totaling $164.4 million, at fair value.</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2.</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 xml:space="preserve">This is a non-GAAP financial measure. The Company believes that this number provides useful information to investors and management because it reflects the Company’s financial performance excluding the impact of unrealized gain on our multi-currency, senior secured revolving credit facility with Truist Bank, as amended, the “Credit Facility." The presentation of this additional information is not meant to be considered in isolation or as a substitute for financial results prepared in accordance with GAAP. </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3.</w:t>
      </w:r>
    </w:p>
    <w:p>
      <w:pPr>
        <w:pStyle w:val="TextBody"/>
        <w:bidi w:val="0"/>
        <w:spacing w:before="120" w:after="283"/>
        <w:jc w:val="both"/>
        <w:rPr>
          <w:rFonts w:ascii="Times New Roman" w:hAnsi="Times New Roman"/>
          <w:b w:val="false"/>
          <w:color w:val="000000"/>
          <w:sz w:val="16"/>
        </w:rPr>
      </w:pPr>
      <w:r>
        <w:rPr>
          <w:rFonts w:ascii="Times New Roman" w:hAnsi="Times New Roman"/>
          <w:b w:val="false"/>
          <w:color w:val="000000"/>
          <w:sz w:val="16"/>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year ended September 30, 2023, Core NII excluded: i) $10.6 million of dividend income related to our equity investment in Dominion Voting Systems; ii) $3.1 million of accelerated amortization income with early repayment of one of our loans; iii) $0.6 million of non-recurring divided from PennantPark-TSO Senior Loan Fund II, LP, iv) $1.8 million of accrued excise taxes, and an addback of $2.2 million of incentive fee expenses.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CONFERENCE CALL AT 12:00 P.M. EST ON NOVEMBER 16, 2023</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PennantPark Investment Corporation (“we,” “our,” “us” or the “Company”) will also host a conference call at 12:00 p.m. (Eastern Time) on Thursday, November 16, 2023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#8396733 or PennantPark Investment Corporation. An archived replay will also be available on a webcast link located on the Home page of the Investor section of PennantPark’s website.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PORTFOLIO AND INVESTMENT ACTIVITY</w:t>
      </w:r>
    </w:p>
    <w:p>
      <w:pPr>
        <w:pStyle w:val="TextBody"/>
        <w:bidi w:val="0"/>
        <w:jc w:val="both"/>
        <w:rPr/>
      </w:pPr>
      <w:r>
        <w:rPr/>
        <w:t> </w:t>
      </w:r>
    </w:p>
    <w:p>
      <w:pPr>
        <w:pStyle w:val="TextBody"/>
        <w:bidi w:val="0"/>
        <w:jc w:val="both"/>
        <w:rPr/>
      </w:pPr>
      <w:r>
        <w:rPr>
          <w:color w:val="000000"/>
        </w:rPr>
        <w:t>“</w:t>
      </w:r>
      <w:r>
        <w:rPr>
          <w:rFonts w:ascii="Times New Roman" w:hAnsi="Times New Roman"/>
          <w:b w:val="false"/>
          <w:color w:val="000000"/>
          <w:sz w:val="20"/>
        </w:rPr>
        <w:t>We are pleased to announce another quarter of solid performance from both a NAV and Net Investment Income perspective. Earnings are in excess of our dividend by a healthy margin,” said Arthur Penn, Chairman and CEO. “Our earnings stream continues to be robust due to strong credit performance and the excellent returns generated by our PSLF Joint Venture."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As of September 30, 2023, our portfolio totaled $1,001.9 million, which consisted of $527.7 million of first lien secured debt, $80.4 million of second lien secured debt, $156.2 million of subordinated debt (including $102.3 million in PSLF) and $237.6 million of preferred and common equity (including $62.1 million in PSLF). Our debt portfolio consisted of 95% variable-rate investments and 5% fixed-rate investments. As of September 30, 2023, we had one portfolio company on non-accrual, representing 1.2% and zero of our overall portfolio on a cost and fair value basis, respectively. As of September 30, 2023, the portfolio had net unrealized depreciation of $16.3 million. Our overall portfolio consisted of 129 companies with an average investment size of $7.8 million, and a weighted average yield on interest bearing debt investments of 13.0%.</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2022, our portfolio totaled $1,226.3 million and consisted of $631.0 million of first lien secured debt, $129.9 million of second lien secured debt, $141.3 million of subordinated debt (including $88.0 million in PSLF) and $324.1 million of preferred and common equity (including $51.1 million in PSLF). Our interest bearing debt portfolio consisted of 96% variable-rate investments and 4% fixed-rate investments. As of September 30, 2022, we had one portfolio company on non-accrual, representing 1.2% and zero percent of our overall portfolio on a cost and fair value basis, respectively. As of September 30, 2022, the portfolio had net unrealized depreciation of $75.7 million. Our overall portfolio consisted of 123 companies with an average investment size of $10.0 million, and a weighted average yield on interest bearing debt investments of 10.8%.</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For the three months ended September 30, 2023, we invested $61.1 million in two new and 31 existing portfolio companies at a weighted average yield on debt investments of 12.3%. For the three months ended September 30, 2023, sales and repayments of investments totaled $138.2 million, including $47.6 million of sales to PSLF. For the year ended September 30, 2023, we invested $275.4 million in 17 new and 69 existing portfolio companies at a weighted average yield on debt investments of 12.0%. For the year ended September 30, 2023, sales and repayment totaled $418.6 million, including $127.8 million of sales to PSLF.</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the three months ended September 30, 2022, we invested $134.4 million in five new and 27 existing portfolio companies at a weighted average yield on debt investments of 10.2%. Sales and repayments of investments for the three months ended September 30, 2022 totaled $175.6 million, including $143.9 million of sales to PSLF. For the year ended September 30, 2022, we invested $933.8 million in 40 new and 122 existing portfolio companies at a weighted average yield on debt investments of 8.4%. Sales and repayment of investments for the year ended September 30, 2022 totaled $911.6 million, including $395.3 million of sales to PSLF.</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PennantPark Senior Loan Fund, LLC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As of September 30, 2023, PSLF’s portfolio totaled $804.2 million, consisted of 90 companies with an average investment size of $8.9 million and had a weighted average yield on debt investments of 12.1%.</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As of September 30, 2022, PSLF's portfolio totaled $730.1 million, consisted of 80 companies with an average investment size of $9.1 million and had a weighted average yield on debt investments of 9.4%.</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For the three months ended September 30, 2023, PSLF invested $56.9 million (including $47.6 million purchased from the Company) in five new and 18 existing portfolio companies at a weighted average yield on debt investments of 11.8%. PSLF’s sales and repayments of investments for the same period totaled $52.6 million. For the year ended September 30, 2023, PSLF invested $176.2 million (including $127.8 million purchased from the Company) in 21 new and 23 existing portfolio companies at a weighted average yield on debt investments of 11.8%. PSLF's sales and repayments of investments for the same period totaled $106.6 million.</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For the three months ended September 30, 2022, PSLF invested $152.6 million (including $143.9 million purchased from the Company) in 10 new and nine existing portfolio companies at a weighted average yield on debt investments of 8.5%. PSLF’s sales and repayments of investments for the same period totaled $27.5 million. For the year ended September 30, 2022, PSLF invested $431.2 million (including $395.3 million purchased from the Company) in 39 new and 28 existing portfolio companies at a weighted average yield on debt investment of 7.8%. PSLF's sales and repayments of investments for the same period totaled $100.5 million.</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Set forth below are the results of operations during the three months and year ended September 30, 2023 and 2022.</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Investment Income</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For the three months and year ended September 30, 2023, investment income was $34.0 million and $145.4 million, respectively, which was attributable to $24.5 million and $97.2 million from first lien secured debt, $2.9 million and $13.8 million from second lien secured debt, $1.3 million and $4.7 million from subordinated debt and $5.4 million and $29.7 million from preferred and common equity, respectively. For the three months and year ended September 30, 2022, investment income was $28.9 million and $105.0 million, respectively, which was attributable to $22.2 million and $74.4 million from first lien secured debt, $3.3 million and $17.0 million from second lien secured debt, $1.1 million and $3.7 million from subordinated debt and $2.4 million and $9.9 million from preferred and common equity, respectively. The increase in investment income compared to the same periods in the prior year was primarily due to an increase in SOFR base rates.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Expenses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For the three months and year ended September 30, 2023, expenses totaled $18.4 million and $79.8 million, respectively, and were comprised of $9.0 million and $39.4 million of debt related interest and expenses, $3.9 million and $16.5 million of base management fees, $3.3 million and $13.9 million of incentive fees, $1.6 million and $5.7 million of general and administrative expenses and $0.7 million and $4.3 million of provision for excise taxes. For the three months and year ended September 30, 2022, expenses totaled $19.7 million and $61.0 million, respectively, and were comprised of $13.7 million and $33.8 million of debt related interest and expenses, $4.9 million and $19.8 million of base management fees, zero and $2.7 million of incentive fees, $1.0 million and $3.9 million of general and administrative expenses and $0.2 million and $0.8 million of provision for excise taxes, respectively. The increase in expenses over the prior year was primarily due to an increase in debt related interest and other financing expenses and an increase in incentive fees.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Net Investment Income</w:t>
      </w:r>
    </w:p>
    <w:p>
      <w:pPr>
        <w:pStyle w:val="TextBody"/>
        <w:bidi w:val="0"/>
        <w:jc w:val="both"/>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the three months and year ended September 30, 2023, net investment income totaled $15.6 million and $65.5 million, or $0.24 per share and $1.00 per share, respectively. For the three months and year ended September 30, 2022, net investment income totaled $9.2 million and $43.9 million, or $0.14 per share and $0.66 per share, respectively. The increase in net investment income per share compared to the prior year was primarily due to an increase in investment income.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Net Realized Gains or Losses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For the three months and year ended September 30, 2023, net realized gains (losses) totaled $(5.2) million and $(156.8) million, respectively. For the three months and year ended September 30, 2022 net realized gains (losses) totaled $(38.7) million and $34.8 million, respectively. The change in realized gains or losses was primarily due to changes in the market conditions of our investments and the values at which they were realized, primarily due to realization of RAM Energy Holdings LLC, and the fluctuations in the market and in economy.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Unrealized Appreciation or Depreciation on Investments and Debt</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For the three months ended and year ended September 30, 2023, net change in unrealized appreciation (depreciation) on investments was $2.5 million and $59.6 million, respectively. For the three months and year ended September 30, 2022, net change in unrealized appreciation (depreciation) on investments was $(11.0) million and $(110.0) million, respectively. As of September 30, 2023 and September 30, 2022, our net unrealized appreciation (depreciation) on investments totaled $(16.3) million and $(75.7) million, respectively. The net change in unrealized appreciation or depreciation on our investments for the year ended September 30, 2023 compared to the prior year was primarily due to changes in the capital market of our investments and the value at which they were realized, as well as due to the realization of RAM Energy Holdings LLC and the fluctuation in the market and in the economy.</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For the three months and year ended September 30, 2023, our Credit Facility had a net change in unrealized (appreciation) depreciation of $(1.3) million and $(3.8) million, respectively. For the three months and year ended September 30, 2022, the Credit Facility had a net change in unrealized (appreciation) depreciation of $(1.7) million and $7.5 million, respectively. As of September 30, 2023 and September 30, 2022, the net unrealized depreciation on the Credit Facility totaled $5.5 million and $9.2 million, respectively. The net change in unrealized appreciation or depreciation compared to the same periods in the prior year was primarily due to changes in the capital markets.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Net Increase (Decrease) in Net Assets Resulting from Operations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For the three months and year ended September 30, 2023, net increase (decrease) in net assets resulting from operations totaled $12.3 million and $(33.8) million, or $0.19 per share and $(0.52) per share, respectively. For the three months and year ended September 30, 2022, net increase (decrease) in net assets resulting from operations totaled $(34.9) million and $(24.7) million, or $(0.52) and $(0.37) per share, respectively. The increase or decrease for the year ended September 30, 2023 compared to the prior year was primarily due to depreciation of the portfolio primarily driven by changes in market conditions.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of our portfolio and proceeds from public and private offerings of securities to finance our investment objectives and operations.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of September 30, 2023 and 2022, we had $212.4 million and $385.9 million in outstanding borrowings under the Credit Facility, respectively, and the weighted average interest rate was 7.7% and 5.3%, respectively. As of September 30, 2023 and 2022, we had $262.6 million and $114.1 million of unused borrowing capacity under the Credit Facility, respectively, subject to leverage and borrowing base restrictions.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of September 30, 2023 and 2022, we had cash and cash equivalents of $134.4 million and $52.7 million, respectively, available for investing and general corporate purposes. We believe our liquidity and capital resources are sufficient to allow us to effectively operate our business.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For the year ended September 30, 2023, our operating activities provided cash of $320.7 million and our financing activities used cash of $239.2 million. Our operating activities provided cash primarily due to our investment activities and our financing activities used cash primarily to fund repayments under the Credit Facility.</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For the year ended September 30, 2022, our operating activities used cash of $19.4 million, and our financing activities provided cash of $52.0 million. Our operating activities used cash primarily due to our investment activities and our financing activities provided cash primarily due to net repayment under the Credit Facility and SBA debentures and proceeds from our 2026-2 Notes.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DISTRIBUTIONS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During the three months and year ended September 30, 2023, we declared distributions of $0.21 and $0.76 per share, for total distributions of $13.7 million and $49.6 million, respectively. For the three and year ended September 30, 2022, we declared distributions of $0.15 and $0.56 per share, for total distributions of $9.8 million and $36.6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For the period subsequent to September 30, 2023 through November 10, 2023, we invested $126.7 million in 4 new and 19 existing portfolio companies at a weighted average yield on debt investments of 11.9%.</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 xml:space="preserve">The Company makes available on its website its annual report on Form 10-K filed with the SEC and stockholders may find the report on our website at </w:t>
      </w:r>
      <w:r>
        <w:rPr>
          <w:rFonts w:ascii="Times New Roman" w:hAnsi="Times New Roman"/>
          <w:b w:val="false"/>
          <w:sz w:val="20"/>
        </w:rPr>
        <w:t>www.pennantpark.com</w:t>
      </w:r>
      <w:r>
        <w:rPr>
          <w:rFonts w:ascii="Times New Roman" w:hAnsi="Times New Roman"/>
          <w:b w:val="false"/>
          <w:color w:val="000000"/>
          <w:sz w:val="20"/>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PENNANTPARK INVESTMENT CORPORATION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ASSETS AND LIABILITIES</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891"/>
        <w:gridCol w:w="146"/>
        <w:gridCol w:w="272"/>
        <w:gridCol w:w="1149"/>
        <w:gridCol w:w="166"/>
        <w:gridCol w:w="146"/>
        <w:gridCol w:w="272"/>
        <w:gridCol w:w="1149"/>
        <w:gridCol w:w="1014"/>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58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21" w:type="dxa"/>
            <w:gridSpan w:val="2"/>
            <w:tcBorders/>
            <w:shd w:fill="FFFFFF" w:val="clear"/>
            <w:vAlign w:val="center"/>
          </w:tcPr>
          <w:p>
            <w:pPr>
              <w:pStyle w:val="TableContents"/>
              <w:bidi w:val="0"/>
              <w:spacing w:before="0" w:after="283"/>
              <w:jc w:val="center"/>
              <w:rPr/>
            </w:pPr>
            <w:r>
              <w:rPr/>
              <w:t> </w:t>
            </w:r>
          </w:p>
        </w:tc>
        <w:tc>
          <w:tcPr>
            <w:tcW w:w="1014" w:type="dxa"/>
            <w:tcBorders/>
            <w:shd w:fill="FFFFFF" w:val="clear"/>
            <w:vAlign w:val="center"/>
          </w:tcPr>
          <w:p>
            <w:pPr>
              <w:pStyle w:val="TableContents"/>
              <w:bidi w:val="0"/>
              <w:spacing w:before="0" w:after="283"/>
              <w:jc w:val="center"/>
              <w:rPr/>
            </w:pPr>
            <w:r>
              <w:rPr/>
              <w:t> </w:t>
            </w:r>
          </w:p>
        </w:tc>
      </w:tr>
      <w:tr>
        <w:trPr/>
        <w:tc>
          <w:tcPr>
            <w:tcW w:w="58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CECFF" w:val="clear"/>
            <w:vAlign w:val="center"/>
          </w:tcPr>
          <w:p>
            <w:pPr>
              <w:pStyle w:val="TableContents"/>
              <w:bidi w:val="0"/>
              <w:spacing w:before="0" w:after="283"/>
              <w:jc w:val="right"/>
              <w:rPr/>
            </w:pPr>
            <w:r>
              <w:rPr/>
              <w:t> </w:t>
            </w:r>
          </w:p>
        </w:tc>
        <w:tc>
          <w:tcPr>
            <w:tcW w:w="1421"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21" w:type="dxa"/>
            <w:gridSpan w:val="2"/>
            <w:tcBorders/>
            <w:shd w:fill="CCECFF" w:val="clear"/>
            <w:vAlign w:val="center"/>
          </w:tcPr>
          <w:p>
            <w:pPr>
              <w:pStyle w:val="TableContents"/>
              <w:bidi w:val="0"/>
              <w:spacing w:before="0" w:after="283"/>
              <w:jc w:val="right"/>
              <w:rPr/>
            </w:pPr>
            <w:r>
              <w:rPr/>
              <w:t> </w:t>
            </w:r>
          </w:p>
        </w:tc>
        <w:tc>
          <w:tcPr>
            <w:tcW w:w="1014" w:type="dxa"/>
            <w:tcBorders/>
            <w:shd w:fill="CCECFF" w:val="clear"/>
            <w:vAlign w:val="center"/>
          </w:tcPr>
          <w:p>
            <w:pPr>
              <w:pStyle w:val="TableContents"/>
              <w:bidi w:val="0"/>
              <w:spacing w:before="0" w:after="283"/>
              <w:jc w:val="righ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Investments at fair value</w:t>
            </w:r>
          </w:p>
        </w:tc>
        <w:tc>
          <w:tcPr>
            <w:tcW w:w="146" w:type="dxa"/>
            <w:tcBorders/>
            <w:shd w:fill="FFFFFF" w:val="clear"/>
            <w:vAlign w:val="center"/>
          </w:tcPr>
          <w:p>
            <w:pPr>
              <w:pStyle w:val="TableContents"/>
              <w:bidi w:val="0"/>
              <w:spacing w:before="0" w:after="283"/>
              <w:jc w:val="right"/>
              <w:rPr/>
            </w:pPr>
            <w:r>
              <w:rPr/>
              <w:t> </w:t>
            </w:r>
          </w:p>
        </w:tc>
        <w:tc>
          <w:tcPr>
            <w:tcW w:w="14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21" w:type="dxa"/>
            <w:gridSpan w:val="2"/>
            <w:tcBorders/>
            <w:shd w:fill="FFFFFF" w:val="clear"/>
            <w:vAlign w:val="center"/>
          </w:tcPr>
          <w:p>
            <w:pPr>
              <w:pStyle w:val="TableContents"/>
              <w:bidi w:val="0"/>
              <w:spacing w:before="0" w:after="283"/>
              <w:jc w:val="right"/>
              <w:rPr/>
            </w:pPr>
            <w:r>
              <w:rPr/>
              <w:t> </w:t>
            </w:r>
          </w:p>
        </w:tc>
        <w:tc>
          <w:tcPr>
            <w:tcW w:w="1014" w:type="dxa"/>
            <w:tcBorders/>
            <w:shd w:fill="FFFFFF" w:val="clear"/>
            <w:vAlign w:val="center"/>
          </w:tcPr>
          <w:p>
            <w:pPr>
              <w:pStyle w:val="TableContents"/>
              <w:bidi w:val="0"/>
              <w:spacing w:before="0" w:after="283"/>
              <w:ind w:left="0" w:right="0" w:firstLine="200"/>
              <w:jc w:val="right"/>
              <w:rPr/>
            </w:pPr>
            <w:r>
              <w:rPr/>
              <w:t> </w:t>
            </w:r>
          </w:p>
        </w:tc>
      </w:tr>
      <w:tr>
        <w:trPr/>
        <w:tc>
          <w:tcPr>
            <w:tcW w:w="5891"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Non-controlled, non-affiliated investments (amortized cost—$716,987 and $882,513, respectively)</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731,058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932,155</w:t>
            </w:r>
          </w:p>
        </w:tc>
        <w:tc>
          <w:tcPr>
            <w:tcW w:w="1014" w:type="dxa"/>
            <w:tcBorders/>
            <w:shd w:fill="CCECFF" w:val="clear"/>
            <w:vAlign w:val="center"/>
          </w:tcPr>
          <w:p>
            <w:pPr>
              <w:pStyle w:val="TableContents"/>
              <w:bidi w:val="0"/>
              <w:spacing w:before="0" w:after="283"/>
              <w:ind w:left="0" w:right="0" w:firstLine="200"/>
              <w:jc w:val="left"/>
              <w:rPr/>
            </w:pPr>
            <w:r>
              <w:rPr/>
              <w:t> </w:t>
            </w:r>
          </w:p>
        </w:tc>
      </w:tr>
      <w:tr>
        <w:trPr/>
        <w:tc>
          <w:tcPr>
            <w:tcW w:w="58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Non-controlled, affiliated investments (amortized cost—$55,787 and $37,612, respectively)</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54,771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34,760</w:t>
            </w:r>
          </w:p>
        </w:tc>
        <w:tc>
          <w:tcPr>
            <w:tcW w:w="1014" w:type="dxa"/>
            <w:tcBorders/>
            <w:shd w:fill="FFFFFF" w:val="clear"/>
            <w:vAlign w:val="center"/>
          </w:tcPr>
          <w:p>
            <w:pPr>
              <w:pStyle w:val="TableContents"/>
              <w:bidi w:val="0"/>
              <w:spacing w:before="0" w:after="283"/>
              <w:ind w:left="0" w:right="0" w:firstLine="200"/>
              <w:jc w:val="left"/>
              <w:rPr/>
            </w:pPr>
            <w:r>
              <w:rPr/>
              <w:t> </w:t>
            </w:r>
          </w:p>
        </w:tc>
      </w:tr>
      <w:tr>
        <w:trPr/>
        <w:tc>
          <w:tcPr>
            <w:tcW w:w="5891"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Controlled, affiliated investments (amortized cost—$245,386 and $381,904, respectively)</w:t>
            </w:r>
          </w:p>
        </w:tc>
        <w:tc>
          <w:tcPr>
            <w:tcW w:w="146" w:type="dxa"/>
            <w:tcBorders/>
            <w:shd w:fill="CCECFF" w:val="clear"/>
            <w:vAlign w:val="center"/>
          </w:tcPr>
          <w:p>
            <w:pPr>
              <w:pStyle w:val="TableContents"/>
              <w:bidi w:val="0"/>
              <w:spacing w:before="0" w:after="283"/>
              <w:jc w:val="right"/>
              <w:rPr/>
            </w:pPr>
            <w:r>
              <w:rPr/>
              <w:t> </w:t>
            </w:r>
          </w:p>
        </w:tc>
        <w:tc>
          <w:tcPr>
            <w:tcW w:w="2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216,068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259,386</w:t>
            </w:r>
          </w:p>
        </w:tc>
        <w:tc>
          <w:tcPr>
            <w:tcW w:w="1014"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investments (amortized cost—$1,018,160 and $1,302,029, respectively)</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1,001,897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1,226,301</w:t>
            </w:r>
          </w:p>
        </w:tc>
        <w:tc>
          <w:tcPr>
            <w:tcW w:w="1014" w:type="dxa"/>
            <w:tcBorders/>
            <w:shd w:fill="FFFFFF" w:val="cle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and cash equivalents (cost—$134,454 and $52,844, respectively)</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134,427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52,666</w:t>
            </w:r>
          </w:p>
        </w:tc>
        <w:tc>
          <w:tcPr>
            <w:tcW w:w="1014" w:type="dxa"/>
            <w:tcBorders/>
            <w:shd w:fill="CCECFF" w:val="cle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receivable</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3,593</w:t>
            </w:r>
          </w:p>
        </w:tc>
        <w:tc>
          <w:tcPr>
            <w:tcW w:w="1014" w:type="dxa"/>
            <w:tcBorders/>
            <w:shd w:fill="FFFFFF" w:val="cle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Receivable for investments sold</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29,494</w:t>
            </w:r>
          </w:p>
        </w:tc>
        <w:tc>
          <w:tcPr>
            <w:tcW w:w="1014" w:type="dxa"/>
            <w:tcBorders/>
            <w:shd w:fill="CCECFF" w:val="cle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Distribution receivable</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2,420</w:t>
            </w:r>
          </w:p>
        </w:tc>
        <w:tc>
          <w:tcPr>
            <w:tcW w:w="1014" w:type="dxa"/>
            <w:tcBorders/>
            <w:shd w:fill="FFFFFF" w:val="cle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Prepaid expenses and other assets</w:t>
            </w:r>
          </w:p>
        </w:tc>
        <w:tc>
          <w:tcPr>
            <w:tcW w:w="146" w:type="dxa"/>
            <w:tcBorders/>
            <w:shd w:fill="CCECFF" w:val="clear"/>
            <w:vAlign w:val="center"/>
          </w:tcPr>
          <w:p>
            <w:pPr>
              <w:pStyle w:val="TableContents"/>
              <w:bidi w:val="0"/>
              <w:spacing w:before="0" w:after="283"/>
              <w:jc w:val="right"/>
              <w:rPr/>
            </w:pPr>
            <w:r>
              <w:rPr/>
              <w:t> </w:t>
            </w:r>
          </w:p>
        </w:tc>
        <w:tc>
          <w:tcPr>
            <w:tcW w:w="2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4,656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4,036</w:t>
            </w:r>
          </w:p>
        </w:tc>
        <w:tc>
          <w:tcPr>
            <w:tcW w:w="1014"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891"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1,152,877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1,318,510</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CECFF" w:val="clear"/>
            <w:vAlign w:val="center"/>
          </w:tcPr>
          <w:p>
            <w:pPr>
              <w:pStyle w:val="TableContents"/>
              <w:bidi w:val="0"/>
              <w:spacing w:before="0" w:after="283"/>
              <w:jc w:val="right"/>
              <w:rPr/>
            </w:pPr>
            <w:r>
              <w:rPr/>
              <w:t> </w:t>
            </w:r>
          </w:p>
        </w:tc>
        <w:tc>
          <w:tcPr>
            <w:tcW w:w="1421"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21" w:type="dxa"/>
            <w:gridSpan w:val="2"/>
            <w:tcBorders/>
            <w:shd w:fill="CCECFF" w:val="clear"/>
            <w:vAlign w:val="center"/>
          </w:tcPr>
          <w:p>
            <w:pPr>
              <w:pStyle w:val="TableContents"/>
              <w:bidi w:val="0"/>
              <w:spacing w:before="0" w:after="283"/>
              <w:jc w:val="right"/>
              <w:rPr/>
            </w:pPr>
            <w:r>
              <w:rPr/>
              <w:t> </w:t>
            </w:r>
          </w:p>
        </w:tc>
        <w:tc>
          <w:tcPr>
            <w:tcW w:w="1014" w:type="dxa"/>
            <w:tcBorders/>
            <w:shd w:fill="CCECFF" w:val="clear"/>
            <w:vAlign w:val="center"/>
          </w:tcPr>
          <w:p>
            <w:pPr>
              <w:pStyle w:val="TableContents"/>
              <w:bidi w:val="0"/>
              <w:spacing w:before="0" w:after="283"/>
              <w:jc w:val="righ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Payable for cash equivalents purchased</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color w:val="000000"/>
              </w:rPr>
            </w:pPr>
            <w:r>
              <w:rPr>
                <w:color w:val="000000"/>
              </w:rPr>
              <w:t>—</w:t>
            </w:r>
          </w:p>
        </w:tc>
        <w:tc>
          <w:tcPr>
            <w:tcW w:w="1014" w:type="dxa"/>
            <w:tcBorders/>
            <w:shd w:fill="FFFFFF" w:val="cle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Payable for investment purchased</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color w:val="000000"/>
              </w:rPr>
            </w:pPr>
            <w:r>
              <w:rPr>
                <w:color w:val="000000"/>
              </w:rPr>
              <w:t>—</w:t>
            </w:r>
          </w:p>
        </w:tc>
        <w:tc>
          <w:tcPr>
            <w:tcW w:w="1014" w:type="dxa"/>
            <w:tcBorders/>
            <w:shd w:fill="CCECFF" w:val="cle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Distributions payable</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9,784</w:t>
            </w:r>
          </w:p>
        </w:tc>
        <w:tc>
          <w:tcPr>
            <w:tcW w:w="1014" w:type="dxa"/>
            <w:tcBorders/>
            <w:shd w:fill="FFFFFF" w:val="cle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Truist Credit Facility payable, at fair value (cost—$212,420 and $385,920, respectively)</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206,940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376,687</w:t>
            </w:r>
          </w:p>
        </w:tc>
        <w:tc>
          <w:tcPr>
            <w:tcW w:w="1014" w:type="dxa"/>
            <w:tcBorders/>
            <w:shd w:fill="CCECFF" w:val="cle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2026 Notes payable, net (par— $150,000)</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147,669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146,767</w:t>
            </w:r>
          </w:p>
        </w:tc>
        <w:tc>
          <w:tcPr>
            <w:tcW w:w="1014" w:type="dxa"/>
            <w:tcBorders/>
            <w:shd w:fill="FFFFFF" w:val="cle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2026 Notes-2 payable, net (par— $165,000)</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162,226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161,373</w:t>
            </w:r>
          </w:p>
        </w:tc>
        <w:tc>
          <w:tcPr>
            <w:tcW w:w="1014" w:type="dxa"/>
            <w:tcBorders/>
            <w:shd w:fill="CCECFF" w:val="cle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SBA debentures payable, net (par—zero and $20,000, respectively)</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19,686</w:t>
            </w:r>
          </w:p>
        </w:tc>
        <w:tc>
          <w:tcPr>
            <w:tcW w:w="1014" w:type="dxa"/>
            <w:tcBorders/>
            <w:shd w:fill="FFFFFF" w:val="cle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Base management fee payable</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3,915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4,849</w:t>
            </w:r>
          </w:p>
        </w:tc>
        <w:tc>
          <w:tcPr>
            <w:tcW w:w="1014" w:type="dxa"/>
            <w:tcBorders/>
            <w:shd w:fill="CCECFF" w:val="cle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Incentive fee payable</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color w:val="000000"/>
              </w:rPr>
            </w:pPr>
            <w:r>
              <w:rPr>
                <w:color w:val="000000"/>
              </w:rPr>
              <w:t>—</w:t>
            </w:r>
          </w:p>
        </w:tc>
        <w:tc>
          <w:tcPr>
            <w:tcW w:w="1014" w:type="dxa"/>
            <w:tcBorders/>
            <w:shd w:fill="FFFFFF" w:val="cle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payable on debt</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6,231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6,264</w:t>
            </w:r>
          </w:p>
        </w:tc>
        <w:tc>
          <w:tcPr>
            <w:tcW w:w="1014" w:type="dxa"/>
            <w:tcBorders/>
            <w:shd w:fill="CCECFF" w:val="cle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Accounts payable and accrued expenses</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6,639</w:t>
            </w:r>
          </w:p>
        </w:tc>
        <w:tc>
          <w:tcPr>
            <w:tcW w:w="1014" w:type="dxa"/>
            <w:tcBorders/>
            <w:shd w:fill="FFFFFF" w:val="cle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Deferred tax liability</w:t>
            </w:r>
          </w:p>
        </w:tc>
        <w:tc>
          <w:tcPr>
            <w:tcW w:w="146" w:type="dxa"/>
            <w:tcBorders/>
            <w:shd w:fill="CCECFF" w:val="clear"/>
            <w:vAlign w:val="center"/>
          </w:tcPr>
          <w:p>
            <w:pPr>
              <w:pStyle w:val="TableContents"/>
              <w:bidi w:val="0"/>
              <w:spacing w:before="0" w:after="283"/>
              <w:jc w:val="right"/>
              <w:rPr/>
            </w:pPr>
            <w:r>
              <w:rPr/>
              <w:t> </w:t>
            </w:r>
          </w:p>
        </w:tc>
        <w:tc>
          <w:tcPr>
            <w:tcW w:w="2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896</w:t>
            </w:r>
          </w:p>
        </w:tc>
        <w:tc>
          <w:tcPr>
            <w:tcW w:w="1014"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891"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650,690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732,945</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Commitments and contingencies</w:t>
            </w:r>
          </w:p>
        </w:tc>
        <w:tc>
          <w:tcPr>
            <w:tcW w:w="146" w:type="dxa"/>
            <w:tcBorders/>
            <w:shd w:fill="CCECFF" w:val="clear"/>
            <w:vAlign w:val="center"/>
          </w:tcPr>
          <w:p>
            <w:pPr>
              <w:pStyle w:val="TableContents"/>
              <w:bidi w:val="0"/>
              <w:spacing w:before="0" w:after="283"/>
              <w:jc w:val="right"/>
              <w:rPr/>
            </w:pPr>
            <w:r>
              <w:rPr/>
              <w:t> </w:t>
            </w:r>
          </w:p>
        </w:tc>
        <w:tc>
          <w:tcPr>
            <w:tcW w:w="1421"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21" w:type="dxa"/>
            <w:gridSpan w:val="2"/>
            <w:tcBorders/>
            <w:shd w:fill="CCECFF" w:val="clear"/>
            <w:vAlign w:val="center"/>
          </w:tcPr>
          <w:p>
            <w:pPr>
              <w:pStyle w:val="TableContents"/>
              <w:bidi w:val="0"/>
              <w:spacing w:before="0" w:after="283"/>
              <w:jc w:val="right"/>
              <w:rPr/>
            </w:pPr>
            <w:r>
              <w:rPr/>
              <w:t> </w:t>
            </w:r>
          </w:p>
        </w:tc>
        <w:tc>
          <w:tcPr>
            <w:tcW w:w="1014" w:type="dxa"/>
            <w:tcBorders/>
            <w:shd w:fill="CCECFF" w:val="clear"/>
            <w:vAlign w:val="center"/>
          </w:tcPr>
          <w:p>
            <w:pPr>
              <w:pStyle w:val="TableContents"/>
              <w:bidi w:val="0"/>
              <w:spacing w:before="0" w:after="283"/>
              <w:jc w:val="righ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vAlign w:val="center"/>
          </w:tcPr>
          <w:p>
            <w:pPr>
              <w:pStyle w:val="TableContents"/>
              <w:bidi w:val="0"/>
              <w:spacing w:before="0" w:after="283"/>
              <w:jc w:val="right"/>
              <w:rPr/>
            </w:pPr>
            <w:r>
              <w:rPr/>
              <w:t> </w:t>
            </w:r>
          </w:p>
        </w:tc>
        <w:tc>
          <w:tcPr>
            <w:tcW w:w="14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21" w:type="dxa"/>
            <w:gridSpan w:val="2"/>
            <w:tcBorders/>
            <w:shd w:fill="FFFFFF" w:val="clear"/>
            <w:vAlign w:val="center"/>
          </w:tcPr>
          <w:p>
            <w:pPr>
              <w:pStyle w:val="TableContents"/>
              <w:bidi w:val="0"/>
              <w:spacing w:before="0" w:after="283"/>
              <w:jc w:val="right"/>
              <w:rPr/>
            </w:pPr>
            <w:r>
              <w:rPr/>
              <w:t> </w:t>
            </w:r>
          </w:p>
        </w:tc>
        <w:tc>
          <w:tcPr>
            <w:tcW w:w="1014" w:type="dxa"/>
            <w:tcBorders/>
            <w:shd w:fill="FFFFFF" w:val="clear"/>
            <w:vAlign w:val="center"/>
          </w:tcPr>
          <w:p>
            <w:pPr>
              <w:pStyle w:val="TableContents"/>
              <w:bidi w:val="0"/>
              <w:spacing w:before="0" w:after="283"/>
              <w:jc w:val="righ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Common stock, 65,224,500 shares issued and outstanding,</w:t>
              <w:br/>
              <w:t>   Par value $0.001 per share and 100,000,000 shares authorized</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shd w:fill="CCECFF" w:val="clear"/>
            <w:vAlign w:val="center"/>
          </w:tcPr>
          <w:p>
            <w:pPr>
              <w:pStyle w:val="TableContents"/>
              <w:bidi w:val="0"/>
              <w:spacing w:before="0" w:after="283"/>
              <w:jc w:val="left"/>
              <w:rPr/>
            </w:pPr>
            <w:r>
              <w:rPr/>
              <w:t> </w:t>
            </w:r>
          </w:p>
        </w:tc>
        <w:tc>
          <w:tcPr>
            <w:tcW w:w="1149"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w:t>
            </w:r>
          </w:p>
        </w:tc>
        <w:tc>
          <w:tcPr>
            <w:tcW w:w="1014" w:type="dxa"/>
            <w:tcBorders/>
            <w:shd w:fill="CCECFF" w:val="cle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Paid-in capital in excess of par value</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748,169</w:t>
            </w:r>
          </w:p>
        </w:tc>
        <w:tc>
          <w:tcPr>
            <w:tcW w:w="1014" w:type="dxa"/>
            <w:tcBorders/>
            <w:shd w:fill="FFFFFF" w:val="clear"/>
            <w:vAlign w:val="center"/>
          </w:tcPr>
          <w:p>
            <w:pPr>
              <w:pStyle w:val="TableContents"/>
              <w:bidi w:val="0"/>
              <w:spacing w:before="0" w:after="283"/>
              <w:jc w:val="left"/>
              <w:rPr/>
            </w:pPr>
            <w:r>
              <w:rPr/>
              <w:t> </w:t>
            </w:r>
          </w:p>
        </w:tc>
      </w:tr>
      <w:tr>
        <w:trPr/>
        <w:tc>
          <w:tcPr>
            <w:tcW w:w="589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Accumulated deficit</w:t>
            </w:r>
          </w:p>
        </w:tc>
        <w:tc>
          <w:tcPr>
            <w:tcW w:w="146" w:type="dxa"/>
            <w:tcBorders/>
            <w:shd w:fill="CCECFF" w:val="clear"/>
            <w:vAlign w:val="center"/>
          </w:tcPr>
          <w:p>
            <w:pPr>
              <w:pStyle w:val="TableContents"/>
              <w:bidi w:val="0"/>
              <w:spacing w:before="0" w:after="283"/>
              <w:jc w:val="right"/>
              <w:rPr/>
            </w:pPr>
            <w:r>
              <w:rPr/>
              <w:t> </w:t>
            </w:r>
          </w:p>
        </w:tc>
        <w:tc>
          <w:tcPr>
            <w:tcW w:w="2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(244,344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2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(162,669</w:t>
            </w:r>
          </w:p>
        </w:tc>
        <w:tc>
          <w:tcPr>
            <w:tcW w:w="1014"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6"/>
              </w:rPr>
            </w:pPr>
            <w:r>
              <w:rPr>
                <w:rFonts w:ascii="Times New Roman" w:hAnsi="Times New Roman"/>
                <w:b w:val="false"/>
                <w:color w:val="000000"/>
                <w:sz w:val="16"/>
              </w:rPr>
              <w:t>)</w:t>
            </w:r>
          </w:p>
        </w:tc>
      </w:tr>
      <w:tr>
        <w:trPr/>
        <w:tc>
          <w:tcPr>
            <w:tcW w:w="5891"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502,187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585,565</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891" w:type="dxa"/>
            <w:tcBorders/>
            <w:shd w:fill="CCEC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CECFF" w:val="clear"/>
            <w:vAlign w:val="center"/>
          </w:tcPr>
          <w:p>
            <w:pPr>
              <w:pStyle w:val="TableContents"/>
              <w:bidi w:val="0"/>
              <w:spacing w:before="0" w:after="283"/>
              <w:jc w:val="right"/>
              <w:rPr/>
            </w:pPr>
            <w:r>
              <w:rPr/>
              <w:t> </w:t>
            </w:r>
          </w:p>
        </w:tc>
        <w:tc>
          <w:tcPr>
            <w:tcW w:w="2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4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1,152,877</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4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1,318,510</w:t>
            </w:r>
          </w:p>
        </w:tc>
        <w:tc>
          <w:tcPr>
            <w:tcW w:w="101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8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FFFFFF" w:val="cle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8.98</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PENNANTPARK INVESTMENT CORPORATION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977"/>
        <w:gridCol w:w="146"/>
        <w:gridCol w:w="235"/>
        <w:gridCol w:w="726"/>
        <w:gridCol w:w="166"/>
        <w:gridCol w:w="146"/>
        <w:gridCol w:w="196"/>
        <w:gridCol w:w="661"/>
        <w:gridCol w:w="166"/>
        <w:gridCol w:w="146"/>
        <w:gridCol w:w="200"/>
        <w:gridCol w:w="768"/>
        <w:gridCol w:w="166"/>
        <w:gridCol w:w="146"/>
        <w:gridCol w:w="196"/>
        <w:gridCol w:w="751"/>
        <w:gridCol w:w="413"/>
      </w:tblGrid>
      <w:tr>
        <w:trPr/>
        <w:tc>
          <w:tcPr>
            <w:tcW w:w="4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9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September 30,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7"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CECFF" w:val="clear"/>
            <w:vAlign w:val="center"/>
          </w:tcPr>
          <w:p>
            <w:pPr>
              <w:pStyle w:val="TableContents"/>
              <w:bidi w:val="0"/>
              <w:spacing w:before="0" w:after="283"/>
              <w:jc w:val="right"/>
              <w:rPr/>
            </w:pPr>
            <w:r>
              <w:rPr/>
              <w:t> </w:t>
            </w:r>
          </w:p>
        </w:tc>
        <w:tc>
          <w:tcPr>
            <w:tcW w:w="961"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57"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968"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947" w:type="dxa"/>
            <w:gridSpan w:val="2"/>
            <w:tcBorders/>
            <w:shd w:fill="CCECFF" w:val="clear"/>
            <w:vAlign w:val="center"/>
          </w:tcPr>
          <w:p>
            <w:pPr>
              <w:pStyle w:val="TableContents"/>
              <w:bidi w:val="0"/>
              <w:spacing w:before="0" w:after="283"/>
              <w:jc w:val="right"/>
              <w:rPr/>
            </w:pPr>
            <w:r>
              <w:rPr/>
              <w:t> </w:t>
            </w:r>
          </w:p>
        </w:tc>
        <w:tc>
          <w:tcPr>
            <w:tcW w:w="413" w:type="dxa"/>
            <w:tcBorders/>
            <w:shd w:fill="CCECFF" w:val="clear"/>
            <w:vAlign w:val="center"/>
          </w:tcPr>
          <w:p>
            <w:pPr>
              <w:pStyle w:val="TableContents"/>
              <w:bidi w:val="0"/>
              <w:spacing w:before="0" w:after="283"/>
              <w:jc w:val="right"/>
              <w:rPr/>
            </w:pPr>
            <w:r>
              <w:rPr/>
              <w:t> </w:t>
            </w:r>
          </w:p>
        </w:tc>
      </w:tr>
      <w:tr>
        <w:trPr/>
        <w:tc>
          <w:tcPr>
            <w:tcW w:w="497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From non-controlled, non-affiliated investments:</w:t>
            </w:r>
          </w:p>
        </w:tc>
        <w:tc>
          <w:tcPr>
            <w:tcW w:w="146" w:type="dxa"/>
            <w:tcBorders/>
            <w:shd w:fill="FFFFFF" w:val="clear"/>
            <w:vAlign w:val="center"/>
          </w:tcPr>
          <w:p>
            <w:pPr>
              <w:pStyle w:val="TableContents"/>
              <w:bidi w:val="0"/>
              <w:spacing w:before="0" w:after="283"/>
              <w:jc w:val="righ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w:t>
            </w:r>
          </w:p>
        </w:tc>
        <w:tc>
          <w:tcPr>
            <w:tcW w:w="146" w:type="dxa"/>
            <w:tcBorders/>
            <w:shd w:fill="CCECFF" w:val="clear"/>
            <w:vAlign w:val="center"/>
          </w:tcPr>
          <w:p>
            <w:pPr>
              <w:pStyle w:val="TableContents"/>
              <w:bidi w:val="0"/>
              <w:spacing w:before="0" w:after="283"/>
              <w:jc w:val="right"/>
              <w:rPr/>
            </w:pPr>
            <w:r>
              <w:rPr/>
              <w:t> </w:t>
            </w:r>
          </w:p>
        </w:tc>
        <w:tc>
          <w:tcPr>
            <w:tcW w:w="235"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26"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21,240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21,022</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8"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93,420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66,995</w:t>
            </w:r>
          </w:p>
        </w:tc>
        <w:tc>
          <w:tcPr>
            <w:tcW w:w="413" w:type="dxa"/>
            <w:tcBorders/>
            <w:shd w:fill="CCECFF" w:val="clear"/>
            <w:vAlign w:val="center"/>
          </w:tcPr>
          <w:p>
            <w:pPr>
              <w:pStyle w:val="TableContents"/>
              <w:bidi w:val="0"/>
              <w:spacing w:before="0" w:after="283"/>
              <w:ind w:left="0" w:right="0" w:firstLine="200"/>
              <w:jc w:val="lef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Payment-in-kind</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Dividend Income</w:t>
            </w:r>
          </w:p>
        </w:tc>
        <w:tc>
          <w:tcPr>
            <w:tcW w:w="146" w:type="dxa"/>
            <w:tcBorders/>
            <w:shd w:fill="CCECFF" w:val="clear"/>
            <w:vAlign w:val="center"/>
          </w:tcPr>
          <w:p>
            <w:pPr>
              <w:pStyle w:val="TableContents"/>
              <w:bidi w:val="0"/>
              <w:spacing w:before="0" w:after="283"/>
              <w:jc w:val="right"/>
              <w:rPr/>
            </w:pPr>
            <w:r>
              <w:rPr/>
              <w:t> </w:t>
            </w:r>
          </w:p>
        </w:tc>
        <w:tc>
          <w:tcPr>
            <w:tcW w:w="235" w:type="dxa"/>
            <w:tcBorders/>
            <w:shd w:fill="CCECFF" w:val="clear"/>
            <w:vAlign w:val="center"/>
          </w:tcPr>
          <w:p>
            <w:pPr>
              <w:pStyle w:val="TableContents"/>
              <w:bidi w:val="0"/>
              <w:spacing w:before="0" w:after="283"/>
              <w:jc w:val="left"/>
              <w:rPr/>
            </w:pPr>
            <w:r>
              <w:rPr/>
              <w:t> </w:t>
            </w:r>
          </w:p>
        </w:tc>
        <w:tc>
          <w:tcPr>
            <w:tcW w:w="726"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66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768"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13,945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51" w:type="dxa"/>
            <w:tcBorders/>
            <w:shd w:fill="CCECFF" w:val="clear"/>
            <w:vAlign w:val="center"/>
          </w:tcPr>
          <w:p>
            <w:pPr>
              <w:pStyle w:val="TableContents"/>
              <w:bidi w:val="0"/>
              <w:spacing w:before="0" w:after="283"/>
              <w:jc w:val="right"/>
              <w:rPr>
                <w:color w:val="000000"/>
              </w:rPr>
            </w:pPr>
            <w:r>
              <w:rPr>
                <w:color w:val="000000"/>
              </w:rPr>
              <w:t>—</w:t>
            </w:r>
          </w:p>
        </w:tc>
        <w:tc>
          <w:tcPr>
            <w:tcW w:w="413" w:type="dxa"/>
            <w:tcBorders/>
            <w:shd w:fill="CCECFF" w:val="clear"/>
            <w:vAlign w:val="center"/>
          </w:tcPr>
          <w:p>
            <w:pPr>
              <w:pStyle w:val="TableContents"/>
              <w:bidi w:val="0"/>
              <w:spacing w:before="0" w:after="283"/>
              <w:ind w:left="0" w:right="0" w:firstLine="200"/>
              <w:jc w:val="lef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income</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8,461</w:t>
            </w:r>
          </w:p>
        </w:tc>
        <w:tc>
          <w:tcPr>
            <w:tcW w:w="413" w:type="dxa"/>
            <w:tcBorders/>
            <w:shd w:fill="FFFFFF" w:val="clear"/>
            <w:vAlign w:val="center"/>
          </w:tcPr>
          <w:p>
            <w:pPr>
              <w:pStyle w:val="TableContents"/>
              <w:bidi w:val="0"/>
              <w:spacing w:before="0" w:after="283"/>
              <w:jc w:val="left"/>
              <w:rPr/>
            </w:pPr>
            <w:r>
              <w:rPr/>
              <w:t> </w:t>
            </w:r>
          </w:p>
        </w:tc>
      </w:tr>
      <w:tr>
        <w:trPr/>
        <w:tc>
          <w:tcPr>
            <w:tcW w:w="4977"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From non-controlled, affiliated investments:</w:t>
            </w:r>
          </w:p>
        </w:tc>
        <w:tc>
          <w:tcPr>
            <w:tcW w:w="146" w:type="dxa"/>
            <w:tcBorders/>
            <w:shd w:fill="CCECFF" w:val="clear"/>
            <w:vAlign w:val="center"/>
          </w:tcPr>
          <w:p>
            <w:pPr>
              <w:pStyle w:val="TableContents"/>
              <w:bidi w:val="0"/>
              <w:spacing w:before="0" w:after="283"/>
              <w:jc w:val="right"/>
              <w:rPr/>
            </w:pPr>
            <w:r>
              <w:rPr/>
              <w:t> </w:t>
            </w:r>
          </w:p>
        </w:tc>
        <w:tc>
          <w:tcPr>
            <w:tcW w:w="961"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57"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968"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947" w:type="dxa"/>
            <w:gridSpan w:val="2"/>
            <w:tcBorders/>
            <w:shd w:fill="CCECFF" w:val="clear"/>
            <w:vAlign w:val="center"/>
          </w:tcPr>
          <w:p>
            <w:pPr>
              <w:pStyle w:val="TableContents"/>
              <w:bidi w:val="0"/>
              <w:spacing w:before="0" w:after="283"/>
              <w:jc w:val="right"/>
              <w:rPr/>
            </w:pPr>
            <w:r>
              <w:rPr/>
              <w:t> </w:t>
            </w:r>
          </w:p>
        </w:tc>
        <w:tc>
          <w:tcPr>
            <w:tcW w:w="413" w:type="dxa"/>
            <w:tcBorders/>
            <w:shd w:fill="CCECFF" w:val="clear"/>
            <w:vAlign w:val="center"/>
          </w:tcPr>
          <w:p>
            <w:pPr>
              <w:pStyle w:val="TableContents"/>
              <w:bidi w:val="0"/>
              <w:spacing w:before="0" w:after="283"/>
              <w:ind w:left="0" w:right="0" w:firstLine="200"/>
              <w:jc w:val="righ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1,361</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Payment-in-kind</w:t>
            </w:r>
          </w:p>
        </w:tc>
        <w:tc>
          <w:tcPr>
            <w:tcW w:w="146" w:type="dxa"/>
            <w:tcBorders/>
            <w:shd w:fill="CCECFF" w:val="clear"/>
            <w:vAlign w:val="center"/>
          </w:tcPr>
          <w:p>
            <w:pPr>
              <w:pStyle w:val="TableContents"/>
              <w:bidi w:val="0"/>
              <w:spacing w:before="0" w:after="283"/>
              <w:jc w:val="right"/>
              <w:rPr/>
            </w:pPr>
            <w:r>
              <w:rPr/>
              <w:t> </w:t>
            </w:r>
          </w:p>
        </w:tc>
        <w:tc>
          <w:tcPr>
            <w:tcW w:w="235" w:type="dxa"/>
            <w:tcBorders/>
            <w:shd w:fill="CCECFF" w:val="clear"/>
            <w:vAlign w:val="center"/>
          </w:tcPr>
          <w:p>
            <w:pPr>
              <w:pStyle w:val="TableContents"/>
              <w:bidi w:val="0"/>
              <w:spacing w:before="0" w:after="283"/>
              <w:jc w:val="left"/>
              <w:rPr/>
            </w:pPr>
            <w:r>
              <w:rPr/>
              <w:t> </w:t>
            </w:r>
          </w:p>
        </w:tc>
        <w:tc>
          <w:tcPr>
            <w:tcW w:w="726"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66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768"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51" w:type="dxa"/>
            <w:tcBorders/>
            <w:shd w:fill="CCECFF" w:val="clear"/>
            <w:vAlign w:val="center"/>
          </w:tcPr>
          <w:p>
            <w:pPr>
              <w:pStyle w:val="TableContents"/>
              <w:bidi w:val="0"/>
              <w:spacing w:before="0" w:after="283"/>
              <w:jc w:val="right"/>
              <w:rPr>
                <w:color w:val="000000"/>
              </w:rPr>
            </w:pPr>
            <w:r>
              <w:rPr>
                <w:color w:val="000000"/>
              </w:rPr>
              <w:t>—</w:t>
            </w:r>
          </w:p>
        </w:tc>
        <w:tc>
          <w:tcPr>
            <w:tcW w:w="413" w:type="dxa"/>
            <w:tcBorders/>
            <w:shd w:fill="CCECFF" w:val="clear"/>
            <w:vAlign w:val="center"/>
          </w:tcPr>
          <w:p>
            <w:pPr>
              <w:pStyle w:val="TableContents"/>
              <w:bidi w:val="0"/>
              <w:spacing w:before="0" w:after="283"/>
              <w:jc w:val="left"/>
              <w:rPr/>
            </w:pPr>
            <w:r>
              <w:rPr/>
              <w:t> </w:t>
            </w:r>
          </w:p>
        </w:tc>
      </w:tr>
      <w:tr>
        <w:trPr/>
        <w:tc>
          <w:tcPr>
            <w:tcW w:w="497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From controlled, affiliated investments:</w:t>
            </w:r>
          </w:p>
        </w:tc>
        <w:tc>
          <w:tcPr>
            <w:tcW w:w="146" w:type="dxa"/>
            <w:tcBorders/>
            <w:shd w:fill="FFFFFF" w:val="clear"/>
            <w:vAlign w:val="center"/>
          </w:tcPr>
          <w:p>
            <w:pPr>
              <w:pStyle w:val="TableContents"/>
              <w:bidi w:val="0"/>
              <w:spacing w:before="0" w:after="283"/>
              <w:jc w:val="righ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w:t>
            </w:r>
          </w:p>
        </w:tc>
        <w:tc>
          <w:tcPr>
            <w:tcW w:w="146" w:type="dxa"/>
            <w:tcBorders/>
            <w:shd w:fill="CCECFF" w:val="clear"/>
            <w:vAlign w:val="center"/>
          </w:tcPr>
          <w:p>
            <w:pPr>
              <w:pStyle w:val="TableContents"/>
              <w:bidi w:val="0"/>
              <w:spacing w:before="0" w:after="283"/>
              <w:jc w:val="right"/>
              <w:rPr/>
            </w:pPr>
            <w:r>
              <w:rPr/>
              <w:t> </w:t>
            </w:r>
          </w:p>
        </w:tc>
        <w:tc>
          <w:tcPr>
            <w:tcW w:w="235" w:type="dxa"/>
            <w:tcBorders/>
            <w:shd w:fill="CCECFF" w:val="clear"/>
            <w:vAlign w:val="center"/>
          </w:tcPr>
          <w:p>
            <w:pPr>
              <w:pStyle w:val="TableContents"/>
              <w:bidi w:val="0"/>
              <w:spacing w:before="0" w:after="283"/>
              <w:jc w:val="left"/>
              <w:rPr/>
            </w:pPr>
            <w:r>
              <w:rPr/>
              <w:t> </w:t>
            </w:r>
          </w:p>
        </w:tc>
        <w:tc>
          <w:tcPr>
            <w:tcW w:w="726"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4,527</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66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3,283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768"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15,425</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5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10,586</w:t>
            </w:r>
          </w:p>
        </w:tc>
        <w:tc>
          <w:tcPr>
            <w:tcW w:w="413" w:type="dxa"/>
            <w:tcBorders/>
            <w:shd w:fill="CCECFF" w:val="clear"/>
            <w:vAlign w:val="center"/>
          </w:tcPr>
          <w:p>
            <w:pPr>
              <w:pStyle w:val="TableContents"/>
              <w:bidi w:val="0"/>
              <w:spacing w:before="0" w:after="283"/>
              <w:ind w:left="0" w:right="0" w:firstLine="200"/>
              <w:jc w:val="lef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Payment-in-kind</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3,983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Dividend Income</w:t>
            </w:r>
          </w:p>
        </w:tc>
        <w:tc>
          <w:tcPr>
            <w:tcW w:w="146" w:type="dxa"/>
            <w:tcBorders/>
            <w:shd w:fill="CCECFF" w:val="clear"/>
            <w:vAlign w:val="center"/>
          </w:tcPr>
          <w:p>
            <w:pPr>
              <w:pStyle w:val="TableContents"/>
              <w:bidi w:val="0"/>
              <w:spacing w:before="0" w:after="283"/>
              <w:jc w:val="right"/>
              <w:rPr/>
            </w:pPr>
            <w:r>
              <w:rPr/>
              <w:t> </w:t>
            </w:r>
          </w:p>
        </w:tc>
        <w:tc>
          <w:tcPr>
            <w:tcW w:w="2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2,420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15,730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9,075</w:t>
            </w:r>
          </w:p>
        </w:tc>
        <w:tc>
          <w:tcPr>
            <w:tcW w:w="41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104,966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7"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CCECFF" w:val="clear"/>
            <w:vAlign w:val="center"/>
          </w:tcPr>
          <w:p>
            <w:pPr>
              <w:pStyle w:val="TableContents"/>
              <w:bidi w:val="0"/>
              <w:spacing w:before="0" w:after="283"/>
              <w:jc w:val="right"/>
              <w:rPr/>
            </w:pPr>
            <w:r>
              <w:rPr/>
              <w:t> </w:t>
            </w:r>
          </w:p>
        </w:tc>
        <w:tc>
          <w:tcPr>
            <w:tcW w:w="961"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57"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968"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947" w:type="dxa"/>
            <w:gridSpan w:val="2"/>
            <w:tcBorders/>
            <w:shd w:fill="CCECFF" w:val="clear"/>
            <w:vAlign w:val="center"/>
          </w:tcPr>
          <w:p>
            <w:pPr>
              <w:pStyle w:val="TableContents"/>
              <w:bidi w:val="0"/>
              <w:spacing w:before="0" w:after="283"/>
              <w:jc w:val="right"/>
              <w:rPr/>
            </w:pPr>
            <w:r>
              <w:rPr/>
              <w:t> </w:t>
            </w:r>
          </w:p>
        </w:tc>
        <w:tc>
          <w:tcPr>
            <w:tcW w:w="413" w:type="dxa"/>
            <w:tcBorders/>
            <w:shd w:fill="CCECFF" w:val="clear"/>
            <w:vAlign w:val="center"/>
          </w:tcPr>
          <w:p>
            <w:pPr>
              <w:pStyle w:val="TableContents"/>
              <w:bidi w:val="0"/>
              <w:spacing w:before="0" w:after="283"/>
              <w:ind w:left="0" w:right="0" w:firstLine="200"/>
              <w:jc w:val="righ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Base management fee</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19,827</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Incentive fee</w:t>
            </w:r>
          </w:p>
        </w:tc>
        <w:tc>
          <w:tcPr>
            <w:tcW w:w="146" w:type="dxa"/>
            <w:tcBorders/>
            <w:shd w:fill="CCECFF" w:val="clear"/>
            <w:vAlign w:val="center"/>
          </w:tcPr>
          <w:p>
            <w:pPr>
              <w:pStyle w:val="TableContents"/>
              <w:bidi w:val="0"/>
              <w:spacing w:before="0" w:after="283"/>
              <w:jc w:val="right"/>
              <w:rPr/>
            </w:pPr>
            <w:r>
              <w:rPr/>
              <w:t> </w:t>
            </w:r>
          </w:p>
        </w:tc>
        <w:tc>
          <w:tcPr>
            <w:tcW w:w="235" w:type="dxa"/>
            <w:tcBorders/>
            <w:shd w:fill="CCECFF" w:val="clear"/>
            <w:vAlign w:val="center"/>
          </w:tcPr>
          <w:p>
            <w:pPr>
              <w:pStyle w:val="TableContents"/>
              <w:bidi w:val="0"/>
              <w:spacing w:before="0" w:after="283"/>
              <w:jc w:val="left"/>
              <w:rPr/>
            </w:pPr>
            <w:r>
              <w:rPr/>
              <w:t> </w:t>
            </w:r>
          </w:p>
        </w:tc>
        <w:tc>
          <w:tcPr>
            <w:tcW w:w="726"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3,310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66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768"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13,901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5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2,657</w:t>
            </w:r>
          </w:p>
        </w:tc>
        <w:tc>
          <w:tcPr>
            <w:tcW w:w="413" w:type="dxa"/>
            <w:tcBorders/>
            <w:shd w:fill="CCECFF" w:val="clear"/>
            <w:vAlign w:val="center"/>
          </w:tcPr>
          <w:p>
            <w:pPr>
              <w:pStyle w:val="TableContents"/>
              <w:bidi w:val="0"/>
              <w:spacing w:before="0" w:after="283"/>
              <w:ind w:left="0" w:right="0" w:firstLine="200"/>
              <w:jc w:val="lef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 and expenses on debt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39,408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28,760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Administrative services expenses</w:t>
            </w:r>
          </w:p>
        </w:tc>
        <w:tc>
          <w:tcPr>
            <w:tcW w:w="146" w:type="dxa"/>
            <w:tcBorders/>
            <w:shd w:fill="CCECFF" w:val="clear"/>
            <w:vAlign w:val="center"/>
          </w:tcPr>
          <w:p>
            <w:pPr>
              <w:pStyle w:val="TableContents"/>
              <w:bidi w:val="0"/>
              <w:spacing w:before="0" w:after="283"/>
              <w:jc w:val="right"/>
              <w:rPr/>
            </w:pPr>
            <w:r>
              <w:rPr/>
              <w:t> </w:t>
            </w:r>
          </w:p>
        </w:tc>
        <w:tc>
          <w:tcPr>
            <w:tcW w:w="235" w:type="dxa"/>
            <w:tcBorders/>
            <w:shd w:fill="CCECFF" w:val="clear"/>
            <w:vAlign w:val="center"/>
          </w:tcPr>
          <w:p>
            <w:pPr>
              <w:pStyle w:val="TableContents"/>
              <w:bidi w:val="0"/>
              <w:spacing w:before="0" w:after="283"/>
              <w:jc w:val="left"/>
              <w:rPr/>
            </w:pPr>
            <w:r>
              <w:rPr/>
              <w:t> </w:t>
            </w:r>
          </w:p>
        </w:tc>
        <w:tc>
          <w:tcPr>
            <w:tcW w:w="726"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469</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66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768"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5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w:t>
            </w:r>
          </w:p>
        </w:tc>
        <w:tc>
          <w:tcPr>
            <w:tcW w:w="413" w:type="dxa"/>
            <w:tcBorders/>
            <w:shd w:fill="CCECFF" w:val="clear"/>
            <w:vAlign w:val="center"/>
          </w:tcPr>
          <w:p>
            <w:pPr>
              <w:pStyle w:val="TableContents"/>
              <w:bidi w:val="0"/>
              <w:spacing w:before="0" w:after="283"/>
              <w:ind w:left="0" w:right="0" w:firstLine="200"/>
              <w:jc w:val="lef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General and administrative expenses</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2,892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Expenses before provision for taxes and financing costs</w:t>
            </w:r>
          </w:p>
        </w:tc>
        <w:tc>
          <w:tcPr>
            <w:tcW w:w="146" w:type="dxa"/>
            <w:tcBorders/>
            <w:shd w:fill="CCECFF" w:val="clear"/>
            <w:vAlign w:val="center"/>
          </w:tcPr>
          <w:p>
            <w:pPr>
              <w:pStyle w:val="TableContents"/>
              <w:bidi w:val="0"/>
              <w:spacing w:before="0" w:after="283"/>
              <w:jc w:val="right"/>
              <w:rPr/>
            </w:pPr>
            <w:r>
              <w:rPr/>
              <w:t> </w:t>
            </w:r>
          </w:p>
        </w:tc>
        <w:tc>
          <w:tcPr>
            <w:tcW w:w="2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17,776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14,461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75,538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55,136</w:t>
            </w:r>
          </w:p>
        </w:tc>
        <w:tc>
          <w:tcPr>
            <w:tcW w:w="41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Provision for taxes on net investment income</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Credit facility amendment and debt issuance costs</w:t>
            </w:r>
          </w:p>
        </w:tc>
        <w:tc>
          <w:tcPr>
            <w:tcW w:w="146" w:type="dxa"/>
            <w:tcBorders/>
            <w:shd w:fill="CCECFF" w:val="clear"/>
            <w:vAlign w:val="center"/>
          </w:tcPr>
          <w:p>
            <w:pPr>
              <w:pStyle w:val="TableContents"/>
              <w:bidi w:val="0"/>
              <w:spacing w:before="0" w:after="283"/>
              <w:jc w:val="right"/>
              <w:rPr/>
            </w:pPr>
            <w:r>
              <w:rPr/>
              <w:t> </w:t>
            </w:r>
          </w:p>
        </w:tc>
        <w:tc>
          <w:tcPr>
            <w:tcW w:w="2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5,087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5,087</w:t>
            </w:r>
          </w:p>
        </w:tc>
        <w:tc>
          <w:tcPr>
            <w:tcW w:w="41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Total expenses</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61,023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CECFF" w:val="clear"/>
            <w:vAlign w:val="center"/>
          </w:tcPr>
          <w:p>
            <w:pPr>
              <w:pStyle w:val="TableContents"/>
              <w:bidi w:val="0"/>
              <w:spacing w:before="0" w:after="283"/>
              <w:jc w:val="right"/>
              <w:rPr/>
            </w:pPr>
            <w:r>
              <w:rPr/>
              <w:t> </w:t>
            </w:r>
          </w:p>
        </w:tc>
        <w:tc>
          <w:tcPr>
            <w:tcW w:w="2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15,605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9,183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65,533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43,943</w:t>
            </w:r>
          </w:p>
        </w:tc>
        <w:tc>
          <w:tcPr>
            <w:tcW w:w="41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97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and unrealized gain (loss) on investments and debt:</w:t>
            </w:r>
          </w:p>
        </w:tc>
        <w:tc>
          <w:tcPr>
            <w:tcW w:w="146" w:type="dxa"/>
            <w:tcBorders/>
            <w:shd w:fill="FFFFFF" w:val="clear"/>
            <w:vAlign w:val="center"/>
          </w:tcPr>
          <w:p>
            <w:pPr>
              <w:pStyle w:val="TableContents"/>
              <w:bidi w:val="0"/>
              <w:spacing w:before="0" w:after="283"/>
              <w:jc w:val="righ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jc w:val="right"/>
              <w:rPr/>
            </w:pPr>
            <w:r>
              <w:rPr/>
              <w:t> </w:t>
            </w:r>
          </w:p>
        </w:tc>
      </w:tr>
      <w:tr>
        <w:trPr/>
        <w:tc>
          <w:tcPr>
            <w:tcW w:w="4977"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realized gain (loss) on investments and debt:</w:t>
            </w:r>
          </w:p>
        </w:tc>
        <w:tc>
          <w:tcPr>
            <w:tcW w:w="146" w:type="dxa"/>
            <w:tcBorders/>
            <w:shd w:fill="CCECFF" w:val="clear"/>
            <w:vAlign w:val="center"/>
          </w:tcPr>
          <w:p>
            <w:pPr>
              <w:pStyle w:val="TableContents"/>
              <w:bidi w:val="0"/>
              <w:spacing w:before="0" w:after="283"/>
              <w:jc w:val="right"/>
              <w:rPr/>
            </w:pPr>
            <w:r>
              <w:rPr/>
              <w:t> </w:t>
            </w:r>
          </w:p>
        </w:tc>
        <w:tc>
          <w:tcPr>
            <w:tcW w:w="961"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57"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968"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947" w:type="dxa"/>
            <w:gridSpan w:val="2"/>
            <w:tcBorders/>
            <w:shd w:fill="CCECFF" w:val="clear"/>
            <w:vAlign w:val="center"/>
          </w:tcPr>
          <w:p>
            <w:pPr>
              <w:pStyle w:val="TableContents"/>
              <w:bidi w:val="0"/>
              <w:spacing w:before="0" w:after="283"/>
              <w:jc w:val="right"/>
              <w:rPr/>
            </w:pPr>
            <w:r>
              <w:rPr/>
              <w:t> </w:t>
            </w:r>
          </w:p>
        </w:tc>
        <w:tc>
          <w:tcPr>
            <w:tcW w:w="413" w:type="dxa"/>
            <w:tcBorders/>
            <w:shd w:fill="CCECFF" w:val="clear"/>
            <w:vAlign w:val="center"/>
          </w:tcPr>
          <w:p>
            <w:pPr>
              <w:pStyle w:val="TableContents"/>
              <w:bidi w:val="0"/>
              <w:spacing w:before="0" w:after="283"/>
              <w:ind w:left="0" w:right="0" w:firstLine="200"/>
              <w:jc w:val="righ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Non-controlled, non-affiliated investments</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(38,585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(18,418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(31,382</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Non-controlled and controlled, affiliated investments</w:t>
            </w:r>
          </w:p>
        </w:tc>
        <w:tc>
          <w:tcPr>
            <w:tcW w:w="146" w:type="dxa"/>
            <w:tcBorders/>
            <w:shd w:fill="CCECFF" w:val="clear"/>
            <w:vAlign w:val="center"/>
          </w:tcPr>
          <w:p>
            <w:pPr>
              <w:pStyle w:val="TableContents"/>
              <w:bidi w:val="0"/>
              <w:spacing w:before="0" w:after="283"/>
              <w:jc w:val="right"/>
              <w:rPr/>
            </w:pPr>
            <w:r>
              <w:rPr/>
              <w:t> </w:t>
            </w:r>
          </w:p>
        </w:tc>
        <w:tc>
          <w:tcPr>
            <w:tcW w:w="235" w:type="dxa"/>
            <w:tcBorders/>
            <w:shd w:fill="CCECFF" w:val="clear"/>
            <w:vAlign w:val="center"/>
          </w:tcPr>
          <w:p>
            <w:pPr>
              <w:pStyle w:val="TableContents"/>
              <w:bidi w:val="0"/>
              <w:spacing w:before="0" w:after="283"/>
              <w:jc w:val="left"/>
              <w:rPr/>
            </w:pPr>
            <w:r>
              <w:rPr/>
              <w:t> </w:t>
            </w:r>
          </w:p>
        </w:tc>
        <w:tc>
          <w:tcPr>
            <w:tcW w:w="726"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661"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768"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(133,098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5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75,243</w:t>
            </w:r>
          </w:p>
        </w:tc>
        <w:tc>
          <w:tcPr>
            <w:tcW w:w="413" w:type="dxa"/>
            <w:tcBorders/>
            <w:shd w:fill="CCECFF" w:val="clear"/>
            <w:vAlign w:val="center"/>
          </w:tcPr>
          <w:p>
            <w:pPr>
              <w:pStyle w:val="TableContents"/>
              <w:bidi w:val="0"/>
              <w:spacing w:before="0" w:after="283"/>
              <w:ind w:left="0" w:right="0" w:firstLine="200"/>
              <w:jc w:val="lef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Debt extinguishment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(2,922</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Provision for taxes on realized gain on investments</w:t>
            </w:r>
          </w:p>
        </w:tc>
        <w:tc>
          <w:tcPr>
            <w:tcW w:w="146" w:type="dxa"/>
            <w:tcBorders/>
            <w:shd w:fill="CCECFF" w:val="clear"/>
            <w:vAlign w:val="center"/>
          </w:tcPr>
          <w:p>
            <w:pPr>
              <w:pStyle w:val="TableContents"/>
              <w:bidi w:val="0"/>
              <w:spacing w:before="0" w:after="283"/>
              <w:jc w:val="right"/>
              <w:rPr/>
            </w:pPr>
            <w:r>
              <w:rPr/>
              <w:t> </w:t>
            </w:r>
          </w:p>
        </w:tc>
        <w:tc>
          <w:tcPr>
            <w:tcW w:w="2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(4,952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(6,183</w:t>
            </w:r>
          </w:p>
        </w:tc>
        <w:tc>
          <w:tcPr>
            <w:tcW w:w="41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realized gain (loss) on investments and debt</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34,756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7"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change in unrealized appreciation (depreciation) on:</w:t>
            </w:r>
          </w:p>
        </w:tc>
        <w:tc>
          <w:tcPr>
            <w:tcW w:w="146" w:type="dxa"/>
            <w:tcBorders/>
            <w:shd w:fill="CCECFF" w:val="clear"/>
            <w:vAlign w:val="center"/>
          </w:tcPr>
          <w:p>
            <w:pPr>
              <w:pStyle w:val="TableContents"/>
              <w:bidi w:val="0"/>
              <w:spacing w:before="0" w:after="283"/>
              <w:jc w:val="right"/>
              <w:rPr/>
            </w:pPr>
            <w:r>
              <w:rPr/>
              <w:t> </w:t>
            </w:r>
          </w:p>
        </w:tc>
        <w:tc>
          <w:tcPr>
            <w:tcW w:w="961"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57"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968"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947" w:type="dxa"/>
            <w:gridSpan w:val="2"/>
            <w:tcBorders/>
            <w:shd w:fill="CCECFF" w:val="clear"/>
            <w:vAlign w:val="center"/>
          </w:tcPr>
          <w:p>
            <w:pPr>
              <w:pStyle w:val="TableContents"/>
              <w:bidi w:val="0"/>
              <w:spacing w:before="0" w:after="283"/>
              <w:jc w:val="right"/>
              <w:rPr/>
            </w:pPr>
            <w:r>
              <w:rPr/>
              <w:t> </w:t>
            </w:r>
          </w:p>
        </w:tc>
        <w:tc>
          <w:tcPr>
            <w:tcW w:w="413" w:type="dxa"/>
            <w:tcBorders/>
            <w:shd w:fill="CCECFF" w:val="clear"/>
            <w:vAlign w:val="center"/>
          </w:tcPr>
          <w:p>
            <w:pPr>
              <w:pStyle w:val="TableContents"/>
              <w:bidi w:val="0"/>
              <w:spacing w:before="0" w:after="283"/>
              <w:ind w:left="0" w:right="0" w:firstLine="200"/>
              <w:jc w:val="righ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Non-controlled, non-affiliated investments</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(35,440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(182,863</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Non-controlled and controlled, affiliated investments</w:t>
            </w:r>
          </w:p>
        </w:tc>
        <w:tc>
          <w:tcPr>
            <w:tcW w:w="146" w:type="dxa"/>
            <w:tcBorders/>
            <w:shd w:fill="CCECFF" w:val="clear"/>
            <w:vAlign w:val="center"/>
          </w:tcPr>
          <w:p>
            <w:pPr>
              <w:pStyle w:val="TableContents"/>
              <w:bidi w:val="0"/>
              <w:spacing w:before="0" w:after="283"/>
              <w:jc w:val="right"/>
              <w:rPr/>
            </w:pPr>
            <w:r>
              <w:rPr/>
              <w:t> </w:t>
            </w:r>
          </w:p>
        </w:tc>
        <w:tc>
          <w:tcPr>
            <w:tcW w:w="235" w:type="dxa"/>
            <w:tcBorders/>
            <w:shd w:fill="CCECFF" w:val="clear"/>
            <w:vAlign w:val="center"/>
          </w:tcPr>
          <w:p>
            <w:pPr>
              <w:pStyle w:val="TableContents"/>
              <w:bidi w:val="0"/>
              <w:spacing w:before="0" w:after="283"/>
              <w:jc w:val="left"/>
              <w:rPr/>
            </w:pPr>
            <w:r>
              <w:rPr/>
              <w:t> </w:t>
            </w:r>
          </w:p>
        </w:tc>
        <w:tc>
          <w:tcPr>
            <w:tcW w:w="726"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4,400</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66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(21,438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left"/>
              <w:rPr/>
            </w:pPr>
            <w:r>
              <w:rPr/>
              <w:t> </w:t>
            </w:r>
          </w:p>
        </w:tc>
        <w:tc>
          <w:tcPr>
            <w:tcW w:w="768"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95,034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shd w:fill="CCECFF" w:val="clear"/>
            <w:vAlign w:val="center"/>
          </w:tcPr>
          <w:p>
            <w:pPr>
              <w:pStyle w:val="TableContents"/>
              <w:bidi w:val="0"/>
              <w:spacing w:before="0" w:after="283"/>
              <w:jc w:val="left"/>
              <w:rPr/>
            </w:pPr>
            <w:r>
              <w:rPr/>
              <w:t> </w:t>
            </w:r>
          </w:p>
        </w:tc>
        <w:tc>
          <w:tcPr>
            <w:tcW w:w="75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72,819</w:t>
            </w:r>
          </w:p>
        </w:tc>
        <w:tc>
          <w:tcPr>
            <w:tcW w:w="413" w:type="dxa"/>
            <w:tcBorders/>
            <w:shd w:fill="CCECFF" w:val="clear"/>
            <w:vAlign w:val="center"/>
          </w:tcPr>
          <w:p>
            <w:pPr>
              <w:pStyle w:val="TableContents"/>
              <w:bidi w:val="0"/>
              <w:spacing w:before="0" w:after="283"/>
              <w:ind w:left="0" w:right="0" w:firstLine="200"/>
              <w:jc w:val="lef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Provision for taxes on unrealized appreciation (depreciation) on investments</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(896</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4977"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Debt appreciation (depreciation)</w:t>
            </w:r>
          </w:p>
        </w:tc>
        <w:tc>
          <w:tcPr>
            <w:tcW w:w="146" w:type="dxa"/>
            <w:tcBorders/>
            <w:shd w:fill="CCECFF" w:val="clear"/>
            <w:vAlign w:val="center"/>
          </w:tcPr>
          <w:p>
            <w:pPr>
              <w:pStyle w:val="TableContents"/>
              <w:bidi w:val="0"/>
              <w:spacing w:before="0" w:after="283"/>
              <w:jc w:val="right"/>
              <w:rPr/>
            </w:pPr>
            <w:r>
              <w:rPr/>
              <w:t> </w:t>
            </w:r>
          </w:p>
        </w:tc>
        <w:tc>
          <w:tcPr>
            <w:tcW w:w="2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(1,682</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(3,753</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7,501</w:t>
            </w:r>
          </w:p>
        </w:tc>
        <w:tc>
          <w:tcPr>
            <w:tcW w:w="413"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77"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change in unrealized appreciation (depreciation) on investments and debt</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(103,439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77"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 from investments and debt</w:t>
            </w:r>
          </w:p>
        </w:tc>
        <w:tc>
          <w:tcPr>
            <w:tcW w:w="146" w:type="dxa"/>
            <w:tcBorders/>
            <w:shd w:fill="CCECFF" w:val="clear"/>
            <w:vAlign w:val="center"/>
          </w:tcPr>
          <w:p>
            <w:pPr>
              <w:pStyle w:val="TableContents"/>
              <w:bidi w:val="0"/>
              <w:spacing w:before="0" w:after="283"/>
              <w:jc w:val="right"/>
              <w:rPr/>
            </w:pPr>
            <w:r>
              <w:rPr/>
              <w:t> </w:t>
            </w:r>
          </w:p>
        </w:tc>
        <w:tc>
          <w:tcPr>
            <w:tcW w:w="23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(3,338</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(44,110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(99,340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(68,683</w:t>
            </w:r>
          </w:p>
        </w:tc>
        <w:tc>
          <w:tcPr>
            <w:tcW w:w="41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7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(24,740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77"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 per common share</w:t>
            </w:r>
          </w:p>
        </w:tc>
        <w:tc>
          <w:tcPr>
            <w:tcW w:w="146" w:type="dxa"/>
            <w:tcBorders/>
            <w:shd w:fill="CCECFF" w:val="clear"/>
            <w:vAlign w:val="center"/>
          </w:tcPr>
          <w:p>
            <w:pPr>
              <w:pStyle w:val="TableContents"/>
              <w:bidi w:val="0"/>
              <w:spacing w:before="0" w:after="283"/>
              <w:jc w:val="right"/>
              <w:rPr/>
            </w:pPr>
            <w:r>
              <w:rPr/>
              <w:t> </w:t>
            </w:r>
          </w:p>
        </w:tc>
        <w:tc>
          <w:tcPr>
            <w:tcW w:w="2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20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righ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(0.37</w:t>
            </w:r>
          </w:p>
        </w:tc>
        <w:tc>
          <w:tcPr>
            <w:tcW w:w="41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97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investment income per common share</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ABOUT PENNANTPARK INVESTMENT CORPORATION</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pStyle w:val="TextBody"/>
        <w:bidi w:val="0"/>
        <w:spacing w:before="200" w:after="283"/>
        <w:jc w:val="both"/>
        <w:rPr>
          <w:rFonts w:ascii="Times New Roman" w:hAnsi="Times New Roman"/>
          <w:sz w:val="20"/>
        </w:rPr>
      </w:pPr>
      <w:r>
        <w:rPr>
          <w:rFonts w:ascii="Times New Roman" w:hAnsi="Times New Roman"/>
          <w:b/>
          <w:color w:val="000000"/>
          <w:sz w:val="20"/>
        </w:rPr>
        <w:t>ABOUT PENNANTPARK INVESTMENT ADVISERS, LLC</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PennantPark Investment Advisers, LLC is a leading middle market credit platform, managing $6.8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FORWARD-LOOKING STATEMENTS AND OTHER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 Company is completing its assessment of the effectiveness of its internal control over financial reporting as of September 30, 2023. Based on currently available information, the Company expects to report certain material weaknesses in internal control over financial reporting in Item 9A of its Annual Report on Form 10-K for the fiscal year ended September 30, 2023 (the "2023 Annual Report"). The material weaknesses identified to date relate to the control environment over the Company's review process of its cash and par reconciliations and its interest income analysis. The material weaknesses are not expected to impact the accuracy of the Company's financial statements to be reported in the 2023 Annual Report. Because the Company has not completed the preparation of its consolidated financial statements for the year ended September 30, 2023, the preliminary unaudited results presented in the press release as of and for the fourth quarter and year ended September 30, 2023 are based on current expectations and are subject to adjustment.</w:t>
      </w:r>
      <w:r>
        <w:rPr>
          <w:rFonts w:ascii="Times New Roman" w:hAnsi="Times New Roman"/>
          <w:color w:val="000000"/>
          <w:sz w:val="20"/>
        </w:rPr>
        <w:t xml:space="preserve"> </w:t>
      </w:r>
    </w:p>
    <w:p>
      <w:pPr>
        <w:pStyle w:val="TextBody"/>
        <w:bidi w:val="0"/>
        <w:jc w:val="both"/>
        <w:rPr/>
      </w:pPr>
      <w:r>
        <w:rPr/>
        <w:t> </w:t>
      </w:r>
    </w:p>
    <w:tbl>
      <w:tblPr>
        <w:tblW w:w="3977" w:type="dxa"/>
        <w:jc w:val="left"/>
        <w:tblInd w:w="0" w:type="dxa"/>
        <w:tblLayout w:type="fixed"/>
        <w:tblCellMar>
          <w:top w:w="28" w:type="dxa"/>
          <w:left w:w="28" w:type="dxa"/>
          <w:bottom w:w="28" w:type="dxa"/>
          <w:right w:w="28" w:type="dxa"/>
        </w:tblCellMar>
      </w:tblPr>
      <w:tblGrid>
        <w:gridCol w:w="826"/>
        <w:gridCol w:w="3151"/>
      </w:tblGrid>
      <w:tr>
        <w:trPr/>
        <w:tc>
          <w:tcPr>
            <w:tcW w:w="82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Contact: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Richard T. Allorto, Jr.</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PennantPark Investment Corporation</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(212) 905-1000</w:t>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sz w:val="20"/>
              </w:rPr>
            </w:pPr>
            <w:r>
              <w:rPr>
                <w:rFonts w:ascii="Times New Roman" w:hAnsi="Times New Roman"/>
                <w:b w:val="false"/>
                <w:sz w:val="20"/>
              </w:rPr>
              <w:t>www.pennantpark.com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 w:name="pnnt-ex99_2.htm"/>
      <w:bookmarkStart w:id="5" w:name="kspnntex99_2"/>
      <w:bookmarkEnd w:id="4"/>
      <w:bookmarkEnd w:id="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99.2</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bookmarkStart w:id="6" w:name="consolidated_schedule_investments"/>
      <w:bookmarkEnd w:id="6"/>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09"/>
        <w:gridCol w:w="146"/>
        <w:gridCol w:w="932"/>
        <w:gridCol w:w="146"/>
        <w:gridCol w:w="1526"/>
        <w:gridCol w:w="146"/>
        <w:gridCol w:w="151"/>
        <w:gridCol w:w="390"/>
        <w:gridCol w:w="211"/>
        <w:gridCol w:w="146"/>
        <w:gridCol w:w="194"/>
        <w:gridCol w:w="461"/>
        <w:gridCol w:w="146"/>
        <w:gridCol w:w="146"/>
        <w:gridCol w:w="146"/>
        <w:gridCol w:w="436"/>
        <w:gridCol w:w="146"/>
        <w:gridCol w:w="146"/>
        <w:gridCol w:w="166"/>
        <w:gridCol w:w="436"/>
        <w:gridCol w:w="146"/>
        <w:gridCol w:w="146"/>
        <w:gridCol w:w="189"/>
        <w:gridCol w:w="498"/>
        <w:gridCol w:w="200"/>
      </w:tblGrid>
      <w:tr>
        <w:trPr/>
        <w:tc>
          <w:tcPr>
            <w:tcW w:w="2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Non-Controlled, Non-Affiliated Portfolio Companies—145.6% of Net Assets </w:t>
            </w:r>
            <w:r>
              <w:rPr>
                <w:rFonts w:ascii="Times New Roman" w:hAnsi="Times New Roman"/>
                <w:b/>
                <w:color w:val="000000"/>
                <w:sz w:val="8"/>
              </w:rPr>
              <w:t>(1), (2)</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87" w:type="dxa"/>
            <w:gridSpan w:val="2"/>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righ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Debt—93.2% of Net Assets</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A1 Garage Merger Sub, LLC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5,119</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A1 Garage Merger Sub, LLC - Unfunded Term Loan</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12/21/2024</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A1 Garage Merger Sub,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Ad.net Acquisition, LLC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05/07/2026</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SOFR+626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221</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Ad.net Acquisition,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05/07/2026</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Anteriad, LLC (f/k/a MeritDirect,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05/23/2024</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1,221</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Anteriad, LLC (f/k/a MeritDirect,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05/23/2024</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Any Hour Services</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2,962</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Any Hour Services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07/21/2027</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Apex Service Partners,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07/31/2025</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1,327</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Apex Service Partners, LLC Term Loan 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07/31/2025</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1,859</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Apex Service Partners, LLC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07/31/2025</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581</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Apex Service Partners,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07/31/2025</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Applied Technical Services,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808</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Applied Technical Services, LLC (Revolver)</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13.25</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SOFR+475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392</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Applied Technical Services,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Arcfield Acquisition Corp. (Revolver)</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08/03/2029</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8,009</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Arcfield Acquisition Corp.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08/04/2028</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Berwick Industrial Park</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11/02/2023</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Buildings and Real Estate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3,924</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Beta Plus Technologies, Inc.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07/01/2029</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4,604</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BioDerm, Inc. (Revolver)</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01/31/2028</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11.81</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SOFR+650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BioDerm,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01/31/2028</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09/17/2026</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1,823</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Blackhawk Industrial Distribution, Inc.</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09/17/2026</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09/17/2026</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338</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Blackhawk Industrial Distribution,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09/17/2026</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Broder Bros., Co.</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12/04/2025</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11.65</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SOFR+626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9,838</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Cartessa Aesthetics,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34,056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33,496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34,056</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Cartessa Aesthetics, LLC - (Revolver)</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06/14/2028</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1,265</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Cartessa Aesthetics, LLC -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CF512, Inc.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08/20/2026</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6,460</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CF512, Inc.(Revolver)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08/20/2026</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Compex Legal Services, Inc.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02/09/2026</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SOFR+555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949</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Compex Legal Services, Inc.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02/07/2025</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SOFR+555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Compex Legal Services,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02/07/2025</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Connatix Buyer,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07/13/2027</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Confluent Health, LLC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11/30/2028</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12.82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SOFR+750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2,000</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Crane 1 Services, Inc.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08/16/2027</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SOFR+551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Crane 1 Services,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08/16/2027</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Dr. Squatch,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08/31/2027</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and Non-Durable 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8,276</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Dr. Squatch, LLC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08/27/2026</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Dr. Squatch,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08/31/2027</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and Non-Durable 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DRS Holdings III, Inc.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11/03/2025</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DRS Holdings III,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11/03/2025</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EDS Buyer, LLC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6,125</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EDS Buyer, LLC - Unfunded Term Loan</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12/22/2028</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EDS Buyer, LLC -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12/22/2028</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ETE Intermediate II,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05/25/2029</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Exigo Intermediate II, LLC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03/15/2027</w:t>
            </w:r>
          </w:p>
        </w:tc>
        <w:tc>
          <w:tcPr>
            <w:tcW w:w="146" w:type="dxa"/>
            <w:tcBorders/>
            <w:shd w:fill="CCECFF" w:val="clear"/>
            <w:vAlign w:val="center"/>
          </w:tcPr>
          <w:p>
            <w:pPr>
              <w:pStyle w:val="TableContents"/>
              <w:bidi w:val="0"/>
              <w:spacing w:before="0" w:after="283"/>
              <w:jc w:val="left"/>
              <w:rPr/>
            </w:pPr>
            <w:r>
              <w:rPr/>
              <w:t> </w:t>
            </w:r>
          </w:p>
        </w:tc>
        <w:tc>
          <w:tcPr>
            <w:tcW w:w="152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24,375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24,097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23,888</w:t>
            </w:r>
          </w:p>
        </w:tc>
        <w:tc>
          <w:tcPr>
            <w:tcW w:w="200" w:type="dxa"/>
            <w:tcBorders/>
            <w:shd w:fill="CCEC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Exigo Intermediate II,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03/15/2027</w:t>
            </w:r>
          </w:p>
        </w:tc>
        <w:tc>
          <w:tcPr>
            <w:tcW w:w="14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22"/>
        <w:gridCol w:w="146"/>
        <w:gridCol w:w="992"/>
        <w:gridCol w:w="146"/>
        <w:gridCol w:w="2010"/>
        <w:gridCol w:w="146"/>
        <w:gridCol w:w="181"/>
        <w:gridCol w:w="468"/>
        <w:gridCol w:w="211"/>
        <w:gridCol w:w="146"/>
        <w:gridCol w:w="206"/>
        <w:gridCol w:w="491"/>
        <w:gridCol w:w="146"/>
        <w:gridCol w:w="146"/>
        <w:gridCol w:w="146"/>
        <w:gridCol w:w="436"/>
        <w:gridCol w:w="146"/>
        <w:gridCol w:w="146"/>
        <w:gridCol w:w="146"/>
        <w:gridCol w:w="436"/>
        <w:gridCol w:w="146"/>
        <w:gridCol w:w="146"/>
        <w:gridCol w:w="175"/>
        <w:gridCol w:w="525"/>
        <w:gridCol w:w="200"/>
      </w:tblGrid>
      <w:tr>
        <w:trPr/>
        <w:tc>
          <w:tcPr>
            <w:tcW w:w="2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Five Star Buyer, Inc.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02/23/2028</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SOFR+710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193</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Five Star Buyer, Inc. - Unfunded Term Loan</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02/23/2028</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Leisure, Amusement, Motion Pictures, Entertainment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Five Star Buyer,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02/23/2028</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Gauge ETE Blocker, LLC - Promissory Note</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05/19/2029</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215</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Graffiti Buyer, Inc.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08/10/2027</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10.98</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607</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Graffiti Buyer, Inc.</w:t>
            </w:r>
            <w:r>
              <w:rPr>
                <w:rFonts w:ascii="Times New Roman" w:hAnsi="Times New Roman"/>
                <w:color w:val="000000"/>
                <w:sz w:val="12"/>
              </w:rPr>
              <w:t>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12/08/2023</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Graffiti Buyer, Inc. (Revolver)</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08/10/2027</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237</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Graffiti Buyer,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08/10/2027</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Hancock Roofing and Construction L.L.C.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12/31/2026</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327</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Hancock Roofing and Construction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12/31/2026</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Holdco Sands Intermediate, LLC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11/23/2028</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1,898</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Holdco Sands Intermediate,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11/23/2027</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HV Watterson Holdings, LLC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12/17/2026</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279</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HV Watterson Holdings, LLC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12/17/2026</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HV Watterson Holdings, LLC - (Revolver)</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12/17/2026</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1,198</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HV Watterson Holdings, LLC - (Revolver)</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12/17/2026</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HW Holdco, LLC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12/10/2024</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11.28</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SOFR+640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11,069</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HW Holdco, LLC (Revolver)</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12/10/2024</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267</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HW Holdco,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12/10/2024</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IG Investments Holdings,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09/22/2027</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Imagine Acquisitionco, LLC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11/15/2027</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Imagine Acquisitionco,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11/15/2027</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Inception Fertility Ventures, LLC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12/07/2023</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SOFR+715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20,300</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Infinity Home Services Holdco, Inc.</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12/28/2028</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SOFR+685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2,089</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Infinity Home Services Holdco, Inc. - Unfunded Term Loan</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12/28/2023</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Infinity Home Services Holdco, Inc.(Revolver)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12/28/2028</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Infolinks Media Buyco, LLC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11/01/2026</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1,420</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Infolinks Media Buyco, LLC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11/01/2023</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Integrated Data Services - Term Loan</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08/01/2029</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15,467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15,161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15,106</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Integrated Data Services - Unfunded Revolver</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08/01/2029</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Integrity Marketing Acquisition, LLC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08/27/2026</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11.41</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9,781</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Integrity Marketing Acquisition, LLC - Unfunded Term Loan</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08/31/2025</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Integrity Marketing Acquisition,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08/31/2025</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Inventus Power, Inc.</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06/30/2025</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SOFR+761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13,234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12,969</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Inventus Power,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06/30/2025</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1,729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ITI Holdings, Inc.</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03/03/2028</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8,661</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ITI Holdings, Inc. (Revolver)</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03/03/2028</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SOFR+560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1,098</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ITI Holdings,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03/03/2028</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K2 Pure Solutions NoCal, L.P.</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12/20/2023</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13.42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SOFR+810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9,409</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K2 Pure Solutions NoCal, L.P.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12/20/2023</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Kinetic Purchaser, LLC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11/10/2027</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9,035</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Kinetic Purchaser,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11/10/2026</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Lash OpCo, LLC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02/18/2027</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11.88</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2,779</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Lash OpCo, LLC (Revolver)</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08/16/2026</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1,957</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Lash OpCo,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08/16/2026</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LAV Gear Holdings, Inc.</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10/31/2024</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Leisure, Amusement, Motion Pictures, Entertainment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49"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(PIK 5.50%)</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58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00" w:type="dxa"/>
            <w:gridSpan w:val="2"/>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righ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Ledge Lounger, Inc.</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11/09/2026</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8,971</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Ledge Lounger,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11/09/2026</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Lightspeed Buyer Inc.</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02/03/2026</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10.67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SOFR+535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2,176</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Lightspeed Buyer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02/03/2026</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LJ Avalon Holdings, LLC</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07/31/2024</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204</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LJ Avalon Holdings, LLC - Unfunded Term Loan</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07/31/2024</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LJ Avalon Holdings, LLC (Revolver)</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01/31/2030</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LSF9 Atlantis Holdings, LLC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03/31/2029</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Retail</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SOFR+725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5,381</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Loving Tan Intermediate II, Inc.</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05/31/2028</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4,913</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Loving Tan Intermediate II, Inc. (Revolver)</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05/31/2028</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342</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Loving Tan Intermediate II, Inc. (Revolver)</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05/31/2028</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Mars Acquisition Holdings Corp.</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05/14/2026</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1,817</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Mars Acquisition Holdings Corp. (Revolver)</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05/14/2026</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MBS Holdings, Inc. (Revolver)</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04/16/2027</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MBS Holdings,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04/16/2027</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MDI Buyer, Inc.</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07/25/2028</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9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19,835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19,685</w:t>
            </w:r>
          </w:p>
        </w:tc>
        <w:tc>
          <w:tcPr>
            <w:tcW w:w="200" w:type="dxa"/>
            <w:tcBorders/>
            <w:shd w:fill="CCECFF" w:val="clear"/>
            <w:vAlign w:val="center"/>
          </w:tcPr>
          <w:p>
            <w:pPr>
              <w:pStyle w:val="TableContents"/>
              <w:bidi w:val="0"/>
              <w:spacing w:before="0" w:after="283"/>
              <w:jc w:val="left"/>
              <w:rPr/>
            </w:pPr>
            <w:r>
              <w:rPr/>
              <w:t> </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MDI Buyer, Inc. (Revolver)</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07/25/2028</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1,016</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MDI Buyer,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07/25/2028</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Meadowlark Acquirer, LLC</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10.66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9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1,888</w:t>
            </w:r>
          </w:p>
        </w:tc>
        <w:tc>
          <w:tcPr>
            <w:tcW w:w="200" w:type="dxa"/>
            <w:tcBorders/>
            <w:shd w:fill="FFFFFF" w:val="clear"/>
            <w:vAlign w:val="center"/>
          </w:tcPr>
          <w:p>
            <w:pPr>
              <w:pStyle w:val="TableContents"/>
              <w:bidi w:val="0"/>
              <w:spacing w:before="0" w:after="283"/>
              <w:jc w:val="left"/>
              <w:rPr/>
            </w:pPr>
            <w:r>
              <w:rPr/>
              <w:t> </w:t>
            </w:r>
          </w:p>
        </w:tc>
      </w:tr>
      <w:tr>
        <w:trPr/>
        <w:tc>
          <w:tcPr>
            <w:tcW w:w="2122"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Meadowlark Acquirer, LLC Term Loan I</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Meadowlark Acquirer, LLC Term Loan II</w:t>
            </w:r>
          </w:p>
        </w:tc>
        <w:tc>
          <w:tcPr>
            <w:tcW w:w="146"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201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(134</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22"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Meadowlark Acquirer,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9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201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1" w:type="dxa"/>
            <w:tcBorders/>
            <w:shd w:fill="CCECFF" w:val="clear"/>
            <w:vAlign w:val="center"/>
          </w:tcPr>
          <w:p>
            <w:pPr>
              <w:pStyle w:val="TableContents"/>
              <w:bidi w:val="0"/>
              <w:spacing w:before="0" w:after="283"/>
              <w:jc w:val="left"/>
              <w:rPr/>
            </w:pPr>
            <w:r>
              <w:rPr/>
              <w:t> </w:t>
            </w:r>
          </w:p>
        </w:tc>
        <w:tc>
          <w:tcPr>
            <w:tcW w:w="468"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75" w:type="dxa"/>
            <w:tcBorders/>
            <w:shd w:fill="CCECFF" w:val="clear"/>
            <w:vAlign w:val="center"/>
          </w:tcPr>
          <w:p>
            <w:pPr>
              <w:pStyle w:val="TableContents"/>
              <w:bidi w:val="0"/>
              <w:spacing w:before="0" w:after="283"/>
              <w:jc w:val="left"/>
              <w:rPr/>
            </w:pPr>
            <w:r>
              <w:rPr/>
              <w:t> </w:t>
            </w:r>
          </w:p>
        </w:tc>
        <w:tc>
          <w:tcPr>
            <w:tcW w:w="52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37"/>
        <w:gridCol w:w="146"/>
        <w:gridCol w:w="1027"/>
        <w:gridCol w:w="146"/>
        <w:gridCol w:w="1636"/>
        <w:gridCol w:w="146"/>
        <w:gridCol w:w="174"/>
        <w:gridCol w:w="451"/>
        <w:gridCol w:w="211"/>
        <w:gridCol w:w="146"/>
        <w:gridCol w:w="213"/>
        <w:gridCol w:w="508"/>
        <w:gridCol w:w="146"/>
        <w:gridCol w:w="146"/>
        <w:gridCol w:w="146"/>
        <w:gridCol w:w="436"/>
        <w:gridCol w:w="146"/>
        <w:gridCol w:w="146"/>
        <w:gridCol w:w="166"/>
        <w:gridCol w:w="496"/>
        <w:gridCol w:w="146"/>
        <w:gridCol w:w="146"/>
        <w:gridCol w:w="186"/>
        <w:gridCol w:w="558"/>
        <w:gridCol w:w="200"/>
      </w:tblGrid>
      <w:tr>
        <w:trPr/>
        <w:tc>
          <w:tcPr>
            <w:tcW w:w="2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Municipal Emergency Services, Inc.</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09/28/2027</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11.05</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474</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Municipal Emergency Services, Inc. - Unfunded Term Loan A</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06/16/2023</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Municipal Emergency Services, Inc. - Unfunded Term Loan B</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12/16/2024</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2,510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Municipal Emergency Services, Inc. (Revolver)</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09/28/2027</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736</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Municipal Emergency Services,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09/28/2027</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NBH Group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08/19/2026</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Neptune Flood Incorporated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05/09/2029</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NORA Acquisition, LLC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08/31/2029</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20,090</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NORA Acquisition,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08/31/2029</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ORL Acquisition, Inc.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09/03/2027</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12.84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SOFR+725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4,012</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ORL Acquisition,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09/03/2027</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Ox Two, LLC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05/18/2026</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Building Materials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SOFR+725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13,340</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Ox Two, LLC (Revolver)</w:t>
            </w:r>
            <w:r>
              <w:rPr>
                <w:rFonts w:ascii="Times New Roman" w:hAnsi="Times New Roman"/>
                <w:color w:val="000000"/>
                <w:sz w:val="12"/>
              </w:rPr>
              <w:t>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05/18/2026</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Building Materials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Pequod Merger Sub, Inc. - Unfunded Term Loan</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12/02/2026</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Pequod Merger Sub, Inc. (Revolver)</w:t>
            </w:r>
            <w:r>
              <w:rPr>
                <w:rFonts w:ascii="Times New Roman" w:hAnsi="Times New Roman"/>
                <w:color w:val="000000"/>
                <w:sz w:val="12"/>
              </w:rPr>
              <w:t>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12/02/2026</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PL Acquisitionco, LLC (Revolver)</w:t>
            </w:r>
            <w:r>
              <w:rPr>
                <w:rFonts w:ascii="Times New Roman" w:hAnsi="Times New Roman"/>
                <w:color w:val="000000"/>
                <w:sz w:val="12"/>
              </w:rPr>
              <w:t>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11/09/2027</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Retail</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(324</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Pragmatic Institute, LLC</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07/06/2028</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34,987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34,547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33,412</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Pragmatic Institute, LLC Unfunded Term Loan</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07/06/2028</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(252</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Pragmatic Institute, LL (Revolver)</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07/06/2028</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4,579</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Quantic Electronics, LLC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11/19/2026</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1,461</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Quantic Electronics, LLC (Revolver)</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11/19/2026</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521</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Questex, LLC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09/09/2024</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SOFR+425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20,193</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Questex,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09/09/2024</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Radius Aerospace, Inc. (Revolver)</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03/31/2025</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661</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Radius Aerospace,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03/31/2025</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Rancho Health MSO, Inc.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Rancho Health MSO, Inc. - Unfunded Term Loan</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Rancho Health MSO, Inc. (Revolver)</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210</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Rancho Health MSO,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Reception Purchaser, LLC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02/28/2028</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5,628</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Recteq,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01/29/2026</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Research Now Group, Inc. and Dynata, LLC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108</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Riverpoint Medical, LLC (Revolver)</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06/20/2025</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SOFR+510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Riverpoint Medical,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06/20/2025</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Riverside Assessments, LLC</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03/10/2025</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11,582</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Rural Sourcing Holdings, Inc. - Unfunded Term Loan</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06/15/2029</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Rural Sourcing Holdings,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06/15/2029</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Sales Benchmark Index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01/03/2025</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Sargent &amp; Greenleaf Inc. (Revolver)</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12/20/2024</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SOFR+650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157</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Sargent &amp; Greenleaf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12/20/2024</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Schlesinger Global, Inc.</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07/14/2025</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13.15</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SOFR+775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4,496</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Schlesinger Global, Inc. (Revolver)</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07/14/2025</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SOFR+775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2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(PIK 0.5%)</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44" w:type="dxa"/>
            <w:gridSpan w:val="2"/>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righ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Schlesinger Global, Inc. (Revolver)</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07/14/2025</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Seaway Buyer, LLC</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06/13/2029</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SOFR+605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4,609</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Seaway Buyer, LLC (Revolver)</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06/13/2029</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SOFR+605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708</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Seaway Buyer, LLC (Revolver)</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06/13/2029</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Shiftkey, LLC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06/21/2027</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SOFR+601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17,331</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Sigma Defense Systems, LLC</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14.04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SOFR+865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29,681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29,190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29,236</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Sigma Defense Systems, LLC (Revolver)</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14.04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SOFR+865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2,052</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Sigma Defense Systems,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Signature Systems Holding Company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05/03/2024</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Solutionreach,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07/17/2025</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Communications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Spendmend Holdings LLC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03/01/2028</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Spendmend Holdings LLC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03/01/2028</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Spendmend Holdings LLC - Funded Revolver</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03/01/2028</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SOFR+565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548</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Spendmend Holdings LLC - Unfunded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03/01/2028</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System Planning and Analysis, Inc. - (Revolver) </w:t>
            </w:r>
            <w:r>
              <w:rPr>
                <w:rFonts w:ascii="Times New Roman" w:hAnsi="Times New Roman"/>
                <w:b w:val="false"/>
                <w:color w:val="000000"/>
                <w:sz w:val="8"/>
              </w:rPr>
              <w:t>(7)</w:t>
            </w:r>
            <w:r>
              <w:rPr>
                <w:rFonts w:ascii="Times New Roman" w:hAnsi="Times New Roman"/>
                <w:color w:val="000000"/>
                <w:sz w:val="12"/>
              </w:rPr>
              <w:t> </w:t>
            </w:r>
            <w:r>
              <w:rPr>
                <w:rFonts w:ascii="Times New Roman" w:hAnsi="Times New Roman"/>
                <w:b w:val="false"/>
                <w:color w:val="000000"/>
                <w:sz w:val="12"/>
              </w:rPr>
              <w:br/>
              <w:t>(f/k/a Management Consulting &amp; Research, LLC)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08/16/2027</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The Aegis Technologies Group, LLC</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10/31/2025</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11.66</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SOFR+665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1,104</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The Bluebird Group LLC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07/27/2026</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12.79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SOFR+740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2,262</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The Bluebird Group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07/27/2026</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The Vertex Companies, LLC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08/30/2027</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SOFR+635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The Vertex Companies, LLC (Revolver)</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08/30/2027</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246</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The Vertex Companies,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08/30/2027</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TWS Acquisition Corporation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06/16/2025</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Tyto Athene,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04/01/2026</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Urology Management Holdings, Inc. - Unfunded Term Loan</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02/01/2024</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3" w:type="dxa"/>
            <w:tcBorders/>
            <w:shd w:fill="CCECFF" w:val="clear"/>
            <w:vAlign w:val="center"/>
          </w:tcPr>
          <w:p>
            <w:pPr>
              <w:pStyle w:val="TableContents"/>
              <w:bidi w:val="0"/>
              <w:spacing w:before="0" w:after="283"/>
              <w:jc w:val="left"/>
              <w:rPr/>
            </w:pPr>
            <w:r>
              <w:rPr/>
              <w:t> </w:t>
            </w:r>
          </w:p>
        </w:tc>
        <w:tc>
          <w:tcPr>
            <w:tcW w:w="50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Wildcat Buyerco, Inc.</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02/27/2026</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10.57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3,767</w:t>
            </w:r>
          </w:p>
        </w:tc>
        <w:tc>
          <w:tcPr>
            <w:tcW w:w="200" w:type="dxa"/>
            <w:tcBorders/>
            <w:shd w:fill="FFFFFF" w:val="cle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Wildcat Buyerco, Inc. (Revolver)</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02/27/2026</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10.17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SOFR+585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shd w:fill="CCECFF" w:val="clear"/>
            <w:vAlign w:val="center"/>
          </w:tcPr>
          <w:p>
            <w:pPr>
              <w:pStyle w:val="TableContents"/>
              <w:bidi w:val="0"/>
              <w:spacing w:before="0" w:after="283"/>
              <w:jc w:val="left"/>
              <w:rPr/>
            </w:pPr>
            <w:r>
              <w:rPr/>
              <w:t> </w:t>
            </w:r>
          </w:p>
        </w:tc>
        <w:tc>
          <w:tcPr>
            <w:tcW w:w="55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w:t>
            </w:r>
          </w:p>
        </w:tc>
        <w:tc>
          <w:tcPr>
            <w:tcW w:w="200" w:type="dxa"/>
            <w:tcBorders/>
            <w:shd w:fill="CCECFF" w:val="cle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Wildcat Buyerco,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02/27/2026</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3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Zips Car Wash, LLC</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03/01/2024</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SOFR+735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2,583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2,504</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37"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472,975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468,007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7"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 Secured Debt—16.0% of Net Assets</w:t>
            </w:r>
          </w:p>
        </w:tc>
        <w:tc>
          <w:tcPr>
            <w:tcW w:w="146" w:type="dxa"/>
            <w:tcBorders/>
            <w:shd w:fill="CCECFF" w:val="clear"/>
            <w:vAlign w:val="center"/>
          </w:tcPr>
          <w:p>
            <w:pPr>
              <w:pStyle w:val="TableContents"/>
              <w:bidi w:val="0"/>
              <w:spacing w:before="0" w:after="283"/>
              <w:jc w:val="left"/>
              <w:rPr/>
            </w:pPr>
            <w:r>
              <w:rPr/>
              <w:t> </w:t>
            </w:r>
          </w:p>
        </w:tc>
        <w:tc>
          <w:tcPr>
            <w:tcW w:w="102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3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25"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2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44" w:type="dxa"/>
            <w:gridSpan w:val="2"/>
            <w:tcBorders/>
            <w:shd w:fill="CCECFF" w:val="clear"/>
            <w:vAlign w:val="center"/>
          </w:tcPr>
          <w:p>
            <w:pPr>
              <w:pStyle w:val="TableContents"/>
              <w:bidi w:val="0"/>
              <w:spacing w:before="0" w:after="283"/>
              <w:jc w:val="right"/>
              <w:rPr/>
            </w:pPr>
            <w:r>
              <w:rPr/>
              <w:t> </w:t>
            </w:r>
          </w:p>
        </w:tc>
        <w:tc>
          <w:tcPr>
            <w:tcW w:w="200" w:type="dxa"/>
            <w:tcBorders/>
            <w:shd w:fill="CCECFF" w:val="cle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85"/>
        <w:gridCol w:w="146"/>
        <w:gridCol w:w="273"/>
        <w:gridCol w:w="650"/>
        <w:gridCol w:w="146"/>
        <w:gridCol w:w="146"/>
        <w:gridCol w:w="1799"/>
        <w:gridCol w:w="146"/>
        <w:gridCol w:w="151"/>
        <w:gridCol w:w="390"/>
        <w:gridCol w:w="211"/>
        <w:gridCol w:w="146"/>
        <w:gridCol w:w="192"/>
        <w:gridCol w:w="457"/>
        <w:gridCol w:w="146"/>
        <w:gridCol w:w="146"/>
        <w:gridCol w:w="146"/>
        <w:gridCol w:w="586"/>
        <w:gridCol w:w="146"/>
        <w:gridCol w:w="146"/>
        <w:gridCol w:w="166"/>
        <w:gridCol w:w="436"/>
        <w:gridCol w:w="146"/>
        <w:gridCol w:w="146"/>
        <w:gridCol w:w="188"/>
        <w:gridCol w:w="495"/>
        <w:gridCol w:w="274"/>
      </w:tblGrid>
      <w:tr>
        <w:trPr/>
        <w:tc>
          <w:tcPr>
            <w:tcW w:w="2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Ascensus Holdings, Inc.</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08/02/2028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12.03</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9"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SOFR+676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2,717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2,837</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Atlas Purchaser, Inc</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05/07/2029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14.66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SOFR+900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13,821</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Best Practice Associates LLC</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06/29/2027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14.54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9"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SOFR+915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17,825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17,559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17,469</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Burgess Point Purchaser Corporation</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07/28/2030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14.42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SOFR+910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7,920</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ENC Parent Corporation</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08/19/2029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13.15</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9"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SOFR+776</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6,675</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Halo Buyer, Inc.</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07/06/2026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13.67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SOFR+835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31,525</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QuantiTech LLC</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02/04/2027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49"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SOFR+635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149</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 Secured Debt</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84,376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80,396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Debt/Corporate Notes—10.7% of Net Assets</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9"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83"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Express Wash Acquisition Company, LLC</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01/15/2029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15.15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SOFR+976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21,597</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Flock Financial, LLC</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05/26/2027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14.50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33,329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32,300</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Debt/Corporate Notes</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53,897</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Preferred Equity/Partnership Interests—2.6% of Net Assets </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9"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83"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Ad.net Holdings, Inc.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271</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AH Newco Equityholdings,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1,066</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Anteriad Holdings, LP (f/k/a MeritDirect Holdings, LP)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918</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Cartessa Aesthetics,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3,562,500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4,975</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Gauge Lash Coinvest, LLC - Preferred Equity</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64,967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789</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Gauge Schlesinger Coinvest, LLC - Class A-2 Preferred Equity</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Imagine Topco, LP</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743,826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750</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Magnolia Topco LP - Class A Preferred Equity</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172</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Magnolia Topco LP - Class B Preferred Equity</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794</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Mars Intermediate Holdings II, Inc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551</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NXOF Holdings, Inc. (Tyto Athene, LLC)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ORL Holdco, Inc.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PL Acquisitionco, LLC - Preferred Equity</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Retail</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Signature CR Intermediate Holdco, Inc.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2,490</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TPC Holding Company, LP </w:t>
            </w:r>
            <w:r>
              <w:rPr>
                <w:rFonts w:ascii="Times New Roman" w:hAnsi="Times New Roman"/>
                <w:b w:val="false"/>
                <w:color w:val="000000"/>
                <w:sz w:val="8"/>
              </w:rPr>
              <w:t>(8),(11)</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Food</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320</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TWD Parent Holdings,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185"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(The Vertex Companies, LLC)</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Equity/Partnership Interests</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9"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9,701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13,280</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Equity/Partnership Interests/Warrants—23.0% of Net Assets </w:t>
            </w:r>
            <w:r>
              <w:rPr>
                <w:rFonts w:ascii="Times New Roman" w:hAnsi="Times New Roman"/>
                <w:b/>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83"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A1 Garage Equity,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2,193,038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2,340</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Ad.net Holdings, Inc.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Affinion Group Holdings, Inc. (Warrants)</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04/10/2024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77,190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AG Investco LP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805,164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1,074</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AG Investco LP </w:t>
            </w:r>
            <w:r>
              <w:rPr>
                <w:rFonts w:ascii="Times New Roman" w:hAnsi="Times New Roman"/>
                <w:b w:val="false"/>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194,836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Altamira Intermediate Company II, Inc.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127</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AMCSI Crash Co-Invest, LP</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2,489,777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3,318</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AMCSI Crash Co-Invest, LP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510,223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Anteriad Holdings, LP (f/k/a MeritDirect Holdings, LP)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Athletico Holdings,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9,032</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Atlas Investment Aggregator,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1,700,000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293</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BioDerm, Inc.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1,513</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Burgess Point Holdings, LP</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740</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Connatix Parent, LLC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333</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Cowboy Parent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27,778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5,451</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185"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(Blackhawk Industrial Distribution, Inc.)</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83"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Crane 1 Acquisition Parent Holdings, L.P.</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173</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Delta InvestCo LP</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863,299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1,542</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2185"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(Sigma Defense Systems,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9"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83"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Delta InvestCo LP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277,745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ind w:left="0" w:right="0" w:firstLine="80"/>
              <w:jc w:val="left"/>
              <w:rPr/>
            </w:pPr>
            <w:r>
              <w:rPr/>
              <w:t> </w:t>
            </w:r>
          </w:p>
        </w:tc>
      </w:tr>
      <w:tr>
        <w:trPr/>
        <w:tc>
          <w:tcPr>
            <w:tcW w:w="2185"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(Sigma Defense Systems, LLC) </w:t>
            </w:r>
            <w:r>
              <w:rPr>
                <w:rFonts w:ascii="Times New Roman" w:hAnsi="Times New Roman"/>
                <w:b w:val="false"/>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923"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9"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83"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eCommission Holding Corporation </w:t>
            </w:r>
            <w:r>
              <w:rPr>
                <w:rFonts w:ascii="Times New Roman" w:hAnsi="Times New Roman"/>
                <w:b w:val="false"/>
                <w:color w:val="000000"/>
                <w:sz w:val="8"/>
              </w:rPr>
              <w:t>(11)</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1,854</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EDS Topco, LP</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937,500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885</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Exigo,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1,458,333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1,648</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FedHC InvestCo LP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14,578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2,060</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FedHC InvestCo LP </w:t>
            </w:r>
            <w:r>
              <w:rPr>
                <w:rFonts w:ascii="Times New Roman" w:hAnsi="Times New Roman"/>
                <w:b w:val="false"/>
                <w:color w:val="000000"/>
                <w:sz w:val="8"/>
              </w:rPr>
              <w:t>(7),(9)</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FedHC InvestCo II LP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20,882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2,951</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Five Star Parent Holdings, LLC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Leisure, Amusement, Motion Pictures, Entertainment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655,714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800</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Gauge ETE Blocker, LLC - Common Equity</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374,444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371</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Gauge Lash Coinvest LLC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889,376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4,076</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Gauge Loving Tan, LP - Common Equity</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462,827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389</w:t>
            </w:r>
          </w:p>
        </w:tc>
        <w:tc>
          <w:tcPr>
            <w:tcW w:w="274" w:type="dxa"/>
            <w:tcBorders/>
            <w:shd w:fill="CCECFF" w:val="clear"/>
            <w:vAlign w:val="center"/>
          </w:tcPr>
          <w:p>
            <w:pPr>
              <w:pStyle w:val="TableContents"/>
              <w:bidi w:val="0"/>
              <w:spacing w:before="0" w:after="283"/>
              <w:jc w:val="left"/>
              <w:rPr/>
            </w:pPr>
            <w:r>
              <w:rPr/>
              <w:t> </w:t>
            </w:r>
          </w:p>
        </w:tc>
      </w:tr>
      <w:tr>
        <w:trPr/>
        <w:tc>
          <w:tcPr>
            <w:tcW w:w="218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Gauge Schlesinger Coinvest, LLC</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274" w:type="dxa"/>
            <w:tcBorders/>
            <w:shd w:fill="FFFFFF" w:val="clear"/>
            <w:vAlign w:val="center"/>
          </w:tcPr>
          <w:p>
            <w:pPr>
              <w:pStyle w:val="TableContents"/>
              <w:bidi w:val="0"/>
              <w:spacing w:before="0" w:after="283"/>
              <w:jc w:val="left"/>
              <w:rPr/>
            </w:pPr>
            <w:r>
              <w:rPr/>
              <w:t> </w:t>
            </w:r>
          </w:p>
        </w:tc>
      </w:tr>
      <w:tr>
        <w:trPr/>
        <w:tc>
          <w:tcPr>
            <w:tcW w:w="218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Gauge TVC Coinvest, LLC</w:t>
            </w:r>
          </w:p>
        </w:tc>
        <w:tc>
          <w:tcPr>
            <w:tcW w:w="146" w:type="dxa"/>
            <w:tcBorders/>
            <w:shd w:fill="CCECFF" w:val="clear"/>
            <w:vAlign w:val="center"/>
          </w:tcPr>
          <w:p>
            <w:pPr>
              <w:pStyle w:val="TableContents"/>
              <w:bidi w:val="0"/>
              <w:spacing w:before="0" w:after="283"/>
              <w:jc w:val="left"/>
              <w:rPr/>
            </w:pPr>
            <w:r>
              <w:rPr/>
              <w:t> </w:t>
            </w:r>
          </w:p>
        </w:tc>
        <w:tc>
          <w:tcPr>
            <w:tcW w:w="273" w:type="dxa"/>
            <w:tcBorders/>
            <w:shd w:fill="CCECFF" w:val="clear"/>
            <w:vAlign w:val="center"/>
          </w:tcPr>
          <w:p>
            <w:pPr>
              <w:pStyle w:val="TableContents"/>
              <w:bidi w:val="0"/>
              <w:spacing w:before="0" w:after="283"/>
              <w:jc w:val="left"/>
              <w:rPr/>
            </w:pPr>
            <w:r>
              <w:rPr/>
              <w:t> </w:t>
            </w:r>
          </w:p>
        </w:tc>
        <w:tc>
          <w:tcPr>
            <w:tcW w:w="65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99"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Transportation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2" w:type="dxa"/>
            <w:tcBorders/>
            <w:shd w:fill="CCECFF" w:val="clear"/>
            <w:vAlign w:val="center"/>
          </w:tcPr>
          <w:p>
            <w:pPr>
              <w:pStyle w:val="TableContents"/>
              <w:bidi w:val="0"/>
              <w:spacing w:before="0" w:after="283"/>
              <w:jc w:val="left"/>
              <w:rPr/>
            </w:pPr>
            <w:r>
              <w:rPr/>
              <w:t> </w:t>
            </w:r>
          </w:p>
        </w:tc>
        <w:tc>
          <w:tcPr>
            <w:tcW w:w="45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810,645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8" w:type="dxa"/>
            <w:tcBorders/>
            <w:shd w:fill="CCECFF" w:val="clear"/>
            <w:vAlign w:val="center"/>
          </w:tcPr>
          <w:p>
            <w:pPr>
              <w:pStyle w:val="TableContents"/>
              <w:bidi w:val="0"/>
              <w:spacing w:before="0" w:after="283"/>
              <w:jc w:val="left"/>
              <w:rPr/>
            </w:pPr>
            <w:r>
              <w:rPr/>
              <w:t> </w:t>
            </w:r>
          </w:p>
        </w:tc>
        <w:tc>
          <w:tcPr>
            <w:tcW w:w="495"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2,390</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185"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(TVC Enterprises, LLC)</w:t>
            </w:r>
          </w:p>
        </w:tc>
        <w:tc>
          <w:tcPr>
            <w:tcW w:w="146" w:type="dxa"/>
            <w:tcBorders/>
            <w:shd w:fill="FFFFFF" w:val="clear"/>
            <w:vAlign w:val="center"/>
          </w:tcPr>
          <w:p>
            <w:pPr>
              <w:pStyle w:val="TableContents"/>
              <w:bidi w:val="0"/>
              <w:spacing w:before="0" w:after="283"/>
              <w:jc w:val="left"/>
              <w:rPr/>
            </w:pPr>
            <w:r>
              <w:rPr/>
              <w:t> </w:t>
            </w:r>
          </w:p>
        </w:tc>
        <w:tc>
          <w:tcPr>
            <w:tcW w:w="92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83"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58"/>
        <w:gridCol w:w="146"/>
        <w:gridCol w:w="310"/>
        <w:gridCol w:w="739"/>
        <w:gridCol w:w="146"/>
        <w:gridCol w:w="146"/>
        <w:gridCol w:w="1768"/>
        <w:gridCol w:w="146"/>
        <w:gridCol w:w="160"/>
        <w:gridCol w:w="381"/>
        <w:gridCol w:w="146"/>
        <w:gridCol w:w="146"/>
        <w:gridCol w:w="218"/>
        <w:gridCol w:w="519"/>
        <w:gridCol w:w="146"/>
        <w:gridCol w:w="146"/>
        <w:gridCol w:w="146"/>
        <w:gridCol w:w="646"/>
        <w:gridCol w:w="146"/>
        <w:gridCol w:w="146"/>
        <w:gridCol w:w="166"/>
        <w:gridCol w:w="436"/>
        <w:gridCol w:w="146"/>
        <w:gridCol w:w="146"/>
        <w:gridCol w:w="201"/>
        <w:gridCol w:w="530"/>
        <w:gridCol w:w="275"/>
      </w:tblGrid>
      <w:tr>
        <w:trPr/>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GCOM InvestCo LP</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401</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Go Dawgs Capital III, LP</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Building Materials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675,325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1,479</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1958"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(American Insulated Glass,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1049"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31"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Hancock Claims Consultants Investors,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338</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HPA SPQ Aggregator LP- Common Equity</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750,399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751</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HV Watterson Holdings, LLC</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1,778</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Icon Partners V C, L.P.</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1,118,318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1,002</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Icon Partners V C, L.P. </w:t>
            </w:r>
            <w:r>
              <w:rPr>
                <w:rFonts w:ascii="Times New Roman" w:hAnsi="Times New Roman"/>
                <w:b w:val="false"/>
                <w:color w:val="000000"/>
                <w:sz w:val="8"/>
              </w:rPr>
              <w:t>(7),(9)</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381,682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w:t>
            </w:r>
          </w:p>
        </w:tc>
        <w:tc>
          <w:tcPr>
            <w:tcW w:w="27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IHS Parent Holdngs, L.P.</w:t>
            </w:r>
          </w:p>
        </w:tc>
        <w:tc>
          <w:tcPr>
            <w:tcW w:w="146" w:type="dxa"/>
            <w:tcBorders/>
            <w:shd w:fill="CCECFF" w:val="clear"/>
            <w:vAlign w:val="center"/>
          </w:tcPr>
          <w:p>
            <w:pPr>
              <w:pStyle w:val="TableContents"/>
              <w:bidi w:val="0"/>
              <w:spacing w:before="0" w:after="283"/>
              <w:jc w:val="left"/>
              <w:rPr/>
            </w:pPr>
            <w:r>
              <w:rPr/>
              <w:t> </w:t>
            </w:r>
          </w:p>
        </w:tc>
        <w:tc>
          <w:tcPr>
            <w:tcW w:w="1049"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1,218,045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1,642</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Imagine Topco, LP</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743,826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Infogroup Parent Holdings, Inc.</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Other Media</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181,495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2,327</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1958"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(Data Axle, Inc.)</w:t>
            </w:r>
          </w:p>
        </w:tc>
        <w:tc>
          <w:tcPr>
            <w:tcW w:w="146" w:type="dxa"/>
            <w:tcBorders/>
            <w:shd w:fill="FFFFFF" w:val="clear"/>
            <w:vAlign w:val="center"/>
          </w:tcPr>
          <w:p>
            <w:pPr>
              <w:pStyle w:val="TableContents"/>
              <w:bidi w:val="0"/>
              <w:spacing w:before="0" w:after="283"/>
              <w:jc w:val="left"/>
              <w:rPr/>
            </w:pPr>
            <w:r>
              <w:rPr/>
              <w:t> </w:t>
            </w:r>
          </w:p>
        </w:tc>
        <w:tc>
          <w:tcPr>
            <w:tcW w:w="104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1"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Ironclad Holdco, LLC</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663</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1958"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(Applied Technical Services, LLC)</w:t>
            </w:r>
            <w:r>
              <w:rPr>
                <w:rFonts w:ascii="Times New Roman" w:hAnsi="Times New Roman"/>
                <w:color w:val="000000"/>
                <w:sz w:val="12"/>
              </w:rPr>
              <w:t>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104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1"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ITC Infusion Co-invest, LP</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162,445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1,775</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ITC Rumba, LLC</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375,675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1,158</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1958"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(Cano Health, LLC)</w:t>
            </w:r>
            <w:r>
              <w:rPr>
                <w:rFonts w:ascii="Times New Roman" w:hAnsi="Times New Roman"/>
                <w:color w:val="000000"/>
                <w:sz w:val="12"/>
              </w:rPr>
              <w:t>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1049"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31"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Kentucky Racing Holdco, LLC (Warrants)</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Hotels, Motels, Inns and Gaming</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1,630</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Kinetic Purchaser, LLC</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1,308,814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1,892</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KL Stockton Co-Invest LP</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382,353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775</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1958"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(Any Hour Services)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1049"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31"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Lariat ecoserv Co-Invest Holdings,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363,656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LEP Pequod Holdings, LP</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1,006</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Lightspeed Investment Holdco LLC</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273,143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741</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LJ Avalon, LP</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851,087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902</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Lorient Peregrine Investments, LP</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335,590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4,452</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Magnolia Topco LP - Class A Common Equity</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169,230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Magnolia Topco LP - Class B Common Equity</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929,200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Mars Intermidiate Holdings II, Inc.</w:t>
            </w:r>
            <w:r>
              <w:rPr>
                <w:rFonts w:ascii="Times New Roman" w:hAnsi="Times New Roman"/>
                <w:color w:val="000000"/>
                <w:sz w:val="12"/>
              </w:rPr>
              <w:t>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232</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MDI Aggregator, LP</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3,326</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Meadowlark Title,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815,385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Municipal Emergency Services, Inc.</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3,920,145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4,430</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NEPRT Parent Holdings, LLC</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1958"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(Recteq,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104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1"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NORA Parent Holdings, LLC</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1,257</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North Haven Saints Equity Holdings, LP</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351,553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351</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NXOF Holdings, Inc.</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1958"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(Tyto Athene, LLC)</w:t>
            </w:r>
          </w:p>
        </w:tc>
        <w:tc>
          <w:tcPr>
            <w:tcW w:w="146" w:type="dxa"/>
            <w:tcBorders/>
            <w:shd w:fill="FFFFFF" w:val="clear"/>
            <w:vAlign w:val="center"/>
          </w:tcPr>
          <w:p>
            <w:pPr>
              <w:pStyle w:val="TableContents"/>
              <w:bidi w:val="0"/>
              <w:spacing w:before="0" w:after="283"/>
              <w:jc w:val="left"/>
              <w:rPr/>
            </w:pPr>
            <w:r>
              <w:rPr/>
              <w:t> </w:t>
            </w:r>
          </w:p>
        </w:tc>
        <w:tc>
          <w:tcPr>
            <w:tcW w:w="104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1"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OceanSound Discovery Equity, LP</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98,286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2,133</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1958"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(Holdco Sands Intermediate,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104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1"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OHCP V BC COI, L.P.</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446,250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390</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OHCP V BC COI, L.P. </w:t>
            </w:r>
            <w:r>
              <w:rPr>
                <w:rFonts w:ascii="Times New Roman" w:hAnsi="Times New Roman"/>
                <w:b w:val="false"/>
                <w:color w:val="000000"/>
                <w:sz w:val="8"/>
              </w:rPr>
              <w:t>(7),(9)</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303,750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w:t>
            </w:r>
          </w:p>
        </w:tc>
        <w:tc>
          <w:tcPr>
            <w:tcW w:w="27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ORL Holdco, Inc.</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PennantPark-TSO Senior Loan Fund II, LP</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FFFFFF" w:val="cle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12,269,640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12,485</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Pink Lily Holdco,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Retail</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Pragmatic Institute, LLC</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1,918,047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747</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Quad (U.S.) Co-Invest, L.P.</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2,958,706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3,461</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QuantiTech InvestCo LP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446</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QuantiTech InvestCo LP </w:t>
            </w:r>
            <w:r>
              <w:rPr>
                <w:rFonts w:ascii="Times New Roman" w:hAnsi="Times New Roman"/>
                <w:b w:val="false"/>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QuantiTech InvestCo II LP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RFMG Parent, LP</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1,050,000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1,052</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1958"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(Rancho Health MSO, Inc.)</w:t>
            </w:r>
          </w:p>
        </w:tc>
        <w:tc>
          <w:tcPr>
            <w:tcW w:w="146" w:type="dxa"/>
            <w:tcBorders/>
            <w:shd w:fill="FFFFFF" w:val="clear"/>
            <w:vAlign w:val="center"/>
          </w:tcPr>
          <w:p>
            <w:pPr>
              <w:pStyle w:val="TableContents"/>
              <w:bidi w:val="0"/>
              <w:spacing w:before="0" w:after="283"/>
              <w:jc w:val="left"/>
              <w:rPr/>
            </w:pPr>
            <w:r>
              <w:rPr/>
              <w:t> </w:t>
            </w:r>
          </w:p>
        </w:tc>
        <w:tc>
          <w:tcPr>
            <w:tcW w:w="104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1"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SBI Holdings Investments LLC</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36,585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291</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1958"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(Sales Benchmark Index LLC)</w:t>
            </w:r>
          </w:p>
        </w:tc>
        <w:tc>
          <w:tcPr>
            <w:tcW w:w="146" w:type="dxa"/>
            <w:tcBorders/>
            <w:shd w:fill="FFFFFF" w:val="clear"/>
            <w:vAlign w:val="center"/>
          </w:tcPr>
          <w:p>
            <w:pPr>
              <w:pStyle w:val="TableContents"/>
              <w:bidi w:val="0"/>
              <w:spacing w:before="0" w:after="283"/>
              <w:jc w:val="left"/>
              <w:rPr/>
            </w:pPr>
            <w:r>
              <w:rPr/>
              <w:t> </w:t>
            </w:r>
          </w:p>
        </w:tc>
        <w:tc>
          <w:tcPr>
            <w:tcW w:w="104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1"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Seaway Topco, LP</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2,372</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Signature CR Intermediate Holdco, Inc.</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2,059</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 L2 Holdings, LLC</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881,966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604</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SSC Dominion Holdings, LLC</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3,295</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1958" w:type="dxa"/>
            <w:tcBorders/>
            <w:shd w:fill="CCEC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Class B (US Dominion, Inc.)</w:t>
            </w:r>
          </w:p>
        </w:tc>
        <w:tc>
          <w:tcPr>
            <w:tcW w:w="146" w:type="dxa"/>
            <w:tcBorders/>
            <w:shd w:fill="CCECFF" w:val="clear"/>
            <w:vAlign w:val="center"/>
          </w:tcPr>
          <w:p>
            <w:pPr>
              <w:pStyle w:val="TableContents"/>
              <w:bidi w:val="0"/>
              <w:spacing w:before="0" w:after="283"/>
              <w:jc w:val="left"/>
              <w:rPr/>
            </w:pPr>
            <w:r>
              <w:rPr/>
              <w:t> </w:t>
            </w:r>
          </w:p>
        </w:tc>
        <w:tc>
          <w:tcPr>
            <w:tcW w:w="1049"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31"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StellPen Holdings, LLC</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153,846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169</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1958" w:type="dxa"/>
            <w:tcBorders/>
            <w:shd w:fill="CCEC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(CF512, Inc.)</w:t>
            </w:r>
          </w:p>
        </w:tc>
        <w:tc>
          <w:tcPr>
            <w:tcW w:w="146" w:type="dxa"/>
            <w:tcBorders/>
            <w:shd w:fill="CCECFF" w:val="clear"/>
            <w:vAlign w:val="center"/>
          </w:tcPr>
          <w:p>
            <w:pPr>
              <w:pStyle w:val="TableContents"/>
              <w:bidi w:val="0"/>
              <w:spacing w:before="0" w:after="283"/>
              <w:jc w:val="left"/>
              <w:rPr/>
            </w:pPr>
            <w:r>
              <w:rPr/>
              <w:t> </w:t>
            </w:r>
          </w:p>
        </w:tc>
        <w:tc>
          <w:tcPr>
            <w:tcW w:w="1049"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31"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TAC LifePort Holdings,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254,206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405</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Tower Arch Infolinks Media, LP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536,514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951</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Tower Arch Infolinks Media, LP</w:t>
            </w:r>
            <w:r>
              <w:rPr>
                <w:rFonts w:ascii="Times New Roman" w:hAnsi="Times New Roman"/>
                <w:color w:val="000000"/>
                <w:sz w:val="12"/>
              </w:rPr>
              <w:t> </w:t>
            </w:r>
            <w:r>
              <w:rPr>
                <w:rFonts w:ascii="Times New Roman" w:hAnsi="Times New Roman"/>
                <w:b w:val="false"/>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358,931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1958"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TPC Holding Company, LP</w:t>
            </w:r>
            <w:r>
              <w:rPr>
                <w:rFonts w:ascii="Times New Roman" w:hAnsi="Times New Roman"/>
                <w:color w:val="000000"/>
                <w:sz w:val="12"/>
              </w:rPr>
              <w:t> </w:t>
            </w:r>
            <w:r>
              <w:rPr>
                <w:rFonts w:ascii="Times New Roman" w:hAnsi="Times New Roman"/>
                <w:b w:val="false"/>
                <w:color w:val="000000"/>
                <w:sz w:val="8"/>
              </w:rPr>
              <w:t>(8). (11)</w:t>
            </w:r>
          </w:p>
        </w:tc>
        <w:tc>
          <w:tcPr>
            <w:tcW w:w="146" w:type="dxa"/>
            <w:tcBorders/>
            <w:shd w:fill="CCECFF" w:val="clear"/>
            <w:vAlign w:val="center"/>
          </w:tcPr>
          <w:p>
            <w:pPr>
              <w:pStyle w:val="TableContents"/>
              <w:bidi w:val="0"/>
              <w:spacing w:before="0" w:after="283"/>
              <w:jc w:val="left"/>
              <w:rPr/>
            </w:pPr>
            <w:r>
              <w:rPr/>
              <w:t> </w:t>
            </w:r>
          </w:p>
        </w:tc>
        <w:tc>
          <w:tcPr>
            <w:tcW w:w="310" w:type="dxa"/>
            <w:tcBorders/>
            <w:shd w:fill="CCECFF" w:val="clear"/>
            <w:vAlign w:val="center"/>
          </w:tcPr>
          <w:p>
            <w:pPr>
              <w:pStyle w:val="TableContents"/>
              <w:bidi w:val="0"/>
              <w:spacing w:before="0" w:after="283"/>
              <w:jc w:val="left"/>
              <w:rPr/>
            </w:pPr>
            <w:r>
              <w:rPr/>
              <w:t> </w:t>
            </w:r>
          </w:p>
        </w:tc>
        <w:tc>
          <w:tcPr>
            <w:tcW w:w="73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Food</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8" w:type="dxa"/>
            <w:tcBorders/>
            <w:shd w:fill="CCECFF" w:val="clear"/>
            <w:vAlign w:val="center"/>
          </w:tcPr>
          <w:p>
            <w:pPr>
              <w:pStyle w:val="TableContents"/>
              <w:bidi w:val="0"/>
              <w:spacing w:before="0" w:after="283"/>
              <w:jc w:val="left"/>
              <w:rPr/>
            </w:pPr>
            <w:r>
              <w:rPr/>
              <w:t> </w:t>
            </w:r>
          </w:p>
        </w:tc>
        <w:tc>
          <w:tcPr>
            <w:tcW w:w="51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01" w:type="dxa"/>
            <w:tcBorders/>
            <w:shd w:fill="CCECFF" w:val="clear"/>
            <w:vAlign w:val="center"/>
          </w:tcPr>
          <w:p>
            <w:pPr>
              <w:pStyle w:val="TableContents"/>
              <w:bidi w:val="0"/>
              <w:spacing w:before="0" w:after="283"/>
              <w:jc w:val="left"/>
              <w:rPr/>
            </w:pPr>
            <w:r>
              <w:rPr/>
              <w:t> </w:t>
            </w:r>
          </w:p>
        </w:tc>
        <w:tc>
          <w:tcPr>
            <w:tcW w:w="53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w:t>
            </w:r>
          </w:p>
        </w:tc>
        <w:tc>
          <w:tcPr>
            <w:tcW w:w="275" w:type="dxa"/>
            <w:tcBorders/>
            <w:shd w:fill="CCEC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TWD Parent Holdings, LLC</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1958" w:type="dxa"/>
            <w:tcBorders/>
            <w:shd w:fill="CCEC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1049"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68"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3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31"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left"/>
        <w:rPr/>
      </w:pPr>
      <w:r>
        <w:rPr/>
        <w:t> </w:t>
      </w:r>
    </w:p>
    <w:p>
      <w:pPr>
        <w:pStyle w:val="TextBody"/>
        <w:bidi w:val="0"/>
        <w:spacing w:before="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SEPTEMBER 30, 2023</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71"/>
        <w:gridCol w:w="146"/>
        <w:gridCol w:w="268"/>
        <w:gridCol w:w="638"/>
        <w:gridCol w:w="146"/>
        <w:gridCol w:w="146"/>
        <w:gridCol w:w="1262"/>
        <w:gridCol w:w="146"/>
        <w:gridCol w:w="151"/>
        <w:gridCol w:w="390"/>
        <w:gridCol w:w="211"/>
        <w:gridCol w:w="146"/>
        <w:gridCol w:w="233"/>
        <w:gridCol w:w="469"/>
        <w:gridCol w:w="146"/>
        <w:gridCol w:w="146"/>
        <w:gridCol w:w="166"/>
        <w:gridCol w:w="646"/>
        <w:gridCol w:w="146"/>
        <w:gridCol w:w="146"/>
        <w:gridCol w:w="166"/>
        <w:gridCol w:w="586"/>
        <w:gridCol w:w="146"/>
        <w:gridCol w:w="146"/>
        <w:gridCol w:w="169"/>
        <w:gridCol w:w="599"/>
        <w:gridCol w:w="274"/>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UniVista Insurance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4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555</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Urology Partners Co., L.P.</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1,111,111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1,044</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WCP Ivyrehab QP CF Feeder, LP</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4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3,715,012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4,319</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WCP Ivyrehab QP CF Feeder, LP - Unfunded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284,988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Wildcat Parent, LP</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4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820</w:t>
            </w:r>
          </w:p>
        </w:tc>
        <w:tc>
          <w:tcPr>
            <w:tcW w:w="274" w:type="dxa"/>
            <w:tcBorders/>
            <w:shd w:fill="CCECFF" w:val="clear"/>
            <w:vAlign w:val="center"/>
          </w:tcPr>
          <w:p>
            <w:pPr>
              <w:pStyle w:val="TableContents"/>
              <w:bidi w:val="0"/>
              <w:spacing w:before="0" w:after="283"/>
              <w:ind w:left="0" w:right="0" w:firstLine="80"/>
              <w:jc w:val="left"/>
              <w:rPr/>
            </w:pPr>
            <w:r>
              <w:rPr/>
              <w:t> </w:t>
            </w:r>
          </w:p>
        </w:tc>
      </w:tr>
      <w:tr>
        <w:trPr/>
        <w:tc>
          <w:tcPr>
            <w:tcW w:w="2371"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(Wildcat Buyerco, Inc.)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Equity/Partnership Interests/Warrants</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95,037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115,478</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Non-Controlled, Non-Affiliated Portfolio Companies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716,986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731,058</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5" w:type="dxa"/>
            <w:gridSpan w:val="6"/>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Non-Controlled, Affiliated Portfolio Companies—10.9% of Net Assets </w:t>
            </w:r>
            <w:r>
              <w:rPr>
                <w:rFonts w:ascii="Times New Roman" w:hAnsi="Times New Roman"/>
                <w:b/>
                <w:color w:val="000000"/>
                <w:sz w:val="8"/>
              </w:rPr>
              <w:t>(1), (2)</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Debt—2.1% of Net Assets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Walker Edison Furniture Company LLC</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Home and Office Furnishings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12.18</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SOFR+685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7,042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7,043</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Walker Edison Furniture Company, LLC - Unfunded Term Loan</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03/31/2027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Home and Office Furnishings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Walker Edison Furniture Company LLC - Junior Revolver</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Home and Office Furnishings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11.68</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SOFR+685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3,333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3,333</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10,376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Preferred Equity/Partnership Interests—6.4% of Net Assets</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Cascade Environmental Holdings,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5,887,236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31,032</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Cascade Environmental Holdings, LLC - Series B</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4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1,073</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Equity/Partnership Interests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33,709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32,105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Equity/Partnership Interests/Warrants—2.4% of Net Assets </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Cascade Environmental Holdings, LLC</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7,444,347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JF Intermediate, LLC</w:t>
            </w:r>
          </w:p>
        </w:tc>
        <w:tc>
          <w:tcPr>
            <w:tcW w:w="146" w:type="dxa"/>
            <w:tcBorders/>
            <w:shd w:fill="CCECFF" w:val="clear"/>
            <w:vAlign w:val="center"/>
          </w:tcPr>
          <w:p>
            <w:pPr>
              <w:pStyle w:val="TableContents"/>
              <w:bidi w:val="0"/>
              <w:spacing w:before="0" w:after="283"/>
              <w:jc w:val="lef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4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19,687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8,759</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Walker Edison Furniture</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Home and Office Furnishings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3,531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Equity/Partnership Interests/Warrants</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11,703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12,290</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Non-Controlled, Affiliated Portfolio Companies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55,787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54,771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Controlled, Affiliated Portfolio Companies—43.0% of Net Assets </w:t>
            </w:r>
            <w:r>
              <w:rPr>
                <w:rFonts w:ascii="Times New Roman" w:hAnsi="Times New Roman"/>
                <w:b/>
                <w:color w:val="000000"/>
                <w:sz w:val="8"/>
              </w:rPr>
              <w:t>(1), (2)</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Debt—9.8% of Net Assets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AKW Holdings Limited </w:t>
            </w:r>
            <w:r>
              <w:rPr>
                <w:rFonts w:ascii="Times New Roman" w:hAnsi="Times New Roman"/>
                <w:b w:val="false"/>
                <w:color w:val="000000"/>
                <w:sz w:val="8"/>
              </w:rPr>
              <w:t>(8), (10), (11)</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03/15/2027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12.21</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SONIA+700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40,371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55,388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49,275</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49,275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 Secured Debt—0.0% of Net Assets</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Mailsouth Inc. </w:t>
            </w:r>
            <w:r>
              <w:rPr>
                <w:rFonts w:ascii="Times New Roman" w:hAnsi="Times New Roman"/>
                <w:b w:val="false"/>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04/23/2025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Printing and Publishing</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 Secured Debt</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12,383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Debt—20.4% of Net Assets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PennantPark Senior Loan Fund, LLC </w:t>
            </w:r>
            <w:r>
              <w:rPr>
                <w:rFonts w:ascii="Times New Roman" w:hAnsi="Times New Roman"/>
                <w:b w:val="false"/>
                <w:color w:val="000000"/>
                <w:sz w:val="8"/>
              </w:rPr>
              <w:t>(11)</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26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CECFF" w:val="clear"/>
            <w:vAlign w:val="center"/>
          </w:tcPr>
          <w:p>
            <w:pPr>
              <w:pStyle w:val="TableContents"/>
              <w:bidi w:val="0"/>
              <w:spacing w:before="0" w:after="283"/>
              <w:jc w:val="center"/>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13.37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SOFR+800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102,325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102,325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102,325</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102,325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102,325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Equity—12.8% of Net Assets </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4" w:type="dxa"/>
            <w:tcBorders/>
            <w:shd w:fill="CCECFF" w:val="clear"/>
            <w:vAlign w:val="center"/>
          </w:tcPr>
          <w:p>
            <w:pPr>
              <w:pStyle w:val="TableContents"/>
              <w:bidi w:val="0"/>
              <w:spacing w:before="0" w:after="283"/>
              <w:jc w:val="righ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AKW Holdings Limited </w:t>
            </w:r>
            <w:r>
              <w:rPr>
                <w:rFonts w:ascii="Times New Roman" w:hAnsi="Times New Roman"/>
                <w:b w:val="false"/>
                <w:color w:val="000000"/>
                <w:sz w:val="8"/>
              </w:rPr>
              <w:t>(8), (10), (11)</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2,385</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MSpark, LLC</w:t>
            </w:r>
          </w:p>
        </w:tc>
        <w:tc>
          <w:tcPr>
            <w:tcW w:w="146" w:type="dxa"/>
            <w:tcBorders/>
            <w:shd w:fill="CCECFF" w:val="clear"/>
            <w:vAlign w:val="center"/>
          </w:tcPr>
          <w:p>
            <w:pPr>
              <w:pStyle w:val="TableContents"/>
              <w:bidi w:val="0"/>
              <w:spacing w:before="0" w:after="283"/>
              <w:jc w:val="right"/>
              <w:rPr/>
            </w:pPr>
            <w:r>
              <w:rPr/>
              <w:t> </w:t>
            </w:r>
          </w:p>
        </w:tc>
        <w:tc>
          <w:tcPr>
            <w:tcW w:w="268" w:type="dxa"/>
            <w:tcBorders/>
            <w:shd w:fill="CCECFF" w:val="clear"/>
            <w:vAlign w:val="center"/>
          </w:tcPr>
          <w:p>
            <w:pPr>
              <w:pStyle w:val="TableContents"/>
              <w:bidi w:val="0"/>
              <w:spacing w:before="0" w:after="283"/>
              <w:jc w:val="left"/>
              <w:rPr/>
            </w:pPr>
            <w:r>
              <w:rPr/>
              <w:t> </w:t>
            </w:r>
          </w:p>
        </w:tc>
        <w:tc>
          <w:tcPr>
            <w:tcW w:w="63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26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Printing and Publishing</w:t>
            </w:r>
          </w:p>
        </w:tc>
        <w:tc>
          <w:tcPr>
            <w:tcW w:w="146" w:type="dxa"/>
            <w:tcBorders/>
            <w:shd w:fill="CCECFF" w:val="clear"/>
            <w:vAlign w:val="center"/>
          </w:tcPr>
          <w:p>
            <w:pPr>
              <w:pStyle w:val="TableContents"/>
              <w:bidi w:val="0"/>
              <w:spacing w:before="0" w:after="283"/>
              <w:jc w:val="center"/>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33" w:type="dxa"/>
            <w:tcBorders/>
            <w:shd w:fill="CCECFF" w:val="clear"/>
            <w:vAlign w:val="center"/>
          </w:tcPr>
          <w:p>
            <w:pPr>
              <w:pStyle w:val="TableContents"/>
              <w:bidi w:val="0"/>
              <w:spacing w:before="0" w:after="283"/>
              <w:jc w:val="left"/>
              <w:rPr/>
            </w:pPr>
            <w:r>
              <w:rPr/>
              <w:t> </w:t>
            </w:r>
          </w:p>
        </w:tc>
        <w:tc>
          <w:tcPr>
            <w:tcW w:w="4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51,151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16,516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color w:val="000000"/>
              </w:rPr>
            </w:pPr>
            <w:r>
              <w:rPr>
                <w:color w:val="000000"/>
              </w:rPr>
              <w:t>—</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PennantPark Senior Loan Fund, LLC</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58,580,060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62,083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75,291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64,468</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Controlled, Affiliated Portfolio Companies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245,387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216,068</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Investments—199.5% of Net Assets</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1,018,160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1,001,897</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Equivalents—26.8% of Net Assets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righ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BlackRock Federal FD Institutional 30</w:t>
            </w:r>
          </w:p>
        </w:tc>
        <w:tc>
          <w:tcPr>
            <w:tcW w:w="146" w:type="dxa"/>
            <w:tcBorders/>
            <w:shd w:fill="CCECFF" w:val="clear"/>
            <w:vAlign w:val="center"/>
          </w:tcPr>
          <w:p>
            <w:pPr>
              <w:pStyle w:val="TableContents"/>
              <w:bidi w:val="0"/>
              <w:spacing w:before="0" w:after="283"/>
              <w:jc w:val="right"/>
              <w:rPr/>
            </w:pPr>
            <w:r>
              <w:rPr/>
              <w:t> </w:t>
            </w:r>
          </w:p>
        </w:tc>
        <w:tc>
          <w:tcPr>
            <w:tcW w:w="906"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262"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24,683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24,683</w:t>
            </w:r>
          </w:p>
        </w:tc>
        <w:tc>
          <w:tcPr>
            <w:tcW w:w="274" w:type="dxa"/>
            <w:tcBorders/>
            <w:shd w:fill="CCECFF"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U.S. Treasury Bill </w:t>
            </w:r>
            <w:r>
              <w:rPr>
                <w:rFonts w:ascii="Times New Roman" w:hAnsi="Times New Roman"/>
                <w:b w:val="false"/>
                <w:color w:val="000000"/>
                <w:sz w:val="8"/>
              </w:rPr>
              <w:t>(5)</w:t>
            </w:r>
          </w:p>
        </w:tc>
        <w:tc>
          <w:tcPr>
            <w:tcW w:w="146" w:type="dxa"/>
            <w:tcBorders/>
            <w:shd w:fill="FFFFFF" w:val="clear"/>
            <w:vAlign w:val="center"/>
          </w:tcPr>
          <w:p>
            <w:pPr>
              <w:pStyle w:val="TableContents"/>
              <w:bidi w:val="0"/>
              <w:spacing w:before="0" w:after="283"/>
              <w:jc w:val="right"/>
              <w:rPr/>
            </w:pPr>
            <w:r>
              <w:rPr/>
              <w:t> </w:t>
            </w:r>
          </w:p>
        </w:tc>
        <w:tc>
          <w:tcPr>
            <w:tcW w:w="9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99,751</w:t>
            </w:r>
          </w:p>
        </w:tc>
        <w:tc>
          <w:tcPr>
            <w:tcW w:w="274" w:type="dxa"/>
            <w:tcBorders/>
            <w:shd w:fill="FFFFFF" w:val="cle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Non-Money Market Cash</w:t>
            </w:r>
          </w:p>
        </w:tc>
        <w:tc>
          <w:tcPr>
            <w:tcW w:w="146" w:type="dxa"/>
            <w:tcBorders/>
            <w:shd w:fill="CCECFF" w:val="clear"/>
            <w:vAlign w:val="center"/>
          </w:tcPr>
          <w:p>
            <w:pPr>
              <w:pStyle w:val="TableContents"/>
              <w:bidi w:val="0"/>
              <w:spacing w:before="0" w:after="283"/>
              <w:jc w:val="right"/>
              <w:rPr/>
            </w:pPr>
            <w:r>
              <w:rPr/>
              <w:t> </w:t>
            </w:r>
          </w:p>
        </w:tc>
        <w:tc>
          <w:tcPr>
            <w:tcW w:w="906"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262"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9,993</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134,454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134,427</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Equivalents—226.3% of Net Assets</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8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1,152,614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1,136,324</w:t>
            </w:r>
          </w:p>
        </w:tc>
        <w:tc>
          <w:tcPr>
            <w:tcW w:w="27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Assets—(126.3%) of Net Assets</w:t>
            </w:r>
          </w:p>
        </w:tc>
        <w:tc>
          <w:tcPr>
            <w:tcW w:w="146" w:type="dxa"/>
            <w:tcBorders/>
            <w:shd w:fill="FFFFFF" w:val="clear"/>
            <w:vAlign w:val="center"/>
          </w:tcPr>
          <w:p>
            <w:pPr>
              <w:pStyle w:val="TableContents"/>
              <w:bidi w:val="0"/>
              <w:spacing w:before="0" w:after="283"/>
              <w:jc w:val="left"/>
              <w:rPr/>
            </w:pPr>
            <w:r>
              <w:rPr/>
              <w:t> </w:t>
            </w:r>
          </w:p>
        </w:tc>
        <w:tc>
          <w:tcPr>
            <w:tcW w:w="9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(634,137</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71"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Assets—100.0%</w:t>
            </w:r>
          </w:p>
        </w:tc>
        <w:tc>
          <w:tcPr>
            <w:tcW w:w="146" w:type="dxa"/>
            <w:tcBorders/>
            <w:shd w:fill="CCECFF" w:val="clear"/>
            <w:vAlign w:val="center"/>
          </w:tcPr>
          <w:p>
            <w:pPr>
              <w:pStyle w:val="TableContents"/>
              <w:bidi w:val="0"/>
              <w:spacing w:before="0" w:after="283"/>
              <w:jc w:val="left"/>
              <w:rPr/>
            </w:pPr>
            <w:r>
              <w:rPr/>
              <w:t> </w:t>
            </w:r>
          </w:p>
        </w:tc>
        <w:tc>
          <w:tcPr>
            <w:tcW w:w="90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6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0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502,187</w:t>
            </w:r>
          </w:p>
        </w:tc>
        <w:tc>
          <w:tcPr>
            <w:tcW w:w="27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(1)</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(2)</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(3)</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Valued based on our accounting policy (See Note 2).</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(4)</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(5)</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The security was not valued using significant unobservable inputs. The value of all other securities was determined using significant unobservable inputs (See Note 5).</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(6)</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Non-income producing securities.</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(7)</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 xml:space="preserve">Represents the purchase of a security with delayed settlement or a revolving line of credit that is currently an unfunded investment. This security does not earn a basis point spread above an index while it is unfunded. </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(8)</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Non-U.S. company or principal place of business outside the United States.</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(9)</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Investment is held through our Taxable Subsidiary (See Note 1).</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(10)</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Par / Shares amount is denominated in British Pounds (£) as denoted.</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(11)</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2023, qualifying assets represent 77% of the Company’s total assets and non-qualifying assets represent 23% of the Company’s total assets.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SEPTEMBER 30, 2022</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804"/>
        <w:gridCol w:w="146"/>
        <w:gridCol w:w="932"/>
        <w:gridCol w:w="146"/>
        <w:gridCol w:w="1533"/>
        <w:gridCol w:w="146"/>
        <w:gridCol w:w="151"/>
        <w:gridCol w:w="390"/>
        <w:gridCol w:w="211"/>
        <w:gridCol w:w="146"/>
        <w:gridCol w:w="194"/>
        <w:gridCol w:w="461"/>
        <w:gridCol w:w="146"/>
        <w:gridCol w:w="146"/>
        <w:gridCol w:w="146"/>
        <w:gridCol w:w="436"/>
        <w:gridCol w:w="146"/>
        <w:gridCol w:w="146"/>
        <w:gridCol w:w="166"/>
        <w:gridCol w:w="436"/>
        <w:gridCol w:w="146"/>
        <w:gridCol w:w="146"/>
        <w:gridCol w:w="189"/>
        <w:gridCol w:w="498"/>
        <w:gridCol w:w="198"/>
      </w:tblGrid>
      <w:tr>
        <w:trPr/>
        <w:tc>
          <w:tcPr>
            <w:tcW w:w="2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Non-Controlled, Non-Affiliated Portfolio Companies—159.2% of Net Assets </w:t>
            </w:r>
            <w:r>
              <w:rPr>
                <w:rFonts w:ascii="Times New Roman" w:hAnsi="Times New Roman"/>
                <w:b/>
                <w:color w:val="000000"/>
                <w:sz w:val="8"/>
              </w:rPr>
              <w:t>(1), (2)</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8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87" w:type="dxa"/>
            <w:gridSpan w:val="2"/>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righ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Debt—100.5% of Net Assets</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Ad.net Acquisition,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05/06/2026</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Altamira Technologies, LLC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07/24/2025</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L+800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Altamira Technologies,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07/24/2025</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American Insulated Glass,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12/21/2023</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Building Materials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3,329</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Anteriad, LLC (f/k/a MeritDirect,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05/23/2024</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color w:val="000000"/>
              </w:rPr>
            </w:pPr>
            <w:r>
              <w:rPr>
                <w:color w:val="000000"/>
              </w:rPr>
              <w:t>—</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Any Hour Services</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4,038</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Any Hour Services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07/21/2027</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Apex Service Partners,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07/31/2025</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1,324</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Apex Service Partners, LLC Term Loan 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07/31/2025</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9.08</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1,883</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Apex Service Partners, LLC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07/31/2025</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Apex Service Partners,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07/31/2025</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Applied Technical Services,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1,367</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Applied Technical Services, LLC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04/21/2023</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Applied Technical Services, LLC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12/29/2026</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10.25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P+475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195</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Applied Technical Services,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12/29/2026</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Arcfield Acquisition Corp.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03/07/2028</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Berwick Industrial Park</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04/28/2023</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Buildings and Real Estate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3,934</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Beta Plus Technologies, Inc.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07/01/2029</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SOFR+525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4,900</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Blackhawk Industrial Distribution, Inc.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09/17/2024</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1,149</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Blackhawk Industrial Distribution, Inc.</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09/17/2024</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Blackhawk Industrial Distribution, Inc. (Revolver)</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09/17/2024</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667</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Blackhawk Industrial Distribution,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09/17/2024</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Broder Bros., Co.</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12/02/2022</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10,096</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Cartessa Aesthetics,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05/13/2028</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38,644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38,810</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Cartessa Aesthetics, LLC - (Revolver)</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05/13/2028</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9.55</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1,246</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Cartessa Aesthetics, LLC -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05/13/2028</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CF512, Inc.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08/20/2026</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6,619</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CF512, Inc.(Revolver)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08/20/2026</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Compex Legal Services, Inc.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02/09/2026</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7.48</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853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853</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Compex Legal Services, Inc.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02/07/2025</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361</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Compex Legal Services,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02/07/2025</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color w:val="000000"/>
              </w:rPr>
            </w:pPr>
            <w:r>
              <w:rPr>
                <w:color w:val="000000"/>
              </w:rPr>
              <w:t>—</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Connatix Buyer, Inc.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01/13/2023</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Connatix Buyer,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07/13/2027</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Crane 1 Services, Inc.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08/16/2027</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8.40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2,580</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Crane 1 Services, Inc. (Revolver)</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08/16/2027</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Crane 1 Services,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08/16/2027</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DermaRite Industries LLC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06/30/2023</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Manufacturing / Basic Industries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10.67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7,030</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Dr. Squatch,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08/31/2027</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and Non-Durable 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12,742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12,736</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Dr. Squatch, LLC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08/27/2026</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Dr. Squatch, LLC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08/31/2027</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and Non-Durable 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764</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Dr. Squatch,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08/31/2027</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and Non-Durable Consumer Products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DRS Holdings III,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11/03/2025</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ECL Entertainment, LLC</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05/01/2028</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Hotels, Motels, Inns and Gaming</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10.62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L+750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19,156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19,019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18,869</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ECM Industries, LLC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12/23/2025</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L+475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277</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ECM Industries,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12/23/2025</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Exigo Intermediate II,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03/15/2027</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24,532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24,315</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Exigo Intermediate II, LLC</w:t>
            </w:r>
            <w:r>
              <w:rPr>
                <w:rFonts w:ascii="Times New Roman" w:hAnsi="Times New Roman"/>
                <w:color w:val="000000"/>
                <w:sz w:val="12"/>
              </w:rPr>
              <w:t>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03/15/2024</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7,424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Exigo Intermediate II, LLC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03/15/2027</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363</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Exigo Intermediate II,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03/15/2027</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Fairbanks Morse Defense</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06/17/2028</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L+475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682</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Gantech Acquisition Corp.</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05/14/2026</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16,809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16,548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16,305</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Gantech Acquisition Corp. (Revolver)</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05/14/2026</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Gantech Acquisition Corp.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05/14/2026</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Graffiti Buyer, Inc.</w:t>
            </w:r>
            <w:r>
              <w:rPr>
                <w:rFonts w:ascii="Times New Roman" w:hAnsi="Times New Roman"/>
                <w:color w:val="000000"/>
                <w:sz w:val="12"/>
              </w:rPr>
              <w:t>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08/10/2023</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Graffiti Buyer, Inc. (Revolver)</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08/10/2027</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9.16</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55"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357</w:t>
            </w:r>
          </w:p>
        </w:tc>
        <w:tc>
          <w:tcPr>
            <w:tcW w:w="198" w:type="dxa"/>
            <w:tcBorders/>
            <w:shd w:fill="CCECFF" w:val="clear"/>
            <w:vAlign w:val="center"/>
          </w:tcPr>
          <w:p>
            <w:pPr>
              <w:pStyle w:val="TableContents"/>
              <w:bidi w:val="0"/>
              <w:spacing w:before="0" w:after="283"/>
              <w:jc w:val="left"/>
              <w:rPr/>
            </w:pPr>
            <w:r>
              <w:rPr/>
              <w:t> </w:t>
            </w:r>
          </w:p>
        </w:tc>
      </w:tr>
      <w:tr>
        <w:trPr/>
        <w:tc>
          <w:tcPr>
            <w:tcW w:w="2804"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Graffiti Buyer,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08/10/2027</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Hancock Roofing and Construction L.L.C.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12/31/2022</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Hancock Roofing and Construction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12/31/2026</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L+500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266</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Hancock Roofing and Construction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12/31/2026</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804"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Holdco Sands Intermediate, LLC</w:t>
            </w:r>
          </w:p>
        </w:tc>
        <w:tc>
          <w:tcPr>
            <w:tcW w:w="14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11/23/2028</w:t>
            </w:r>
          </w:p>
        </w:tc>
        <w:tc>
          <w:tcPr>
            <w:tcW w:w="146" w:type="dxa"/>
            <w:tcBorders/>
            <w:shd w:fill="FFFFFF" w:val="clear"/>
            <w:vAlign w:val="center"/>
          </w:tcPr>
          <w:p>
            <w:pPr>
              <w:pStyle w:val="TableContents"/>
              <w:bidi w:val="0"/>
              <w:spacing w:before="0" w:after="283"/>
              <w:jc w:val="left"/>
              <w:rPr/>
            </w:pPr>
            <w:r>
              <w:rPr/>
              <w:t> </w:t>
            </w:r>
          </w:p>
        </w:tc>
        <w:tc>
          <w:tcPr>
            <w:tcW w:w="1533"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10.17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1,879</w:t>
            </w:r>
          </w:p>
        </w:tc>
        <w:tc>
          <w:tcPr>
            <w:tcW w:w="198" w:type="dxa"/>
            <w:tcBorders/>
            <w:shd w:fill="FFFFFF" w:val="clear"/>
            <w:vAlign w:val="center"/>
          </w:tcPr>
          <w:p>
            <w:pPr>
              <w:pStyle w:val="TableContents"/>
              <w:bidi w:val="0"/>
              <w:spacing w:before="0" w:after="283"/>
              <w:jc w:val="left"/>
              <w:rPr/>
            </w:pPr>
            <w:r>
              <w:rPr/>
              <w:t> </w:t>
            </w:r>
          </w:p>
        </w:tc>
      </w:tr>
      <w:tr>
        <w:trPr/>
        <w:tc>
          <w:tcPr>
            <w:tcW w:w="2804"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Holdco Sands Intermediate,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32"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11/23/2027</w:t>
            </w:r>
          </w:p>
        </w:tc>
        <w:tc>
          <w:tcPr>
            <w:tcW w:w="146" w:type="dxa"/>
            <w:tcBorders/>
            <w:shd w:fill="CCECFF" w:val="clear"/>
            <w:vAlign w:val="center"/>
          </w:tcPr>
          <w:p>
            <w:pPr>
              <w:pStyle w:val="TableContents"/>
              <w:bidi w:val="0"/>
              <w:spacing w:before="0" w:after="283"/>
              <w:jc w:val="left"/>
              <w:rPr/>
            </w:pPr>
            <w:r>
              <w:rPr/>
              <w:t> </w:t>
            </w:r>
          </w:p>
        </w:tc>
        <w:tc>
          <w:tcPr>
            <w:tcW w:w="1533"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4" w:type="dxa"/>
            <w:tcBorders/>
            <w:shd w:fill="CCECFF" w:val="clear"/>
            <w:vAlign w:val="center"/>
          </w:tcPr>
          <w:p>
            <w:pPr>
              <w:pStyle w:val="TableContents"/>
              <w:bidi w:val="0"/>
              <w:spacing w:before="0" w:after="283"/>
              <w:jc w:val="left"/>
              <w:rPr/>
            </w:pPr>
            <w:r>
              <w:rPr/>
              <w:t> </w:t>
            </w:r>
          </w:p>
        </w:tc>
        <w:tc>
          <w:tcPr>
            <w:tcW w:w="46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3,941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498"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SEPTEMBER 30, 2022</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6"/>
        <w:gridCol w:w="146"/>
        <w:gridCol w:w="1020"/>
        <w:gridCol w:w="146"/>
        <w:gridCol w:w="2097"/>
        <w:gridCol w:w="146"/>
        <w:gridCol w:w="184"/>
        <w:gridCol w:w="476"/>
        <w:gridCol w:w="211"/>
        <w:gridCol w:w="146"/>
        <w:gridCol w:w="212"/>
        <w:gridCol w:w="505"/>
        <w:gridCol w:w="146"/>
        <w:gridCol w:w="146"/>
        <w:gridCol w:w="146"/>
        <w:gridCol w:w="436"/>
        <w:gridCol w:w="146"/>
        <w:gridCol w:w="146"/>
        <w:gridCol w:w="166"/>
        <w:gridCol w:w="436"/>
        <w:gridCol w:w="146"/>
        <w:gridCol w:w="146"/>
        <w:gridCol w:w="198"/>
        <w:gridCol w:w="522"/>
        <w:gridCol w:w="200"/>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HV Watterson Holdings, LLC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12/17/2026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271</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HV Watterson Holdings, LLC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12/17/2026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HV Watterson Holdings, LLC - (Revolver)</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12/17/2026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9.63</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193</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HV Watterson Holdings, LLC - (Revolver)</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12/17/2026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HW Holdco, LLC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12/10/2024</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10,188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10,061</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HW Holdco, LLC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12/10/2024</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HW Holdco,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12/10/2024</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Icon Partners III, LP</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05/11/2028</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L+475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727</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IDC Infusion Services, Inc.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12/30/2026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3,574</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IDC Infusion Services,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12/30/2026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(187</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IG Investments Holdings,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09/22/2027</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Imagine Acquisitionco, LLC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11/15/2027</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Imagine Acquisitionco,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11/15/2027</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Inception Fertility Ventures, LLC</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12/07/2023</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10.18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L+715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20,301</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Infolinks Media Buyco, LLC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11/01/2023</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Integrity Marketing Acquisition, LLC</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08/27/2025</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9,831</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ITI Holdings, Inc.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03/03/2028</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8,749</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ITI Holdings, Inc. (Revolver)</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03/03/2028</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292</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ITI Holdings,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03/03/2028</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K2 Pure Solutions NoCal, L.P.</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12/20/2023</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L+800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11,678</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K2 Pure Solutions NoCal, L.P.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12/20/2023</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Kinetic Purchaser, LLC</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11/10/2027</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23,855</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Kinetic Purchaser, LLC (Revolver)</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11/10/2026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9.67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4,757</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Lash OpCo, LLC</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02/18/2027</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2,771</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Lash OpCo, LLC (Revolver)</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9.38</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556</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Lash OpCo,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LAV Gear Holdings, Inc.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10/31/2024</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Leisure, Amusement, Motion Pictures, Entertainment</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9.95</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L+750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2,013</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0"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(PIK 5.50%)</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Ledge Lounger, Inc.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11/09/2026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9,040</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Ledge Lounger,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11/09/2026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Lightspeed Buyer Inc.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02/03/2026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2,148</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Lightspeed Buyer Inc. (Revolver)</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02/03/2026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489</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Lightspeed Buyer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02/03/2026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Limerick Town Cener, LLC</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09/27/2023</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Real Estate</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2,970</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LSF9 Atlantis Holdings, LLC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03/31/2029</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Retail</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SOFR+725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5,685</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Mars Acquisition Holdings Corp. (Revolver)</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05/14/2026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MBS Holdings,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04/16/2027</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MDI Buyer, Inc.</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07/25/2028</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14,112</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MDI Buyer, Inc. Term Loan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07/25/2028</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MDI Buyer,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07/25/2028</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Meadowlark Acquirer, LLC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1,307</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Meadowlark Acquirer, LLC Term Loan I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Meadowlark Acquirer, LLC Term Loan II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12/10/2027</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Meadowlark Acquirer,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12/10/2027</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Municipal Emergency Services, Inc.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09/28/2027</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663</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Municipal Emergency Services, Inc.</w:t>
            </w:r>
            <w:r>
              <w:rPr>
                <w:rFonts w:ascii="Times New Roman" w:hAnsi="Times New Roman"/>
                <w:color w:val="000000"/>
                <w:sz w:val="12"/>
              </w:rPr>
              <w:t>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09/28/2027</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(56</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Municipal Emergency Services, Inc. (Revolver)</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09/28/2027</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7.25</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266</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Municipal Emergency Services,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09/28/2027</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NBH Group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08/19/2026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Neptune Flood Incorporated</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10/14/2026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4,423</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OIS Management Services,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07/09/2026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One Stop Mailing, LLC</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05/07/2027</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Cargo Transport</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6,798</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ORL Acquisition, Inc.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09/03/2027</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4,378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4,454</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ORL Acquisition,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09/03/2027</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Ox Two, LLC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05/18/2026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Building Materials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9.81</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15,391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15,189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15,083</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Ox Two, LLC (Revolver)</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05/18/2026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Building Materials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1,739</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Ox Two, LLC (Revolver)</w:t>
            </w:r>
            <w:r>
              <w:rPr>
                <w:rFonts w:ascii="Times New Roman" w:hAnsi="Times New Roman"/>
                <w:color w:val="000000"/>
                <w:sz w:val="12"/>
              </w:rPr>
              <w:t>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05/18/2026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Building Materials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PL Acquisitionco, LLC (Revolver)</w:t>
            </w:r>
            <w:r>
              <w:rPr>
                <w:rFonts w:ascii="Times New Roman" w:hAnsi="Times New Roman"/>
                <w:color w:val="000000"/>
                <w:sz w:val="12"/>
              </w:rPr>
              <w:t>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11/09/2027</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Retail</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PRA Events, Inc.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08/07/2025</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14.17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L+1,050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24,907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21,694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24,907</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0"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(PIK 10.5%)</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PRA Events, Inc. (Revolver)</w:t>
            </w:r>
            <w:r>
              <w:rPr>
                <w:rFonts w:ascii="Times New Roman" w:hAnsi="Times New Roman"/>
                <w:color w:val="000000"/>
                <w:sz w:val="12"/>
              </w:rPr>
              <w:t>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08/07/2025</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L+1,050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Pragmatic Institute, LLC</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07/06/2028</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34,987</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Pragmatic Institute, LLC Term Loan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07/06/2028</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Pragmatic Institute, LL (Revolver)</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07/06/2028</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949</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Pragmatic Institute, LL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07/06/2028</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Quantic Electronics, LLC</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11/19/2026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L+625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666</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Quantic Electronics, LLC (Revolver)</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11/19/2026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9.51</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207</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Quantic Electronics,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11/19/2026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Questex, LLC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09/09/2024</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7.45</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21,436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21,168</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Questex,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09/09/2024</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(72</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Radius Aerospace, Inc. (Revolver)</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03/31/2025</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8.28</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877</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Radius Aerospace,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03/31/2025</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Rancho Health MSO, Inc.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color w:val="000000"/>
              </w:rPr>
            </w:pPr>
            <w:r>
              <w:rPr>
                <w:color w:val="000000"/>
              </w:rPr>
              <w:t>—</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Rancho Health MSO,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Reception Purchaser, LLC</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02/28/2028</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Transportation</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9.13</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71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SOFR+600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5,970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5,701</w:t>
            </w:r>
          </w:p>
        </w:tc>
        <w:tc>
          <w:tcPr>
            <w:tcW w:w="200" w:type="dxa"/>
            <w:tcBorders/>
            <w:shd w:fill="CCECFF"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Recteq, LLC (Revolver)</w:t>
            </w:r>
          </w:p>
        </w:tc>
        <w:tc>
          <w:tcPr>
            <w:tcW w:w="14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01/29/2026</w:t>
            </w:r>
          </w:p>
        </w:tc>
        <w:tc>
          <w:tcPr>
            <w:tcW w:w="146" w:type="dxa"/>
            <w:tcBorders/>
            <w:shd w:fill="FFFFFF" w:val="clear"/>
            <w:vAlign w:val="center"/>
          </w:tcPr>
          <w:p>
            <w:pPr>
              <w:pStyle w:val="TableContents"/>
              <w:bidi w:val="0"/>
              <w:spacing w:before="0" w:after="283"/>
              <w:jc w:val="left"/>
              <w:rPr/>
            </w:pPr>
            <w:r>
              <w:rPr/>
              <w:t> </w:t>
            </w:r>
          </w:p>
        </w:tc>
        <w:tc>
          <w:tcPr>
            <w:tcW w:w="2097"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9.92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302</w:t>
            </w:r>
          </w:p>
        </w:tc>
        <w:tc>
          <w:tcPr>
            <w:tcW w:w="200" w:type="dxa"/>
            <w:tcBorders/>
            <w:shd w:fill="FFFFFF" w:val="clear"/>
            <w:vAlign w:val="center"/>
          </w:tcPr>
          <w:p>
            <w:pPr>
              <w:pStyle w:val="TableContents"/>
              <w:bidi w:val="0"/>
              <w:spacing w:before="0" w:after="283"/>
              <w:jc w:val="left"/>
              <w:rPr/>
            </w:pPr>
            <w:r>
              <w:rPr/>
              <w:t> </w:t>
            </w:r>
          </w:p>
        </w:tc>
      </w:tr>
      <w:tr>
        <w:trPr/>
        <w:tc>
          <w:tcPr>
            <w:tcW w:w="1936"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Recteq,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102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01/29/2026</w:t>
            </w:r>
          </w:p>
        </w:tc>
        <w:tc>
          <w:tcPr>
            <w:tcW w:w="146" w:type="dxa"/>
            <w:tcBorders/>
            <w:shd w:fill="CCECFF" w:val="clear"/>
            <w:vAlign w:val="center"/>
          </w:tcPr>
          <w:p>
            <w:pPr>
              <w:pStyle w:val="TableContents"/>
              <w:bidi w:val="0"/>
              <w:spacing w:before="0" w:after="283"/>
              <w:jc w:val="left"/>
              <w:rPr/>
            </w:pPr>
            <w:r>
              <w:rPr/>
              <w:t> </w:t>
            </w:r>
          </w:p>
        </w:tc>
        <w:tc>
          <w:tcPr>
            <w:tcW w:w="2097"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84" w:type="dxa"/>
            <w:tcBorders/>
            <w:shd w:fill="CCECFF" w:val="clear"/>
            <w:vAlign w:val="center"/>
          </w:tcPr>
          <w:p>
            <w:pPr>
              <w:pStyle w:val="TableContents"/>
              <w:bidi w:val="0"/>
              <w:spacing w:before="0" w:after="283"/>
              <w:jc w:val="left"/>
              <w:rPr/>
            </w:pPr>
            <w:r>
              <w:rPr/>
              <w:t> </w:t>
            </w:r>
          </w:p>
        </w:tc>
        <w:tc>
          <w:tcPr>
            <w:tcW w:w="47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2" w:type="dxa"/>
            <w:tcBorders/>
            <w:shd w:fill="CCECFF" w:val="clear"/>
            <w:vAlign w:val="center"/>
          </w:tcPr>
          <w:p>
            <w:pPr>
              <w:pStyle w:val="TableContents"/>
              <w:bidi w:val="0"/>
              <w:spacing w:before="0" w:after="283"/>
              <w:jc w:val="left"/>
              <w:rPr/>
            </w:pPr>
            <w:r>
              <w:rPr/>
              <w:t> </w:t>
            </w:r>
          </w:p>
        </w:tc>
        <w:tc>
          <w:tcPr>
            <w:tcW w:w="505"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8" w:type="dxa"/>
            <w:tcBorders/>
            <w:shd w:fill="CCECFF" w:val="clear"/>
            <w:vAlign w:val="center"/>
          </w:tcPr>
          <w:p>
            <w:pPr>
              <w:pStyle w:val="TableContents"/>
              <w:bidi w:val="0"/>
              <w:spacing w:before="0" w:after="283"/>
              <w:jc w:val="left"/>
              <w:rPr/>
            </w:pPr>
            <w:r>
              <w:rPr/>
              <w:t> </w:t>
            </w:r>
          </w:p>
        </w:tc>
        <w:tc>
          <w:tcPr>
            <w:tcW w:w="522"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w:t>
            </w:r>
          </w:p>
        </w:tc>
        <w:tc>
          <w:tcPr>
            <w:tcW w:w="200"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SEPTEMBER 30, 2022</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7"/>
        <w:gridCol w:w="146"/>
        <w:gridCol w:w="281"/>
        <w:gridCol w:w="669"/>
        <w:gridCol w:w="146"/>
        <w:gridCol w:w="146"/>
        <w:gridCol w:w="1515"/>
        <w:gridCol w:w="146"/>
        <w:gridCol w:w="168"/>
        <w:gridCol w:w="436"/>
        <w:gridCol w:w="211"/>
        <w:gridCol w:w="146"/>
        <w:gridCol w:w="197"/>
        <w:gridCol w:w="470"/>
        <w:gridCol w:w="146"/>
        <w:gridCol w:w="146"/>
        <w:gridCol w:w="146"/>
        <w:gridCol w:w="496"/>
        <w:gridCol w:w="146"/>
        <w:gridCol w:w="146"/>
        <w:gridCol w:w="166"/>
        <w:gridCol w:w="496"/>
        <w:gridCol w:w="146"/>
        <w:gridCol w:w="146"/>
        <w:gridCol w:w="181"/>
        <w:gridCol w:w="544"/>
        <w:gridCol w:w="276"/>
      </w:tblGrid>
      <w:tr>
        <w:trPr/>
        <w:tc>
          <w:tcPr>
            <w:tcW w:w="2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Research Now Group, Inc. and Dynata, LLC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12/20/2024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8.84</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Riverpoint Medical,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06/20/2025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Riverside Assessments, LLC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03/10/2025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12,705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12,648</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Sales Benchmark Index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01/03/2025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Sargent &amp; Greenleaf Inc. (Revolver)</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12/20/2024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8.28</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587</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Sargent &amp; Greenleaf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12/20/2024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Schlesinger Global, Inc.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07/14/2025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11.11</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4,571</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Schlesinger Global, Inc. (Revolver)</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04"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(PIK 0.5%)</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5"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Schlesinger Global, Inc. (Revolver)</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07/14/2025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Seaway Buyer, LLC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06/13/2029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4,728</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Seaway Buyer, LLC (Revolver)</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06/13/2029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Shiftkey, LLC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06/21/2027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9.56</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17,955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17,722</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Sigma Defense Systems, LLC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L+850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31,047</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Sigma Defense Systems, LLC (Revolver)</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L+850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1,108</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Sigma Defense Systems,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12/18/2025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Signature Systems Holding Company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05/03/2024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w:t>
            </w:r>
          </w:p>
        </w:tc>
        <w:tc>
          <w:tcPr>
            <w:tcW w:w="27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Solutionreach, Inc.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01/17/2024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Communications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Spear Education, LLC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02/26/2025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12,018</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Spendmend Holdings LLC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9,433</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Spendmend Holdings LLC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03/01/2023</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w:t>
            </w:r>
          </w:p>
        </w:tc>
        <w:tc>
          <w:tcPr>
            <w:tcW w:w="27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Spendmend Holdings LLC - Funded Revolver</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03/01/2028</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182</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Spendmend Holdings LLC - Unfunded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03/01/2028</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w:t>
            </w:r>
          </w:p>
        </w:tc>
        <w:tc>
          <w:tcPr>
            <w:tcW w:w="27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System Planning and Analysis, Inc. - (Revolver) </w:t>
            </w:r>
            <w:r>
              <w:rPr>
                <w:rFonts w:ascii="Times New Roman" w:hAnsi="Times New Roman"/>
                <w:b w:val="false"/>
                <w:color w:val="000000"/>
                <w:sz w:val="8"/>
              </w:rPr>
              <w:t>(7)</w:t>
            </w:r>
            <w:r>
              <w:rPr>
                <w:rFonts w:ascii="Times New Roman" w:hAnsi="Times New Roman"/>
                <w:color w:val="000000"/>
                <w:sz w:val="12"/>
              </w:rPr>
              <w:t> </w:t>
            </w:r>
            <w:r>
              <w:rPr>
                <w:rFonts w:ascii="Times New Roman" w:hAnsi="Times New Roman"/>
                <w:b w:val="false"/>
                <w:color w:val="000000"/>
                <w:sz w:val="12"/>
              </w:rPr>
              <w:br/>
              <w:t>(f/k/a Management Consulting &amp; Research, LLC)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08/16/2027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The Bluebird Group LLC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07/27/2026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10.67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righ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L+700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4,796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4,933</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The Bluebird Group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07/27/2026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The Vertex Companies, LLC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08/30/2027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8.18</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1,745</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The Vertex Companies, LLC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08/30/2027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The Vertex Companies, LLC (Revolver)</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08/30/2027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8.26</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147</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The Vertex Companies,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08/30/2027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TVC Enterprises, LLC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03/26/2026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Transportation</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L+600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12,864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12,543</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TVC Enterprises,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03/26/2026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Transportation</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TWS Acquisition Corporation</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06/16/2025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Education</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8.76</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L+625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1,137</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TWS Acquisition Corporation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06/16/2025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Education</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Tyto Athene, LLC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04/01/2026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w:t>
            </w:r>
          </w:p>
        </w:tc>
        <w:tc>
          <w:tcPr>
            <w:tcW w:w="27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Unique Indoor Comfort, LLC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05/24/2027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Home and Office Furnishings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L+525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26,634</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Unique Indoor Comfort, LLC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05/24/2027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Home and Office Furnishings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(194</w:t>
            </w:r>
          </w:p>
        </w:tc>
        <w:tc>
          <w:tcPr>
            <w:tcW w:w="27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Unique Indoor Comfort, LLC (Revolver)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05/24/2027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Home and Office Furnishings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(66</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Walker Edison Furniture Company LLC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03/31/2027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Home and Office Furnishings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L+875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25,368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24,881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16,946</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Wildcat Buyerco, Inc.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02/27/2026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9.09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L+575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3,716</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Wildcat Buyerco, Inc. (Revolver) </w:t>
            </w:r>
            <w:r>
              <w:rPr>
                <w:rFonts w:ascii="Times New Roman" w:hAnsi="Times New Roman"/>
                <w:b w:val="false"/>
                <w:color w:val="000000"/>
                <w:sz w:val="8"/>
              </w:rPr>
              <w:t>(7)</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02/27/2026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w:t>
            </w:r>
          </w:p>
        </w:tc>
        <w:tc>
          <w:tcPr>
            <w:tcW w:w="27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Zips Car Wash, LLC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03/01/2024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10.13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L+725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2,562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4"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2"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599,263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588,267</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 Secured Debt—22.2% of Net Assets</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4"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5"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Atlas Purchaser, Inc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05/07/2029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11.19</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L+900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16,551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14,909</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Best Practice Associates LLC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06/29/2027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L+900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17,290</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Burgess Point Purchaser Corporation</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07/28/2030</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12.16</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L+900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7,752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7,680</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Data Axle, Inc.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04/03/2024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Other Media</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L+925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20,196</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ENC Parent Corporation</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08/19/2029</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L+750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7,125</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Halo Buyer, Inc.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07/06/2026</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1M L+825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31,769</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Inventus Power, Inc.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09/29/2024</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L+850</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16,593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16,387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16,344</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QuantiTech LLC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02/04/2027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L+1,000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148</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VT Topco, Inc.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08/17/2026</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9.87</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L+675</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14,932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14,475</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 Secured Debt</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4"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133,160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129,936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Debt/Corporate Notes—9.1% of Net Assets</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4"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5"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Express Wash Acquisition Company, LLC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01/15/2029</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15.31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L+1,150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20,359</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Flock Financial, LLC</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05/26/2027</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33,190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32,895</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Debt/Corporate Notes</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4"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53,254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Preferred Equity/Partnership Interests—1.3% of Net Assets </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4"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6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25"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Ad.net Holdings, Inc.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267</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AH Newco Equityholdings, LLC</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2,127</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Anteriad Holdings, LP (f/k/a MeritDirect Holdings, LP)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1,427</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Imagine Topco, LP</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743,826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704</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Mars Intermediate Holdings II, Inc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484</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NXOF Holdings, Inc. (Tyto Athene, LLC)</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227</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ORL Holdco, Inc.</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Signature CR Intermediate Holdco, Inc.</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1,932</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TPC Holding Company, LP </w:t>
            </w:r>
            <w:r>
              <w:rPr>
                <w:rFonts w:ascii="Times New Roman" w:hAnsi="Times New Roman"/>
                <w:b w:val="false"/>
                <w:color w:val="000000"/>
                <w:sz w:val="8"/>
              </w:rPr>
              <w:t>(8),(11)</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Food</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62</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TWD Parent Holdings, LLC</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w:t>
            </w:r>
          </w:p>
        </w:tc>
        <w:tc>
          <w:tcPr>
            <w:tcW w:w="276" w:type="dxa"/>
            <w:tcBorders/>
            <w:shd w:fill="CCECFF" w:val="clear"/>
            <w:vAlign w:val="center"/>
          </w:tcPr>
          <w:p>
            <w:pPr>
              <w:pStyle w:val="TableContents"/>
              <w:bidi w:val="0"/>
              <w:spacing w:before="0" w:after="283"/>
              <w:ind w:left="0" w:right="0" w:firstLine="80"/>
              <w:jc w:val="left"/>
              <w:rPr/>
            </w:pPr>
            <w:r>
              <w:rPr/>
              <w:t> </w:t>
            </w:r>
          </w:p>
        </w:tc>
      </w:tr>
      <w:tr>
        <w:trPr/>
        <w:tc>
          <w:tcPr>
            <w:tcW w:w="2347"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(The Vertex Companies, LLC)</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Equity/Partnership Interests</w:t>
            </w:r>
          </w:p>
        </w:tc>
        <w:tc>
          <w:tcPr>
            <w:tcW w:w="146" w:type="dxa"/>
            <w:tcBorders/>
            <w:shd w:fill="CCECFF" w:val="clear"/>
            <w:vAlign w:val="center"/>
          </w:tcPr>
          <w:p>
            <w:pPr>
              <w:pStyle w:val="TableContents"/>
              <w:bidi w:val="0"/>
              <w:spacing w:before="0" w:after="283"/>
              <w:jc w:val="left"/>
              <w:rPr/>
            </w:pPr>
            <w:r>
              <w:rPr/>
              <w:t> </w:t>
            </w:r>
          </w:p>
        </w:tc>
        <w:tc>
          <w:tcPr>
            <w:tcW w:w="950"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604"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67"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5,026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7,325</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Equity/Partnership Interests/Warrants—26.2% of Net Assets </w:t>
            </w:r>
            <w:r>
              <w:rPr>
                <w:rFonts w:ascii="Times New Roman" w:hAnsi="Times New Roman"/>
                <w:b/>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4"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25"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Ad.net Holdings, Inc.</w:t>
            </w:r>
            <w:r>
              <w:rPr>
                <w:rFonts w:ascii="Times New Roman" w:hAnsi="Times New Roman"/>
                <w:color w:val="000000"/>
                <w:sz w:val="12"/>
              </w:rPr>
              <w:t>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2,667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Affinion Group Holdings, Inc. (Warrants)</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04/10/2024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77,190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AG Investco LP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805,164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1,127</w:t>
            </w:r>
          </w:p>
        </w:tc>
        <w:tc>
          <w:tcPr>
            <w:tcW w:w="276" w:type="dxa"/>
            <w:tcBorders/>
            <w:shd w:fill="CCECFF" w:val="clear"/>
            <w:vAlign w:val="center"/>
          </w:tcPr>
          <w:p>
            <w:pPr>
              <w:pStyle w:val="TableContents"/>
              <w:bidi w:val="0"/>
              <w:spacing w:before="0" w:after="283"/>
              <w:jc w:val="left"/>
              <w:rPr/>
            </w:pPr>
            <w:r>
              <w:rPr/>
              <w:t> </w:t>
            </w:r>
          </w:p>
        </w:tc>
      </w:tr>
      <w:tr>
        <w:trPr/>
        <w:tc>
          <w:tcPr>
            <w:tcW w:w="234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AG Investco LP </w:t>
            </w:r>
            <w:r>
              <w:rPr>
                <w:rFonts w:ascii="Times New Roman" w:hAnsi="Times New Roman"/>
                <w:b w:val="false"/>
                <w:color w:val="000000"/>
                <w:sz w:val="8"/>
              </w:rPr>
              <w:t>(7), (9)</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194,836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34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Altamira Intermediate Company II, Inc.</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66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51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8"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7" w:type="dxa"/>
            <w:tcBorders/>
            <w:shd w:fill="CCECFF" w:val="clear"/>
            <w:vAlign w:val="center"/>
          </w:tcPr>
          <w:p>
            <w:pPr>
              <w:pStyle w:val="TableContents"/>
              <w:bidi w:val="0"/>
              <w:spacing w:before="0" w:after="283"/>
              <w:jc w:val="left"/>
              <w:rPr/>
            </w:pPr>
            <w:r>
              <w:rPr/>
              <w:t> </w:t>
            </w:r>
          </w:p>
        </w:tc>
        <w:tc>
          <w:tcPr>
            <w:tcW w:w="47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9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81" w:type="dxa"/>
            <w:tcBorders/>
            <w:shd w:fill="CCECFF" w:val="clear"/>
            <w:vAlign w:val="center"/>
          </w:tcPr>
          <w:p>
            <w:pPr>
              <w:pStyle w:val="TableContents"/>
              <w:bidi w:val="0"/>
              <w:spacing w:before="0" w:after="283"/>
              <w:jc w:val="left"/>
              <w:rPr/>
            </w:pPr>
            <w:r>
              <w:rPr/>
              <w:t> </w:t>
            </w:r>
          </w:p>
        </w:tc>
        <w:tc>
          <w:tcPr>
            <w:tcW w:w="54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79</w:t>
            </w:r>
          </w:p>
        </w:tc>
        <w:tc>
          <w:tcPr>
            <w:tcW w:w="276"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SEPTEMBER 30, 2022</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7"/>
        <w:gridCol w:w="146"/>
        <w:gridCol w:w="293"/>
        <w:gridCol w:w="698"/>
        <w:gridCol w:w="146"/>
        <w:gridCol w:w="146"/>
        <w:gridCol w:w="1740"/>
        <w:gridCol w:w="146"/>
        <w:gridCol w:w="160"/>
        <w:gridCol w:w="381"/>
        <w:gridCol w:w="146"/>
        <w:gridCol w:w="146"/>
        <w:gridCol w:w="206"/>
        <w:gridCol w:w="490"/>
        <w:gridCol w:w="146"/>
        <w:gridCol w:w="146"/>
        <w:gridCol w:w="146"/>
        <w:gridCol w:w="646"/>
        <w:gridCol w:w="146"/>
        <w:gridCol w:w="146"/>
        <w:gridCol w:w="166"/>
        <w:gridCol w:w="436"/>
        <w:gridCol w:w="146"/>
        <w:gridCol w:w="146"/>
        <w:gridCol w:w="195"/>
        <w:gridCol w:w="514"/>
        <w:gridCol w:w="275"/>
      </w:tblGrid>
      <w:tr>
        <w:trPr/>
        <w:tc>
          <w:tcPr>
            <w:tcW w:w="2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AMCSI Crash Co-Invest, LP</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2,419,200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2,419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2,470</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AMCSI Crash Co-Invest, LP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580,800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Anteriad Holdings, LP (f/k/a MeritDirect Holdings, LP)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270</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Athletico Holdings, LLC</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9,516</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Atlas Investment Aggregator,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1,700,000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1,219</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Burgess Point Holdings, LP</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690</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Cartessa Aesthetics,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3,562,500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3,716</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CI (Allied) Investment Holdings, LLC</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120,962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1,651</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107"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(PRA Events, Inc.)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99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9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09"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Connatix Parent, LLC</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689</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Cowboy Parent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26,360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4,011</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107"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(Blackhawk Industrial Distribution, Inc.)</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Crane 1 Acquisition Parent Holdings, L.P.</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Delta InvestCo LP</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698,889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1,425</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107"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(Sigma Defense Systems,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99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9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09"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Delta InvestCo LP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Telecommunications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442,155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107"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(Sigma Defense Systems, LLC) </w:t>
            </w:r>
            <w:r>
              <w:rPr>
                <w:rFonts w:ascii="Times New Roman" w:hAnsi="Times New Roman"/>
                <w:b w:val="false"/>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99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9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09"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ECM Investors,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167,537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358</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eCommission Holding Corporation </w:t>
            </w:r>
            <w:r>
              <w:rPr>
                <w:rFonts w:ascii="Times New Roman" w:hAnsi="Times New Roman"/>
                <w:b w:val="false"/>
                <w:color w:val="000000"/>
                <w:sz w:val="8"/>
              </w:rPr>
              <w:t>(11)</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1,391</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Exigo,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1,458,333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1,288</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Express Wash Topco,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Auto Sector</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658,000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3,369</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FedHC InvestCo LP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1,441</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FedHC InvestCo LP </w:t>
            </w:r>
            <w:r>
              <w:rPr>
                <w:rFonts w:ascii="Times New Roman" w:hAnsi="Times New Roman"/>
                <w:b w:val="false"/>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FedHC InvestCo II LP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2,253</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Gauge Lash Coinvest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889,376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4,208</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Gauge Schlesinger Coinvest, LLC</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Gauge TVC Coinvest,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Transportation</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810,645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3,229</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107"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(TVC Enterprises, LLC)</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GCOM InvestCo LP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2,434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1,003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587</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Go Dawgs Capital III, LP</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Building Materials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675,325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783</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107"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(American Insulated Glass,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99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9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09"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Green Veracity Holdings, LP - Class A</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5,700</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107" w:type="dxa"/>
            <w:tcBorders/>
            <w:shd w:fill="CCEC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(VT Topco, Inc.)</w:t>
            </w:r>
          </w:p>
        </w:tc>
        <w:tc>
          <w:tcPr>
            <w:tcW w:w="146" w:type="dxa"/>
            <w:tcBorders/>
            <w:shd w:fill="CCECFF" w:val="clear"/>
            <w:vAlign w:val="center"/>
          </w:tcPr>
          <w:p>
            <w:pPr>
              <w:pStyle w:val="TableContents"/>
              <w:bidi w:val="0"/>
              <w:spacing w:before="0" w:after="283"/>
              <w:jc w:val="left"/>
              <w:rPr/>
            </w:pPr>
            <w:r>
              <w:rPr/>
              <w:t> </w:t>
            </w:r>
          </w:p>
        </w:tc>
        <w:tc>
          <w:tcPr>
            <w:tcW w:w="99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9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09"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Hancock Claims Consultants Investors,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Insurance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477</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HV Watterson Holdings,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1,387</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Icon Partners V C, L.P.</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1,111,111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1,194</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Icon Partners V C, L.P. </w:t>
            </w:r>
            <w:r>
              <w:rPr>
                <w:rFonts w:ascii="Times New Roman" w:hAnsi="Times New Roman"/>
                <w:b w:val="false"/>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388,889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Imagine Topco, LP</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743,826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Infogroup Parent Holdings, Inc.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Other Media</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181,495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2,040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3,270</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107"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(Data Axle, Inc.)</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Ironclad Holdco,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592</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107"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(Applied Technical Services, LLC)</w:t>
            </w:r>
            <w:r>
              <w:rPr>
                <w:rFonts w:ascii="Times New Roman" w:hAnsi="Times New Roman"/>
                <w:color w:val="000000"/>
                <w:sz w:val="12"/>
              </w:rPr>
              <w:t>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ITC Infusion Co-invest, LP</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113,839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1,199</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ITC Rumba, LLC</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375,675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42,031</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107"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(Cano Health, LLC)</w:t>
            </w:r>
            <w:r>
              <w:rPr>
                <w:rFonts w:ascii="Times New Roman" w:hAnsi="Times New Roman"/>
                <w:color w:val="000000"/>
                <w:sz w:val="12"/>
              </w:rPr>
              <w:t>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99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9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09"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JWC-WE Holdings, L.P.</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Home and Office Furnishings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107"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(Walker Edison Furniture Company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99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9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09"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Kentucky Racing Holdco, LLC (Warrants)</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Hotels, Motels, Inns and Gaming</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161,252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1,774</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Kinetic Purchaser,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1,308,814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1,854</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KL Stockton Co-Invest LP</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Personal, Food and Miscellaneous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382,353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643</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107"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(Any Hour Services)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99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9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09"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Lariat ecoserv Co-Invest Holdings,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363,656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1,376</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Lightspeed Investment Holdco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273,143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273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373</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Mars Intermidiate Holdings II, Inc.</w:t>
            </w:r>
            <w:r>
              <w:rPr>
                <w:rFonts w:ascii="Times New Roman" w:hAnsi="Times New Roman"/>
                <w:color w:val="000000"/>
                <w:sz w:val="12"/>
              </w:rPr>
              <w:t>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MDI Aggregator, LP</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1,925,990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1,930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1,926</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Meadowlark Title,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815,385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897</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Municipal Emergency Services, Inc.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3,920,145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3,984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2,990</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NEPRT Parent Holdings, LLC</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243</w:t>
            </w:r>
          </w:p>
        </w:tc>
        <w:tc>
          <w:tcPr>
            <w:tcW w:w="275" w:type="dxa"/>
            <w:tcBorders/>
            <w:shd w:fill="FFFFFF" w:val="clear"/>
            <w:vAlign w:val="center"/>
          </w:tcPr>
          <w:p>
            <w:pPr>
              <w:pStyle w:val="TableContents"/>
              <w:bidi w:val="0"/>
              <w:spacing w:before="0" w:after="283"/>
              <w:ind w:left="0" w:right="0" w:firstLine="80"/>
              <w:jc w:val="left"/>
              <w:rPr/>
            </w:pPr>
            <w:r>
              <w:rPr/>
              <w:t> </w:t>
            </w:r>
          </w:p>
        </w:tc>
      </w:tr>
      <w:tr>
        <w:trPr/>
        <w:tc>
          <w:tcPr>
            <w:tcW w:w="2107" w:type="dxa"/>
            <w:tcBorders/>
            <w:shd w:fill="CCEC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(Recteq,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99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center"/>
              <w:rPr/>
            </w:pPr>
            <w:r>
              <w:rPr/>
              <w:t> </w:t>
            </w:r>
          </w:p>
        </w:tc>
        <w:tc>
          <w:tcPr>
            <w:tcW w:w="696"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79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60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09" w:type="dxa"/>
            <w:gridSpan w:val="2"/>
            <w:tcBorders/>
            <w:shd w:fill="CCECFF" w:val="clear"/>
            <w:vAlign w:val="center"/>
          </w:tcPr>
          <w:p>
            <w:pPr>
              <w:pStyle w:val="TableContents"/>
              <w:bidi w:val="0"/>
              <w:spacing w:before="0" w:after="283"/>
              <w:jc w:val="right"/>
              <w:rPr/>
            </w:pPr>
            <w:r>
              <w:rPr/>
              <w:t> </w:t>
            </w:r>
          </w:p>
        </w:tc>
        <w:tc>
          <w:tcPr>
            <w:tcW w:w="275" w:type="dxa"/>
            <w:tcBorders/>
            <w:shd w:fill="CCECFF" w:val="clear"/>
            <w:vAlign w:val="center"/>
          </w:tcPr>
          <w:p>
            <w:pPr>
              <w:pStyle w:val="TableContents"/>
              <w:bidi w:val="0"/>
              <w:spacing w:before="0" w:after="283"/>
              <w:jc w:val="righ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North Haven Saints Equity Holdings, LP</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351,553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373</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NXOF Holdings, Inc.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107"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(Tyto Athene, LLC)</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OceanSound Discovery Equity, LP</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98,286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979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1,651</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107" w:type="dxa"/>
            <w:tcBorders/>
            <w:shd w:fill="FFFFFF" w:val="clear"/>
            <w:vAlign w:val="center"/>
          </w:tcPr>
          <w:p>
            <w:pPr>
              <w:pStyle w:val="TableContents"/>
              <w:bidi w:val="0"/>
              <w:spacing w:before="0" w:after="283"/>
              <w:ind w:left="80" w:right="0" w:firstLine="80"/>
              <w:jc w:val="left"/>
              <w:rPr>
                <w:rFonts w:ascii="Times New Roman" w:hAnsi="Times New Roman"/>
                <w:sz w:val="12"/>
              </w:rPr>
            </w:pPr>
            <w:r>
              <w:rPr>
                <w:rFonts w:ascii="Times New Roman" w:hAnsi="Times New Roman"/>
                <w:b w:val="false"/>
                <w:color w:val="000000"/>
                <w:sz w:val="12"/>
              </w:rPr>
              <w:t xml:space="preserve">(Holdco Sands Intermediate,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OHCP V BC COI, L.P.</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446,250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382</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OHCP V BC COI, L.P. </w:t>
            </w:r>
            <w:r>
              <w:rPr>
                <w:rFonts w:ascii="Times New Roman" w:hAnsi="Times New Roman"/>
                <w:b w:val="false"/>
                <w:color w:val="000000"/>
                <w:sz w:val="8"/>
              </w:rPr>
              <w:t>(7),(9)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303,750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(44</w:t>
            </w:r>
          </w:p>
        </w:tc>
        <w:tc>
          <w:tcPr>
            <w:tcW w:w="275"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10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Oral Surgery (ITC) Holdings,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2,904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173</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ORL Holdco, Inc.</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113</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PennantPark-TSO Senior Loan Fund II, LP</w:t>
            </w:r>
          </w:p>
        </w:tc>
        <w:tc>
          <w:tcPr>
            <w:tcW w:w="146" w:type="dxa"/>
            <w:tcBorders/>
            <w:shd w:fill="CCECFF" w:val="clear"/>
            <w:vAlign w:val="center"/>
          </w:tcPr>
          <w:p>
            <w:pPr>
              <w:pStyle w:val="TableContents"/>
              <w:bidi w:val="0"/>
              <w:spacing w:before="0" w:after="283"/>
              <w:jc w:val="righ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CECFF" w:val="clear"/>
            <w:vAlign w:val="center"/>
          </w:tcPr>
          <w:p>
            <w:pPr>
              <w:pStyle w:val="TableContents"/>
              <w:bidi w:val="0"/>
              <w:spacing w:before="0" w:after="283"/>
              <w:jc w:val="center"/>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15,038,871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15,039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15,571</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Pink Lily Holdco,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Retail</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550</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Pragmatic Institute,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1,918,047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1,918</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QuantiTech InvestCo LP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352</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QuantiTech InvestCo LP </w:t>
            </w:r>
            <w:r>
              <w:rPr>
                <w:rFonts w:ascii="Times New Roman" w:hAnsi="Times New Roman"/>
                <w:b w:val="false"/>
                <w:color w:val="000000"/>
                <w:sz w:val="8"/>
              </w:rPr>
              <w:t>(7),(9)</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color w:val="000000"/>
              </w:rPr>
            </w:pPr>
            <w:r>
              <w:rPr>
                <w:color w:val="000000"/>
              </w:rPr>
              <w:t>—</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QuantiTech InvestCo II LP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24</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RFMG Parent, LP</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1,050,000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1,090</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107"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(Rancho Health MSO, Inc.)</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SBI Holdings Investments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36,585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359</w:t>
            </w:r>
          </w:p>
        </w:tc>
        <w:tc>
          <w:tcPr>
            <w:tcW w:w="275" w:type="dxa"/>
            <w:tcBorders/>
            <w:shd w:fill="CCECFF" w:val="clear"/>
            <w:vAlign w:val="center"/>
          </w:tcPr>
          <w:p>
            <w:pPr>
              <w:pStyle w:val="TableContents"/>
              <w:bidi w:val="0"/>
              <w:spacing w:before="0" w:after="283"/>
              <w:ind w:left="0" w:right="0" w:firstLine="80"/>
              <w:jc w:val="left"/>
              <w:rPr/>
            </w:pPr>
            <w:r>
              <w:rPr/>
              <w:t> </w:t>
            </w:r>
          </w:p>
        </w:tc>
      </w:tr>
      <w:tr>
        <w:trPr/>
        <w:tc>
          <w:tcPr>
            <w:tcW w:w="2107"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(Sales Benchmark Index LLC)</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9" w:type="dxa"/>
            <w:gridSpan w:val="2"/>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Seaway Topco, LP</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2,981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2,981</w:t>
            </w:r>
          </w:p>
        </w:tc>
        <w:tc>
          <w:tcPr>
            <w:tcW w:w="275" w:type="dxa"/>
            <w:tcBorders/>
            <w:shd w:fill="CCEC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Signature CR Intermediate Holdco, Inc.</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Chemicals, Plastics and Rubber</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r>
      <w:tr>
        <w:trPr/>
        <w:tc>
          <w:tcPr>
            <w:tcW w:w="2107"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SP L2 Holdings, LLC</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pPr>
            <w:r>
              <w:rPr/>
              <w:t> </w:t>
            </w:r>
          </w:p>
        </w:tc>
        <w:tc>
          <w:tcPr>
            <w:tcW w:w="69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740"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Consumer Products</w:t>
            </w:r>
          </w:p>
        </w:tc>
        <w:tc>
          <w:tcPr>
            <w:tcW w:w="146"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38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06" w:type="dxa"/>
            <w:tcBorders/>
            <w:shd w:fill="CCECFF" w:val="clear"/>
            <w:vAlign w:val="center"/>
          </w:tcPr>
          <w:p>
            <w:pPr>
              <w:pStyle w:val="TableContents"/>
              <w:bidi w:val="0"/>
              <w:spacing w:before="0" w:after="283"/>
              <w:jc w:val="left"/>
              <w:rPr/>
            </w:pPr>
            <w:r>
              <w:rPr/>
              <w:t> </w:t>
            </w:r>
          </w:p>
        </w:tc>
        <w:tc>
          <w:tcPr>
            <w:tcW w:w="49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881,966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43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95" w:type="dxa"/>
            <w:tcBorders/>
            <w:shd w:fill="CCECFF" w:val="clear"/>
            <w:vAlign w:val="center"/>
          </w:tcPr>
          <w:p>
            <w:pPr>
              <w:pStyle w:val="TableContents"/>
              <w:bidi w:val="0"/>
              <w:spacing w:before="0" w:after="283"/>
              <w:jc w:val="left"/>
              <w:rPr/>
            </w:pPr>
            <w:r>
              <w:rPr/>
              <w:t> </w:t>
            </w:r>
          </w:p>
        </w:tc>
        <w:tc>
          <w:tcPr>
            <w:tcW w:w="514"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913</w:t>
            </w:r>
          </w:p>
        </w:tc>
        <w:tc>
          <w:tcPr>
            <w:tcW w:w="275" w:type="dxa"/>
            <w:tcBorders/>
            <w:shd w:fill="CCECFF" w:val="cle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PENNANTPARK INVESTMENT CORPORATION AND SUBSIDIARIES</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INVESTMENTS—(Continued)</w:t>
      </w:r>
    </w:p>
    <w:p>
      <w:pPr>
        <w:pStyle w:val="TextBody"/>
        <w:bidi w:val="0"/>
        <w:jc w:val="center"/>
        <w:rPr>
          <w:rFonts w:ascii="Times New Roman" w:hAnsi="Times New Roman"/>
          <w:b/>
          <w:color w:val="000000"/>
          <w:sz w:val="16"/>
        </w:rPr>
      </w:pPr>
      <w:r>
        <w:rPr>
          <w:rFonts w:ascii="Times New Roman" w:hAnsi="Times New Roman"/>
          <w:b/>
          <w:color w:val="000000"/>
          <w:sz w:val="16"/>
        </w:rPr>
        <w:t>SEPTEMBER 30, 2022</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13"/>
        <w:gridCol w:w="146"/>
        <w:gridCol w:w="269"/>
        <w:gridCol w:w="642"/>
        <w:gridCol w:w="146"/>
        <w:gridCol w:w="146"/>
        <w:gridCol w:w="1275"/>
        <w:gridCol w:w="146"/>
        <w:gridCol w:w="151"/>
        <w:gridCol w:w="390"/>
        <w:gridCol w:w="211"/>
        <w:gridCol w:w="146"/>
        <w:gridCol w:w="189"/>
        <w:gridCol w:w="451"/>
        <w:gridCol w:w="146"/>
        <w:gridCol w:w="146"/>
        <w:gridCol w:w="166"/>
        <w:gridCol w:w="646"/>
        <w:gridCol w:w="146"/>
        <w:gridCol w:w="146"/>
        <w:gridCol w:w="166"/>
        <w:gridCol w:w="586"/>
        <w:gridCol w:w="146"/>
        <w:gridCol w:w="146"/>
        <w:gridCol w:w="169"/>
        <w:gridCol w:w="599"/>
        <w:gridCol w:w="276"/>
      </w:tblGrid>
      <w:tr>
        <w:trPr/>
        <w:tc>
          <w:tcPr>
            <w:tcW w:w="2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 / Expiration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Current</w:t>
              <w:br/>
              <w:t> Coupon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Basis Point</w:t>
              <w:br/>
              <w:t> Spread Above</w:t>
              <w:br/>
              <w:t xml:space="preserve"> Index </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 /</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Fair Value </w:t>
            </w:r>
            <w:r>
              <w:rPr>
                <w:rFonts w:ascii="Times New Roman" w:hAnsi="Times New Roman"/>
                <w:b/>
                <w:color w:val="000000"/>
                <w:sz w:val="8"/>
              </w:rPr>
              <w:t>(3)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SSC Dominion Holdings, LLC</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2,041</w:t>
            </w:r>
          </w:p>
        </w:tc>
        <w:tc>
          <w:tcPr>
            <w:tcW w:w="276" w:type="dxa"/>
            <w:tcBorders/>
            <w:shd w:fill="CCECFF" w:val="clear"/>
            <w:vAlign w:val="center"/>
          </w:tcPr>
          <w:p>
            <w:pPr>
              <w:pStyle w:val="TableContents"/>
              <w:bidi w:val="0"/>
              <w:spacing w:before="0" w:after="283"/>
              <w:ind w:left="0" w:right="0" w:firstLine="80"/>
              <w:jc w:val="left"/>
              <w:rPr/>
            </w:pPr>
            <w:r>
              <w:rPr/>
              <w:t> </w:t>
            </w:r>
          </w:p>
        </w:tc>
      </w:tr>
      <w:tr>
        <w:trPr/>
        <w:tc>
          <w:tcPr>
            <w:tcW w:w="2413"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Class A (US Dominion, Inc.)</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SSC Dominion Holdings, LLC</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1,500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4,389</w:t>
            </w:r>
          </w:p>
        </w:tc>
        <w:tc>
          <w:tcPr>
            <w:tcW w:w="276" w:type="dxa"/>
            <w:tcBorders/>
            <w:shd w:fill="CCECFF" w:val="clear"/>
            <w:vAlign w:val="center"/>
          </w:tcPr>
          <w:p>
            <w:pPr>
              <w:pStyle w:val="TableContents"/>
              <w:bidi w:val="0"/>
              <w:spacing w:before="0" w:after="283"/>
              <w:ind w:left="0" w:right="0" w:firstLine="80"/>
              <w:jc w:val="left"/>
              <w:rPr/>
            </w:pPr>
            <w:r>
              <w:rPr/>
              <w:t> </w:t>
            </w:r>
          </w:p>
        </w:tc>
      </w:tr>
      <w:tr>
        <w:trPr/>
        <w:tc>
          <w:tcPr>
            <w:tcW w:w="2413"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Class B (US Dominion, Inc.)</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StellPen Holdings, LLC</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153,846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152</w:t>
            </w:r>
          </w:p>
        </w:tc>
        <w:tc>
          <w:tcPr>
            <w:tcW w:w="276" w:type="dxa"/>
            <w:tcBorders/>
            <w:shd w:fill="CCECFF" w:val="clear"/>
            <w:vAlign w:val="center"/>
          </w:tcPr>
          <w:p>
            <w:pPr>
              <w:pStyle w:val="TableContents"/>
              <w:bidi w:val="0"/>
              <w:spacing w:before="0" w:after="283"/>
              <w:ind w:left="0" w:right="0" w:firstLine="80"/>
              <w:jc w:val="left"/>
              <w:rPr/>
            </w:pPr>
            <w:r>
              <w:rPr/>
              <w:t> </w:t>
            </w:r>
          </w:p>
        </w:tc>
      </w:tr>
      <w:tr>
        <w:trPr/>
        <w:tc>
          <w:tcPr>
            <w:tcW w:w="2413"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(CF512, Inc.)</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TAC LifePort Holdings,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Aerospace and Defense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232,558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296</w:t>
            </w:r>
          </w:p>
        </w:tc>
        <w:tc>
          <w:tcPr>
            <w:tcW w:w="276" w:type="dxa"/>
            <w:tcBorders/>
            <w:shd w:fill="CCECFF" w:val="cle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Tower Arch Infolinks Media, LP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531,293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896</w:t>
            </w:r>
          </w:p>
        </w:tc>
        <w:tc>
          <w:tcPr>
            <w:tcW w:w="276" w:type="dxa"/>
            <w:tcBorders/>
            <w:shd w:fill="FFFFFF" w:val="cle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Tower Arch Infolinks Media, LP</w:t>
            </w:r>
            <w:r>
              <w:rPr>
                <w:rFonts w:ascii="Times New Roman" w:hAnsi="Times New Roman"/>
                <w:color w:val="000000"/>
                <w:sz w:val="12"/>
              </w:rPr>
              <w:t> </w:t>
            </w:r>
            <w:r>
              <w:rPr>
                <w:rFonts w:ascii="Times New Roman" w:hAnsi="Times New Roman"/>
                <w:b w:val="false"/>
                <w:color w:val="000000"/>
                <w:sz w:val="8"/>
              </w:rPr>
              <w:t>(7), (9)</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Media</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364,151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TPC Holding Company, LP</w:t>
            </w:r>
            <w:r>
              <w:rPr>
                <w:rFonts w:ascii="Times New Roman" w:hAnsi="Times New Roman"/>
                <w:color w:val="000000"/>
                <w:sz w:val="12"/>
              </w:rPr>
              <w:t> </w:t>
            </w:r>
            <w:r>
              <w:rPr>
                <w:rFonts w:ascii="Times New Roman" w:hAnsi="Times New Roman"/>
                <w:b w:val="false"/>
                <w:color w:val="000000"/>
                <w:sz w:val="8"/>
              </w:rPr>
              <w:t>(8). (11)</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Food</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11,527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TWD Parent Holdings, LLC</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color w:val="000000"/>
              </w:rPr>
            </w:pPr>
            <w:r>
              <w:rPr>
                <w:color w:val="000000"/>
              </w:rPr>
              <w:t>—</w:t>
            </w:r>
          </w:p>
        </w:tc>
        <w:tc>
          <w:tcPr>
            <w:tcW w:w="276" w:type="dxa"/>
            <w:tcBorders/>
            <w:shd w:fill="CCECFF" w:val="clear"/>
            <w:vAlign w:val="center"/>
          </w:tcPr>
          <w:p>
            <w:pPr>
              <w:pStyle w:val="TableContents"/>
              <w:bidi w:val="0"/>
              <w:spacing w:before="0" w:after="283"/>
              <w:ind w:left="0" w:right="0" w:firstLine="80"/>
              <w:jc w:val="left"/>
              <w:rPr/>
            </w:pPr>
            <w:r>
              <w:rPr/>
              <w:t> </w:t>
            </w:r>
          </w:p>
        </w:tc>
      </w:tr>
      <w:tr>
        <w:trPr/>
        <w:tc>
          <w:tcPr>
            <w:tcW w:w="2413"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(The Vertex Companies, LLC)</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U.S. Well Services, Inc. - Class A </w:t>
            </w:r>
            <w:r>
              <w:rPr>
                <w:rFonts w:ascii="Times New Roman" w:hAnsi="Times New Roman"/>
                <w:b w:val="false"/>
                <w:color w:val="000000"/>
                <w:sz w:val="8"/>
              </w:rPr>
              <w:t>(5), (11)</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Oil and Gas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60,057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304</w:t>
            </w:r>
          </w:p>
        </w:tc>
        <w:tc>
          <w:tcPr>
            <w:tcW w:w="276" w:type="dxa"/>
            <w:tcBorders/>
            <w:shd w:fill="CCECFF" w:val="cle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UniVista Insurance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454</w:t>
            </w:r>
          </w:p>
        </w:tc>
        <w:tc>
          <w:tcPr>
            <w:tcW w:w="276" w:type="dxa"/>
            <w:tcBorders/>
            <w:shd w:fill="FFFFFF" w:val="cle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WCP Ivyrehab QP CF Feeder, LP</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3,762,257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3,762</w:t>
            </w:r>
          </w:p>
        </w:tc>
        <w:tc>
          <w:tcPr>
            <w:tcW w:w="276" w:type="dxa"/>
            <w:tcBorders/>
            <w:shd w:fill="CCECFF" w:val="cle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WCP Ivyrehab QP CF Feeder, LP - Unfunded </w:t>
            </w:r>
            <w:r>
              <w:rPr>
                <w:rFonts w:ascii="Times New Roman" w:hAnsi="Times New Roman"/>
                <w:b w:val="false"/>
                <w:color w:val="000000"/>
                <w:sz w:val="8"/>
              </w:rPr>
              <w:t>(7)</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237,743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Wildcat Parent, LP</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Electronics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616</w:t>
            </w:r>
          </w:p>
        </w:tc>
        <w:tc>
          <w:tcPr>
            <w:tcW w:w="276" w:type="dxa"/>
            <w:tcBorders/>
            <w:shd w:fill="CCECFF" w:val="clear"/>
            <w:vAlign w:val="center"/>
          </w:tcPr>
          <w:p>
            <w:pPr>
              <w:pStyle w:val="TableContents"/>
              <w:bidi w:val="0"/>
              <w:spacing w:before="0" w:after="283"/>
              <w:ind w:left="0" w:right="0" w:firstLine="80"/>
              <w:jc w:val="left"/>
              <w:rPr/>
            </w:pPr>
            <w:r>
              <w:rPr/>
              <w:t> </w:t>
            </w:r>
          </w:p>
        </w:tc>
      </w:tr>
      <w:tr>
        <w:trPr/>
        <w:tc>
          <w:tcPr>
            <w:tcW w:w="2413" w:type="dxa"/>
            <w:tcBorders/>
            <w:shd w:fill="FFFFFF" w:val="clear"/>
            <w:vAlign w:val="center"/>
          </w:tcPr>
          <w:p>
            <w:pPr>
              <w:pStyle w:val="TableContents"/>
              <w:bidi w:val="0"/>
              <w:spacing w:before="0" w:after="283"/>
              <w:ind w:left="80" w:right="0" w:firstLine="80"/>
              <w:jc w:val="left"/>
              <w:rPr>
                <w:rFonts w:ascii="Times New Roman" w:hAnsi="Times New Roman"/>
                <w:b w:val="false"/>
                <w:color w:val="000000"/>
                <w:sz w:val="12"/>
              </w:rPr>
            </w:pPr>
            <w:r>
              <w:rPr>
                <w:rFonts w:ascii="Times New Roman" w:hAnsi="Times New Roman"/>
                <w:b w:val="false"/>
                <w:color w:val="000000"/>
                <w:sz w:val="12"/>
              </w:rPr>
              <w:t>(Wildcat Buyerco, Inc.)</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Equity/Partnership Interests/Warrants</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91,596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153,373</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Non-Controlled, Non-Affiliated Portfolio Companies</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882,513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932,155</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2" w:type="dxa"/>
            <w:gridSpan w:val="6"/>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Non-Controlled, Affiliated Portfolio Companies—5.9% of Net Assets </w:t>
            </w:r>
            <w:r>
              <w:rPr>
                <w:rFonts w:ascii="Times New Roman" w:hAnsi="Times New Roman"/>
                <w:b/>
                <w:color w:val="000000"/>
                <w:sz w:val="8"/>
              </w:rPr>
              <w:t>(1), (2)</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Preferred Equity/Partnership Interests—5.6% of Net Assets</w:t>
            </w:r>
            <w:r>
              <w:rPr>
                <w:rFonts w:ascii="Times New Roman" w:hAnsi="Times New Roman"/>
                <w:b/>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Cascade Environmental Holdings, LLC </w:t>
            </w:r>
            <w:r>
              <w:rPr>
                <w:rFonts w:ascii="Times New Roman" w:hAnsi="Times New Roman"/>
                <w:b w:val="false"/>
                <w:color w:val="000000"/>
                <w:sz w:val="8"/>
              </w:rPr>
              <w:t>(9)</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5,887,236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32,791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32,791</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Equity/Partnership Interests</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32,791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Equity/Partnership Interests/Warrants—0.3% of Net Assets </w:t>
            </w:r>
            <w:r>
              <w:rPr>
                <w:rFonts w:ascii="Times New Roman" w:hAnsi="Times New Roman"/>
                <w:b/>
                <w:color w:val="000000"/>
                <w:sz w:val="8"/>
              </w:rPr>
              <w:t>(6)</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Cascade Environmental Holdings, LLC</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Environmental Services</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7,444,347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2,852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JF Intermediate, LLC</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Distribution</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19,687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1,969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1,969</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Equity/Partnership Interests/Warrants</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4,821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1,969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Non-Controlled, Affiliated Portfolio Companies</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37,612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34,760</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Investments in Controlled, Affiliated Portfolio Companies—44.3% of Net Assets </w:t>
            </w:r>
            <w:r>
              <w:rPr>
                <w:rFonts w:ascii="Times New Roman" w:hAnsi="Times New Roman"/>
                <w:b/>
                <w:color w:val="000000"/>
                <w:sz w:val="8"/>
              </w:rPr>
              <w:t>(1), (2)</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 Secured Debt—7.3% of Net Assets</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AKW Holdings Limited </w:t>
            </w:r>
            <w:r>
              <w:rPr>
                <w:rFonts w:ascii="Times New Roman" w:hAnsi="Times New Roman"/>
                <w:b w:val="false"/>
                <w:color w:val="000000"/>
                <w:sz w:val="8"/>
              </w:rPr>
              <w:t>(8), (10), (11)</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03/13/2024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8.67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L+700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42,698</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 Secured Debt</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52,792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42,698</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 Secured Debt—0% of Net Assets</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Mailsouth Inc.</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04/23/2025</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Printing and Publishing</w:t>
            </w:r>
          </w:p>
        </w:tc>
        <w:tc>
          <w:tcPr>
            <w:tcW w:w="146" w:type="dxa"/>
            <w:tcBorders/>
            <w:shd w:fill="CCECFF" w:val="clear"/>
            <w:vAlign w:val="center"/>
          </w:tcPr>
          <w:p>
            <w:pPr>
              <w:pStyle w:val="TableContents"/>
              <w:bidi w:val="0"/>
              <w:spacing w:before="0" w:after="283"/>
              <w:jc w:val="center"/>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12,846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12,383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 Secured Debt</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Debt—15.0% of Net Assets</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68" w:type="dxa"/>
            <w:gridSpan w:val="2"/>
            <w:tcBorders/>
            <w:shd w:fill="CCECFF" w:val="clear"/>
            <w:vAlign w:val="center"/>
          </w:tcPr>
          <w:p>
            <w:pPr>
              <w:pStyle w:val="TableContents"/>
              <w:bidi w:val="0"/>
              <w:spacing w:before="0" w:after="283"/>
              <w:jc w:val="right"/>
              <w:rPr/>
            </w:pPr>
            <w:r>
              <w:rPr/>
              <w:t> </w:t>
            </w:r>
          </w:p>
        </w:tc>
        <w:tc>
          <w:tcPr>
            <w:tcW w:w="276" w:type="dxa"/>
            <w:tcBorders/>
            <w:shd w:fill="CCECFF" w:val="clear"/>
            <w:vAlign w:val="center"/>
          </w:tcPr>
          <w:p>
            <w:pPr>
              <w:pStyle w:val="TableContents"/>
              <w:bidi w:val="0"/>
              <w:spacing w:before="0" w:after="283"/>
              <w:jc w:val="righ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PennantPark Senior Loan Fund, LLC </w:t>
            </w:r>
            <w:r>
              <w:rPr>
                <w:rFonts w:ascii="Times New Roman" w:hAnsi="Times New Roman"/>
                <w:b w:val="false"/>
                <w:color w:val="000000"/>
                <w:sz w:val="8"/>
              </w:rPr>
              <w:t>(11)</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07/31/2027</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10.79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3M L+800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88,011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88,011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right"/>
              <w:rPr/>
            </w:pPr>
            <w:r>
              <w:rPr/>
              <w:t> </w:t>
            </w:r>
          </w:p>
        </w:tc>
        <w:tc>
          <w:tcPr>
            <w:tcW w:w="211"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88,011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88,011</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color w:val="000000"/>
                <w:sz w:val="12"/>
              </w:rPr>
              <w:t xml:space="preserve">Common Equity—22.0% of Net Assets </w:t>
            </w:r>
            <w:r>
              <w:rPr>
                <w:rFonts w:ascii="Times New Roman" w:hAnsi="Times New Roman"/>
                <w:b/>
                <w:color w:val="000000"/>
                <w:sz w:val="8"/>
              </w:rPr>
              <w:t>(6)</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AKW Holdings Limited </w:t>
            </w:r>
            <w:r>
              <w:rPr>
                <w:rFonts w:ascii="Times New Roman" w:hAnsi="Times New Roman"/>
                <w:b w:val="false"/>
                <w:color w:val="000000"/>
                <w:sz w:val="8"/>
              </w:rPr>
              <w:t>(8), (10), (11)</w:t>
            </w:r>
          </w:p>
        </w:tc>
        <w:tc>
          <w:tcPr>
            <w:tcW w:w="146" w:type="dxa"/>
            <w:tcBorders/>
            <w:shd w:fill="CCECFF" w:val="clear"/>
            <w:vAlign w:val="center"/>
          </w:tcPr>
          <w:p>
            <w:pPr>
              <w:pStyle w:val="TableContents"/>
              <w:bidi w:val="0"/>
              <w:spacing w:before="0" w:after="283"/>
              <w:jc w:val="righ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Healthcare, Education and Childcare</w:t>
            </w:r>
          </w:p>
        </w:tc>
        <w:tc>
          <w:tcPr>
            <w:tcW w:w="146" w:type="dxa"/>
            <w:tcBorders/>
            <w:shd w:fill="CCECFF" w:val="clear"/>
            <w:vAlign w:val="center"/>
          </w:tcPr>
          <w:p>
            <w:pPr>
              <w:pStyle w:val="TableContents"/>
              <w:bidi w:val="0"/>
              <w:spacing w:before="0" w:after="283"/>
              <w:jc w:val="center"/>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950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3,297</w:t>
            </w:r>
          </w:p>
        </w:tc>
        <w:tc>
          <w:tcPr>
            <w:tcW w:w="276" w:type="dxa"/>
            <w:tcBorders/>
            <w:shd w:fill="CCECFF" w:val="cle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MSpark, LLC</w:t>
            </w:r>
          </w:p>
        </w:tc>
        <w:tc>
          <w:tcPr>
            <w:tcW w:w="146" w:type="dxa"/>
            <w:tcBorders/>
            <w:shd w:fill="FFFFFF" w:val="clear"/>
            <w:vAlign w:val="center"/>
          </w:tcPr>
          <w:p>
            <w:pPr>
              <w:pStyle w:val="TableContents"/>
              <w:bidi w:val="0"/>
              <w:spacing w:before="0" w:after="283"/>
              <w:jc w:val="right"/>
              <w:rPr/>
            </w:pPr>
            <w:r>
              <w:rPr/>
              <w:t> </w:t>
            </w:r>
          </w:p>
        </w:tc>
        <w:tc>
          <w:tcPr>
            <w:tcW w:w="26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Printing and Publishing</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PennantPark Senior Loan Fund, LLC</w:t>
            </w:r>
          </w:p>
        </w:tc>
        <w:tc>
          <w:tcPr>
            <w:tcW w:w="146" w:type="dxa"/>
            <w:tcBorders/>
            <w:shd w:fill="CCECFF" w:val="clear"/>
            <w:vAlign w:val="center"/>
          </w:tcPr>
          <w:p>
            <w:pPr>
              <w:pStyle w:val="TableContents"/>
              <w:bidi w:val="0"/>
              <w:spacing w:before="0" w:after="283"/>
              <w:jc w:val="left"/>
              <w:rPr/>
            </w:pPr>
            <w:r>
              <w:rPr/>
              <w:t> </w:t>
            </w:r>
          </w:p>
        </w:tc>
        <w:tc>
          <w:tcPr>
            <w:tcW w:w="269" w:type="dxa"/>
            <w:tcBorders/>
            <w:shd w:fill="CCECFF" w:val="clear"/>
            <w:vAlign w:val="center"/>
          </w:tcPr>
          <w:p>
            <w:pPr>
              <w:pStyle w:val="TableContents"/>
              <w:bidi w:val="0"/>
              <w:spacing w:before="0" w:after="283"/>
              <w:jc w:val="left"/>
              <w:rPr/>
            </w:pPr>
            <w:r>
              <w:rPr/>
              <w:t> </w:t>
            </w:r>
          </w:p>
        </w:tc>
        <w:tc>
          <w:tcPr>
            <w:tcW w:w="6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Financial Services</w:t>
            </w:r>
          </w:p>
        </w:tc>
        <w:tc>
          <w:tcPr>
            <w:tcW w:w="146" w:type="dxa"/>
            <w:tcBorders/>
            <w:shd w:fill="CCECFF" w:val="clear"/>
            <w:vAlign w:val="center"/>
          </w:tcPr>
          <w:p>
            <w:pPr>
              <w:pStyle w:val="TableContents"/>
              <w:bidi w:val="0"/>
              <w:spacing w:before="0" w:after="283"/>
              <w:jc w:val="left"/>
              <w:rPr/>
            </w:pPr>
            <w:r>
              <w:rPr/>
              <w:t> </w:t>
            </w:r>
          </w:p>
        </w:tc>
        <w:tc>
          <w:tcPr>
            <w:tcW w:w="151" w:type="dxa"/>
            <w:tcBorders/>
            <w:shd w:fill="CCECFF" w:val="clear"/>
            <w:vAlign w:val="center"/>
          </w:tcPr>
          <w:p>
            <w:pPr>
              <w:pStyle w:val="TableContents"/>
              <w:bidi w:val="0"/>
              <w:spacing w:before="0" w:after="283"/>
              <w:jc w:val="left"/>
              <w:rPr/>
            </w:pPr>
            <w:r>
              <w:rPr/>
              <w:t> </w:t>
            </w:r>
          </w:p>
        </w:tc>
        <w:tc>
          <w:tcPr>
            <w:tcW w:w="390" w:type="dxa"/>
            <w:tcBorders/>
            <w:shd w:fill="CCECFF" w:val="clear"/>
            <w:vAlign w:val="center"/>
          </w:tcPr>
          <w:p>
            <w:pPr>
              <w:pStyle w:val="TableContents"/>
              <w:bidi w:val="0"/>
              <w:spacing w:before="0" w:after="283"/>
              <w:jc w:val="right"/>
              <w:rPr>
                <w:color w:val="000000"/>
              </w:rPr>
            </w:pPr>
            <w:r>
              <w:rPr>
                <w:color w:val="000000"/>
              </w:rPr>
              <w:t>—</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45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66" w:type="dxa"/>
            <w:tcBorders/>
            <w:shd w:fill="CCECFF" w:val="clear"/>
            <w:vAlign w:val="center"/>
          </w:tcPr>
          <w:p>
            <w:pPr>
              <w:pStyle w:val="TableContents"/>
              <w:bidi w:val="0"/>
              <w:spacing w:before="0" w:after="283"/>
              <w:jc w:val="left"/>
              <w:rPr/>
            </w:pPr>
            <w:r>
              <w:rPr/>
              <w:t> </w:t>
            </w:r>
          </w:p>
        </w:tc>
        <w:tc>
          <w:tcPr>
            <w:tcW w:w="64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49,298,789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49,362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51,098</w:t>
            </w:r>
          </w:p>
        </w:tc>
        <w:tc>
          <w:tcPr>
            <w:tcW w:w="276" w:type="dxa"/>
            <w:tcBorders/>
            <w:shd w:fill="CCECFF" w:val="cle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b w:val="false"/>
                <w:color w:val="000000"/>
                <w:sz w:val="12"/>
              </w:rPr>
              <w:t xml:space="preserve">RAM Energy Holdings LLC </w:t>
            </w:r>
            <w:r>
              <w:rPr>
                <w:rFonts w:ascii="Times New Roman" w:hAnsi="Times New Roman"/>
                <w:b w:val="false"/>
                <w:color w:val="000000"/>
                <w:sz w:val="8"/>
              </w:rPr>
              <w:t>(9)</w:t>
            </w:r>
          </w:p>
        </w:tc>
        <w:tc>
          <w:tcPr>
            <w:tcW w:w="146" w:type="dxa"/>
            <w:tcBorders/>
            <w:shd w:fill="FFFFFF" w:val="clear"/>
            <w:vAlign w:val="center"/>
          </w:tcPr>
          <w:p>
            <w:pPr>
              <w:pStyle w:val="TableContents"/>
              <w:bidi w:val="0"/>
              <w:spacing w:before="0" w:after="283"/>
              <w:jc w:val="right"/>
              <w:rPr/>
            </w:pPr>
            <w:r>
              <w:rPr/>
              <w:t> </w:t>
            </w:r>
          </w:p>
        </w:tc>
        <w:tc>
          <w:tcPr>
            <w:tcW w:w="26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tcBorders/>
            <w:shd w:fill="FFFFFF" w:val="clear"/>
            <w:vAlign w:val="center"/>
          </w:tcPr>
          <w:p>
            <w:pPr>
              <w:pStyle w:val="TableContents"/>
              <w:bidi w:val="0"/>
              <w:spacing w:before="0" w:after="283"/>
              <w:jc w:val="center"/>
              <w:rPr>
                <w:rFonts w:ascii="Times New Roman" w:hAnsi="Times New Roman"/>
                <w:b w:val="false"/>
                <w:color w:val="000000"/>
                <w:sz w:val="12"/>
              </w:rPr>
            </w:pPr>
            <w:r>
              <w:rPr>
                <w:rFonts w:ascii="Times New Roman" w:hAnsi="Times New Roman"/>
                <w:b w:val="false"/>
                <w:color w:val="000000"/>
                <w:sz w:val="12"/>
              </w:rPr>
              <w:t>Energy and Utilities</w:t>
            </w:r>
          </w:p>
        </w:tc>
        <w:tc>
          <w:tcPr>
            <w:tcW w:w="146" w:type="dxa"/>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180,805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162,708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74,282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Equity</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228,718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128,677</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Controlled, Affiliated Portfolio Companies</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381,904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259,386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Investments—209.4% of Net Assets</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1,302,029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1,226,301</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 and Cash Equivalents—9.0% of Net Assets</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8" w:type="dxa"/>
            <w:gridSpan w:val="2"/>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righ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BlackRock Federal FD Institutional 30</w:t>
            </w:r>
          </w:p>
        </w:tc>
        <w:tc>
          <w:tcPr>
            <w:tcW w:w="146" w:type="dxa"/>
            <w:tcBorders/>
            <w:shd w:fill="CCECFF" w:val="clear"/>
            <w:vAlign w:val="center"/>
          </w:tcPr>
          <w:p>
            <w:pPr>
              <w:pStyle w:val="TableContents"/>
              <w:bidi w:val="0"/>
              <w:spacing w:before="0" w:after="283"/>
              <w:jc w:val="right"/>
              <w:rPr/>
            </w:pPr>
            <w:r>
              <w:rPr/>
              <w:t> </w:t>
            </w:r>
          </w:p>
        </w:tc>
        <w:tc>
          <w:tcPr>
            <w:tcW w:w="911" w:type="dxa"/>
            <w:gridSpan w:val="2"/>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1275" w:type="dxa"/>
            <w:tcBorders/>
            <w:shd w:fill="CCECFF" w:val="clear"/>
            <w:vAlign w:val="center"/>
          </w:tcPr>
          <w:p>
            <w:pPr>
              <w:pStyle w:val="TableContents"/>
              <w:bidi w:val="0"/>
              <w:spacing w:before="0" w:after="283"/>
              <w:jc w:val="center"/>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left"/>
              <w:rPr/>
            </w:pPr>
            <w:r>
              <w:rPr/>
              <w:t> </w:t>
            </w:r>
          </w:p>
        </w:tc>
        <w:tc>
          <w:tcPr>
            <w:tcW w:w="586"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39,122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39,122</w:t>
            </w:r>
          </w:p>
        </w:tc>
        <w:tc>
          <w:tcPr>
            <w:tcW w:w="276" w:type="dxa"/>
            <w:tcBorders/>
            <w:shd w:fill="CCECFF" w:val="cle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BNY Mellon Cash Reserve and Cash</w:t>
            </w:r>
          </w:p>
        </w:tc>
        <w:tc>
          <w:tcPr>
            <w:tcW w:w="146" w:type="dxa"/>
            <w:tcBorders/>
            <w:shd w:fill="FFFFFF" w:val="clear"/>
            <w:vAlign w:val="center"/>
          </w:tcPr>
          <w:p>
            <w:pPr>
              <w:pStyle w:val="TableContents"/>
              <w:bidi w:val="0"/>
              <w:spacing w:before="0" w:after="283"/>
              <w:jc w:val="right"/>
              <w:rPr/>
            </w:pPr>
            <w:r>
              <w:rPr/>
              <w:t> </w:t>
            </w:r>
          </w:p>
        </w:tc>
        <w:tc>
          <w:tcPr>
            <w:tcW w:w="9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13,544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Cash and Cash Equivalents</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center"/>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52,844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52,666</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Cash Equivalents—218.4% of Net Assets</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1,354,873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1,278,967</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3" w:type="dxa"/>
            <w:tcBorders/>
            <w:shd w:fill="CCEC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Liabilities in Excess of Other Assets—(118.4%) of Net Assets</w:t>
            </w:r>
          </w:p>
        </w:tc>
        <w:tc>
          <w:tcPr>
            <w:tcW w:w="146" w:type="dxa"/>
            <w:tcBorders/>
            <w:shd w:fill="CCECFF" w:val="clear"/>
            <w:vAlign w:val="center"/>
          </w:tcPr>
          <w:p>
            <w:pPr>
              <w:pStyle w:val="TableContents"/>
              <w:bidi w:val="0"/>
              <w:spacing w:before="0" w:after="283"/>
              <w:jc w:val="left"/>
              <w:rPr/>
            </w:pPr>
            <w:r>
              <w:rPr/>
              <w:t> </w:t>
            </w:r>
          </w:p>
        </w:tc>
        <w:tc>
          <w:tcPr>
            <w:tcW w:w="91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75"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541" w:type="dxa"/>
            <w:gridSpan w:val="2"/>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40"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81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7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69" w:type="dxa"/>
            <w:tcBorders/>
            <w:shd w:fill="CCECFF" w:val="clear"/>
            <w:vAlign w:val="center"/>
          </w:tcPr>
          <w:p>
            <w:pPr>
              <w:pStyle w:val="TableContents"/>
              <w:bidi w:val="0"/>
              <w:spacing w:before="0" w:after="283"/>
              <w:jc w:val="left"/>
              <w:rPr/>
            </w:pPr>
            <w:r>
              <w:rPr/>
              <w:t> </w:t>
            </w:r>
          </w:p>
        </w:tc>
        <w:tc>
          <w:tcPr>
            <w:tcW w:w="599" w:type="dxa"/>
            <w:tcBorders/>
            <w:shd w:fill="CCECFF" w:val="cle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(693,402</w:t>
            </w:r>
          </w:p>
        </w:tc>
        <w:tc>
          <w:tcPr>
            <w:tcW w:w="276" w:type="dxa"/>
            <w:tcBorders/>
            <w:shd w:fill="CCECFF" w:val="cle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r>
      <w:tr>
        <w:trPr/>
        <w:tc>
          <w:tcPr>
            <w:tcW w:w="241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Net Assets—100.0%</w:t>
            </w:r>
          </w:p>
        </w:tc>
        <w:tc>
          <w:tcPr>
            <w:tcW w:w="146" w:type="dxa"/>
            <w:tcBorders/>
            <w:shd w:fill="FFFFFF" w:val="clear"/>
            <w:vAlign w:val="center"/>
          </w:tcPr>
          <w:p>
            <w:pPr>
              <w:pStyle w:val="TableContents"/>
              <w:bidi w:val="0"/>
              <w:spacing w:before="0" w:after="283"/>
              <w:jc w:val="left"/>
              <w:rPr/>
            </w:pPr>
            <w:r>
              <w:rPr/>
              <w:t> </w:t>
            </w:r>
          </w:p>
        </w:tc>
        <w:tc>
          <w:tcPr>
            <w:tcW w:w="9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2"/>
              </w:rPr>
            </w:pPr>
            <w:r>
              <w:rPr>
                <w:rFonts w:ascii="Times New Roman" w:hAnsi="Times New Roman"/>
                <w:b w:val="false"/>
                <w:color w:val="000000"/>
                <w:sz w:val="12"/>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2"/>
              </w:rPr>
            </w:pPr>
            <w:r>
              <w:rPr>
                <w:rFonts w:ascii="Times New Roman" w:hAnsi="Times New Roman"/>
                <w:b w:val="false"/>
                <w:color w:val="000000"/>
                <w:sz w:val="12"/>
              </w:rPr>
              <w:t>585,565</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(1)</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(2)</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(3)</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Valued based on our accounting policy (See Note 2).</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(4)</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(5)</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The security was not valued using significant unobservable inputs. The value of all other securities was determined using significant unobservable inputs (See Note 5).</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(6)</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Non-income producing securities.</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(7)</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 xml:space="preserve">Represents the purchase of a security with delayed settlement or a revolving line of credit that is currently an unfunded investment. This security does not earn a basis point spread above an index while it is unfunded. </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(8)</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Non-U.S. company or principal place of business outside the United States.</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(9)</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Investment is held through our Taxable Subsidiary (See Note 1).</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(10)</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Par / Shares amount is denominated in British Pounds (£) as denoted.</w:t>
      </w:r>
    </w:p>
    <w:p>
      <w:pPr>
        <w:pStyle w:val="TextBody"/>
        <w:bidi w:val="0"/>
        <w:spacing w:before="40" w:after="283"/>
        <w:jc w:val="left"/>
        <w:rPr>
          <w:rFonts w:ascii="Times New Roman" w:hAnsi="Times New Roman"/>
          <w:b w:val="false"/>
          <w:color w:val="000000"/>
          <w:sz w:val="13"/>
        </w:rPr>
      </w:pPr>
      <w:r>
        <w:rPr>
          <w:rFonts w:ascii="Times New Roman" w:hAnsi="Times New Roman"/>
          <w:b w:val="false"/>
          <w:color w:val="000000"/>
          <w:sz w:val="13"/>
        </w:rPr>
        <w:t>(11)</w:t>
      </w:r>
    </w:p>
    <w:p>
      <w:pPr>
        <w:pStyle w:val="TextBody"/>
        <w:bidi w:val="0"/>
        <w:spacing w:before="40" w:after="283"/>
        <w:jc w:val="left"/>
        <w:rPr/>
      </w:pPr>
      <w:r>
        <w:rPr>
          <w:rFonts w:ascii="Times New Roman" w:hAnsi="Times New Roman"/>
          <w:b w:val="false"/>
          <w:color w:val="000000"/>
          <w:sz w:val="13"/>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88% of the Company’s total assets and non-qualifying assets represent 12% of the Company’s total assets.</w:t>
      </w:r>
      <w:r>
        <w:rPr>
          <w:color w:val="00000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14338</Words>
  <Characters>83019</Characters>
  <CharactersWithSpaces>106186</CharactersWithSpaces>
  <Paragraphs>19917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