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nnt-20231231.htm"/>
      <w:bookmarkStart w:id="1" w:name="kspnnt20231231"/>
      <w:bookmarkEnd w:id="0"/>
      <w:bookmarkEnd w:id="1"/>
      <w:r>
        <w:rPr/>
        <w:t> </w:t>
      </w:r>
    </w:p>
    <w:p>
      <w:pPr>
        <w:pStyle w:val="TextBody"/>
        <w:pBdr>
          <w:bottom w:val="double" w:sz="6" w:space="1" w:color="000000"/>
        </w:pBdr>
        <w:bidi w:val="0"/>
        <w:jc w:val="center"/>
        <w:rPr>
          <w:rFonts w:ascii="Times New Roman" w:hAnsi="Times New Roman"/>
          <w:color w:val="000000"/>
          <w:sz w:val="2"/>
        </w:rPr>
      </w:pPr>
      <w:r>
        <w:rPr>
          <w:rFonts w:ascii="Times New Roman" w:hAnsi="Times New Roman"/>
          <w:color w:val="000000"/>
          <w:sz w:val="2"/>
        </w:rPr>
        <w:t>]`</w:t>
      </w:r>
    </w:p>
    <w:p>
      <w:pPr>
        <w:pStyle w:val="TextBody"/>
        <w:bidi w:val="0"/>
        <w:spacing w:before="40" w:after="283"/>
        <w:jc w:val="center"/>
        <w:rPr>
          <w:rFonts w:ascii="Times New Roman" w:hAnsi="Times New Roman"/>
          <w:b/>
          <w:color w:val="000000"/>
          <w:sz w:val="35"/>
        </w:rPr>
      </w:pPr>
      <w:r>
        <w:rPr>
          <w:rFonts w:ascii="Times New Roman" w:hAnsi="Times New Roman"/>
          <w:b/>
          <w:color w:val="000000"/>
          <w:sz w:val="35"/>
        </w:rPr>
        <w:t>UNITED STATES</w:t>
      </w:r>
    </w:p>
    <w:p>
      <w:pPr>
        <w:pStyle w:val="TextBody"/>
        <w:bidi w:val="0"/>
        <w:jc w:val="center"/>
        <w:rPr>
          <w:rFonts w:ascii="Times New Roman" w:hAnsi="Times New Roman"/>
          <w:b/>
          <w:color w:val="000000"/>
          <w:sz w:val="35"/>
        </w:rPr>
      </w:pPr>
      <w:r>
        <w:rPr>
          <w:rFonts w:ascii="Times New Roman" w:hAnsi="Times New Roman"/>
          <w:b/>
          <w:color w:val="000000"/>
          <w:sz w:val="35"/>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DECEMBER 31, 2023</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814-00736</w:t>
      </w:r>
    </w:p>
    <w:p>
      <w:pPr>
        <w:pStyle w:val="TextBody"/>
        <w:bidi w:val="0"/>
        <w:spacing w:before="60" w:after="283"/>
        <w:jc w:val="center"/>
        <w:rPr>
          <w:rFonts w:ascii="Times New Roman" w:hAnsi="Times New Roman"/>
          <w:b/>
          <w:color w:val="000000"/>
          <w:sz w:val="35"/>
        </w:rPr>
      </w:pPr>
      <w:r>
        <w:rPr>
          <w:rFonts w:ascii="Times New Roman" w:hAnsi="Times New Roman"/>
          <w:b/>
          <w:color w:val="000000"/>
          <w:sz w:val="35"/>
        </w:rPr>
        <w:t>PENNANTPARK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tbl>
      <w:tblPr>
        <w:tblW w:w="7416" w:type="dxa"/>
        <w:jc w:val="left"/>
        <w:tblInd w:w="0" w:type="dxa"/>
        <w:tblLayout w:type="fixed"/>
        <w:tblCellMar>
          <w:top w:w="28" w:type="dxa"/>
          <w:left w:w="28" w:type="dxa"/>
          <w:bottom w:w="28" w:type="dxa"/>
          <w:right w:w="28" w:type="dxa"/>
        </w:tblCellMar>
      </w:tblPr>
      <w:tblGrid>
        <w:gridCol w:w="4561"/>
        <w:gridCol w:w="109"/>
        <w:gridCol w:w="2746"/>
      </w:tblGrid>
      <w:tr>
        <w:trPr/>
        <w:tc>
          <w:tcPr>
            <w:tcW w:w="4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20-8250744</w:t>
            </w:r>
          </w:p>
        </w:tc>
      </w:tr>
      <w:tr>
        <w:trPr/>
        <w:tc>
          <w:tcPr>
            <w:tcW w:w="45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561" w:type="dxa"/>
            <w:tcBorders/>
            <w:vAlign w:val="center"/>
          </w:tcPr>
          <w:p>
            <w:pPr>
              <w:pStyle w:val="TableContents"/>
              <w:bidi w:val="0"/>
              <w:spacing w:before="0" w:after="283"/>
              <w:jc w:val="center"/>
              <w:rPr/>
            </w:pPr>
            <w:r>
              <w:rPr/>
              <w:t> </w:t>
            </w:r>
          </w:p>
        </w:tc>
        <w:tc>
          <w:tcPr>
            <w:tcW w:w="2855" w:type="dxa"/>
            <w:gridSpan w:val="2"/>
            <w:tcBorders/>
            <w:vAlign w:val="center"/>
          </w:tcPr>
          <w:p>
            <w:pPr>
              <w:pStyle w:val="TableContents"/>
              <w:bidi w:val="0"/>
              <w:spacing w:before="0" w:after="283"/>
              <w:jc w:val="center"/>
              <w:rPr/>
            </w:pPr>
            <w:r>
              <w:rPr/>
              <w:t> </w:t>
            </w:r>
          </w:p>
        </w:tc>
      </w:tr>
      <w:tr>
        <w:trPr/>
        <w:tc>
          <w:tcPr>
            <w:tcW w:w="4561" w:type="dxa"/>
            <w:tcBorders/>
            <w:vAlign w:val="center"/>
          </w:tcPr>
          <w:p>
            <w:pPr>
              <w:pStyle w:val="TableContents"/>
              <w:bidi w:val="0"/>
              <w:jc w:val="center"/>
              <w:rPr>
                <w:rFonts w:ascii="Times New Roman" w:hAnsi="Times New Roman"/>
                <w:sz w:val="20"/>
              </w:rPr>
            </w:pPr>
            <w:r>
              <w:rPr>
                <w:rFonts w:ascii="Times New Roman" w:hAnsi="Times New Roman"/>
                <w:b/>
                <w:color w:val="000000"/>
                <w:sz w:val="20"/>
              </w:rPr>
              <w:t>1691 Michigan Avenue,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Beach, Florida</w:t>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33139</w:t>
            </w:r>
          </w:p>
        </w:tc>
      </w:tr>
      <w:tr>
        <w:trPr/>
        <w:tc>
          <w:tcPr>
            <w:tcW w:w="456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(786) 297-9500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None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both"/>
        <w:rPr/>
      </w:pPr>
      <w:r>
        <w:rPr/>
        <w:t> </w:t>
      </w:r>
    </w:p>
    <w:tbl>
      <w:tblPr>
        <w:tblW w:w="8433" w:type="dxa"/>
        <w:jc w:val="left"/>
        <w:tblInd w:w="0" w:type="dxa"/>
        <w:tblLayout w:type="fixed"/>
        <w:tblCellMar>
          <w:top w:w="28" w:type="dxa"/>
          <w:left w:w="28" w:type="dxa"/>
          <w:bottom w:w="28" w:type="dxa"/>
          <w:right w:w="28" w:type="dxa"/>
        </w:tblCellMar>
      </w:tblPr>
      <w:tblGrid>
        <w:gridCol w:w="3196"/>
        <w:gridCol w:w="1561"/>
        <w:gridCol w:w="3676"/>
      </w:tblGrid>
      <w:tr>
        <w:trPr/>
        <w:tc>
          <w:tcPr>
            <w:tcW w:w="319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67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56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PNNT</w:t>
            </w:r>
          </w:p>
        </w:tc>
        <w:tc>
          <w:tcPr>
            <w:tcW w:w="367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31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42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color w:val="000000"/>
              </w:rPr>
            </w:pPr>
            <w:r>
              <w:rPr>
                <w:color w:val="000000"/>
              </w:rPr>
              <w:t xml:space="preserve">☑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number of shares of the registrant’s common stock, $0.001 par value per share, outstanding as of February 7, 2024 was 65,224,500.</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FORM 10-Q FOR THE QUARTER ENDED DECEMBER 31, 2023</w:t>
      </w:r>
    </w:p>
    <w:p>
      <w:pPr>
        <w:pStyle w:val="TextBody"/>
        <w:bidi w:val="0"/>
        <w:jc w:val="center"/>
        <w:rPr>
          <w:rFonts w:ascii="Times New Roman" w:hAnsi="Times New Roman"/>
          <w:b/>
          <w:color w:val="000000"/>
          <w:sz w:val="16"/>
        </w:rPr>
      </w:pPr>
      <w:r>
        <w:rPr>
          <w:rFonts w:ascii="Times New Roman" w:hAnsi="Times New Roman"/>
          <w:b/>
          <w:color w:val="000000"/>
          <w:sz w:val="16"/>
        </w:rPr>
        <w:t>TABLE OF CONTENTS</w:t>
      </w:r>
    </w:p>
    <w:p>
      <w:pPr>
        <w:pStyle w:val="TextBody"/>
        <w:bidi w:val="0"/>
        <w:jc w:val="center"/>
        <w:rPr/>
      </w:pPr>
      <w:r>
        <w:rPr/>
        <w:t> </w:t>
      </w:r>
    </w:p>
    <w:tbl>
      <w:tblPr>
        <w:tblW w:w="9370" w:type="dxa"/>
        <w:jc w:val="left"/>
        <w:tblInd w:w="0" w:type="dxa"/>
        <w:tblLayout w:type="fixed"/>
        <w:tblCellMar>
          <w:top w:w="28" w:type="dxa"/>
          <w:left w:w="28" w:type="dxa"/>
          <w:bottom w:w="28" w:type="dxa"/>
          <w:right w:w="28" w:type="dxa"/>
        </w:tblCellMar>
      </w:tblPr>
      <w:tblGrid>
        <w:gridCol w:w="8461"/>
        <w:gridCol w:w="146"/>
        <w:gridCol w:w="763"/>
      </w:tblGrid>
      <w:tr>
        <w:trPr/>
        <w:tc>
          <w:tcPr>
            <w:tcW w:w="8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61"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16"/>
                  <w:u w:val="single"/>
                </w:rPr>
                <w:t>PART I. CONSOLIDATED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1_consolidated_financial_statements">
              <w:r>
                <w:rPr>
                  <w:rStyle w:val="InternetLink"/>
                  <w:rFonts w:ascii="Times New Roman" w:hAnsi="Times New Roman"/>
                  <w:b/>
                  <w:color w:val="0000FF"/>
                  <w:sz w:val="16"/>
                  <w:u w:val="single"/>
                </w:rPr>
                <w:t>Item 1.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572"/>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396" w:right="0" w:hanging="176"/>
              <w:jc w:val="left"/>
              <w:rPr/>
            </w:pPr>
            <w:hyperlink w:anchor="consolidated_statements_assets_liabiliti">
              <w:r>
                <w:rPr>
                  <w:rStyle w:val="InternetLink"/>
                  <w:rFonts w:ascii="Times New Roman" w:hAnsi="Times New Roman"/>
                  <w:color w:val="0000FF"/>
                  <w:sz w:val="16"/>
                  <w:u w:val="single"/>
                </w:rPr>
                <w:t>Consolidated Statements of Assets and Liabilities as of December 31, 2023 (unaudited) and September 30, 2023</w:t>
              </w:r>
            </w:hyperlink>
            <w:hyperlink w:anchor="consolidated_statements_assets_liabiliti">
              <w:r>
                <w:rPr>
                  <w:rStyle w:val="InternetLink"/>
                  <w:rFonts w:ascii="Times New Roman" w:hAnsi="Times New Roman"/>
                  <w:color w:val="0000FF"/>
                  <w:sz w:val="16"/>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572"/>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396" w:right="0" w:hanging="176"/>
              <w:jc w:val="left"/>
              <w:rPr/>
            </w:pPr>
            <w:hyperlink w:anchor="consolidated_statements_operations">
              <w:r>
                <w:rPr>
                  <w:rStyle w:val="InternetLink"/>
                  <w:rFonts w:ascii="Times New Roman" w:hAnsi="Times New Roman"/>
                  <w:color w:val="0000FF"/>
                  <w:sz w:val="16"/>
                  <w:u w:val="single"/>
                </w:rPr>
                <w:t>Consolidated Statements of Operations for the three months ended December 31, 2023 and 2022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572"/>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396" w:right="0" w:hanging="176"/>
              <w:jc w:val="left"/>
              <w:rPr/>
            </w:pPr>
            <w:hyperlink w:anchor="consolidated_statements_changes_in_net_a">
              <w:r>
                <w:rPr>
                  <w:rStyle w:val="InternetLink"/>
                  <w:rFonts w:ascii="Times New Roman" w:hAnsi="Times New Roman"/>
                  <w:color w:val="0000FF"/>
                  <w:sz w:val="16"/>
                  <w:u w:val="single"/>
                </w:rPr>
                <w:t>Consolidated Statements of Changes in Net Assets for the three months ended December 31, 2023 and 2022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572"/>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396" w:right="0" w:hanging="176"/>
              <w:jc w:val="left"/>
              <w:rPr/>
            </w:pPr>
            <w:hyperlink w:anchor="consolidated_statements_cash_flows">
              <w:r>
                <w:rPr>
                  <w:rStyle w:val="InternetLink"/>
                  <w:rFonts w:ascii="Times New Roman" w:hAnsi="Times New Roman"/>
                  <w:color w:val="0000FF"/>
                  <w:sz w:val="16"/>
                  <w:u w:val="single"/>
                </w:rPr>
                <w:t>Consolidated Statements of Cash Flows for the three months ended December 31, 2023 and 2022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572"/>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396" w:right="0" w:hanging="176"/>
              <w:jc w:val="left"/>
              <w:rPr/>
            </w:pPr>
            <w:hyperlink w:anchor="consolidated_schedule_investments">
              <w:r>
                <w:rPr>
                  <w:rStyle w:val="InternetLink"/>
                  <w:rFonts w:ascii="Times New Roman" w:hAnsi="Times New Roman"/>
                  <w:color w:val="0000FF"/>
                  <w:sz w:val="16"/>
                  <w:u w:val="single"/>
                </w:rPr>
                <w:t>Consolidated Schedules of Investments as of December 31, 2023 (unaudited) and September 30,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572"/>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396" w:right="0" w:hanging="176"/>
              <w:jc w:val="left"/>
              <w:rPr/>
            </w:pPr>
            <w:hyperlink w:anchor="notes_to_consolidated_financial">
              <w:r>
                <w:rPr>
                  <w:rStyle w:val="InternetLink"/>
                  <w:rFonts w:ascii="Times New Roman" w:hAnsi="Times New Roman"/>
                  <w:color w:val="0000FF"/>
                  <w:sz w:val="16"/>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572"/>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396" w:right="0" w:hanging="176"/>
              <w:jc w:val="left"/>
              <w:rPr/>
            </w:pPr>
            <w:hyperlink w:anchor="report_independent_registered_public_acc">
              <w:r>
                <w:rPr>
                  <w:rStyle w:val="InternetLink"/>
                  <w:rFonts w:ascii="Times New Roman" w:hAnsi="Times New Roman"/>
                  <w:color w:val="0000FF"/>
                  <w:sz w:val="16"/>
                  <w:u w:val="single"/>
                </w:rPr>
                <w:t>Report of Independent Registered Public Accounting Firm (PCAOB ID 49)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2_managements_discussion_analysis_f">
              <w:r>
                <w:rPr>
                  <w:rStyle w:val="InternetLink"/>
                  <w:rFonts w:ascii="Times New Roman" w:hAnsi="Times New Roman"/>
                  <w:b/>
                  <w:color w:val="0000FF"/>
                  <w:sz w:val="16"/>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3_quantitative_qualitative_disclosu">
              <w:r>
                <w:rPr>
                  <w:rStyle w:val="InternetLink"/>
                  <w:rFonts w:ascii="Times New Roman" w:hAnsi="Times New Roman"/>
                  <w:b/>
                  <w:color w:val="0000FF"/>
                  <w:sz w:val="16"/>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4_controls_procedures">
              <w:r>
                <w:rPr>
                  <w:rStyle w:val="InternetLink"/>
                  <w:rFonts w:ascii="Times New Roman" w:hAnsi="Times New Roman"/>
                  <w:b/>
                  <w:color w:val="0000FF"/>
                  <w:sz w:val="16"/>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61" w:type="dxa"/>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Times New Roman" w:hAnsi="Times New Roman"/>
                  <w:b/>
                  <w:color w:val="0000FF"/>
                  <w:sz w:val="16"/>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1_legal_proceedings">
              <w:r>
                <w:rPr>
                  <w:rStyle w:val="InternetLink"/>
                  <w:rFonts w:ascii="Times New Roman" w:hAnsi="Times New Roman"/>
                  <w:b/>
                  <w:color w:val="0000FF"/>
                  <w:sz w:val="16"/>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1a_risk_factors">
              <w:r>
                <w:rPr>
                  <w:rStyle w:val="InternetLink"/>
                  <w:rFonts w:ascii="Times New Roman" w:hAnsi="Times New Roman"/>
                  <w:b/>
                  <w:color w:val="0000FF"/>
                  <w:sz w:val="16"/>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2_unregistered_sales_equity_securit">
              <w:r>
                <w:rPr>
                  <w:rStyle w:val="InternetLink"/>
                  <w:rFonts w:ascii="Times New Roman" w:hAnsi="Times New Roman"/>
                  <w:b/>
                  <w:color w:val="0000FF"/>
                  <w:sz w:val="16"/>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3_defaults_upon_senior_securities">
              <w:r>
                <w:rPr>
                  <w:rStyle w:val="InternetLink"/>
                  <w:rFonts w:ascii="Times New Roman" w:hAnsi="Times New Roman"/>
                  <w:b/>
                  <w:color w:val="0000FF"/>
                  <w:sz w:val="16"/>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4_mine_safety_disclosures">
              <w:r>
                <w:rPr>
                  <w:rStyle w:val="InternetLink"/>
                  <w:rFonts w:ascii="Times New Roman" w:hAnsi="Times New Roman"/>
                  <w:b/>
                  <w:color w:val="0000FF"/>
                  <w:sz w:val="16"/>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5_or_information">
              <w:r>
                <w:rPr>
                  <w:rStyle w:val="InternetLink"/>
                  <w:rFonts w:ascii="Times New Roman" w:hAnsi="Times New Roman"/>
                  <w:b/>
                  <w:color w:val="0000FF"/>
                  <w:sz w:val="16"/>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item_6_exhibits">
              <w:r>
                <w:rPr>
                  <w:rStyle w:val="InternetLink"/>
                  <w:rFonts w:ascii="Times New Roman" w:hAnsi="Times New Roman"/>
                  <w:b/>
                  <w:color w:val="0000FF"/>
                  <w:sz w:val="16"/>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r>
      <w:tr>
        <w:trPr/>
        <w:tc>
          <w:tcPr>
            <w:tcW w:w="8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ind w:left="0" w:right="0" w:firstLine="176"/>
              <w:jc w:val="right"/>
              <w:rPr/>
            </w:pPr>
            <w:r>
              <w:rPr/>
              <w:t> </w:t>
            </w:r>
          </w:p>
        </w:tc>
      </w:tr>
      <w:tr>
        <w:trPr/>
        <w:tc>
          <w:tcPr>
            <w:tcW w:w="8461" w:type="dxa"/>
            <w:tcBorders/>
            <w:tcMar>
              <w:top w:w="0" w:type="dxa"/>
              <w:left w:w="0" w:type="dxa"/>
              <w:bottom w:w="0" w:type="dxa"/>
              <w:right w:w="0" w:type="dxa"/>
            </w:tcMar>
            <w:vAlign w:val="center"/>
          </w:tcPr>
          <w:p>
            <w:pPr>
              <w:pStyle w:val="TableContents"/>
              <w:pBdr/>
              <w:bidi w:val="0"/>
              <w:spacing w:before="0" w:after="283"/>
              <w:ind w:left="0" w:right="0" w:hanging="176"/>
              <w:jc w:val="left"/>
              <w:rPr/>
            </w:pPr>
            <w:hyperlink w:anchor="signatures">
              <w:r>
                <w:rPr>
                  <w:rStyle w:val="InternetLink"/>
                  <w:rFonts w:ascii="Times New Roman" w:hAnsi="Times New Roman"/>
                  <w:b/>
                  <w:color w:val="0000FF"/>
                  <w:sz w:val="16"/>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16"/>
        </w:rPr>
        <w:t>PART I—CONSOLIDATED F</w:t>
      </w:r>
      <w:bookmarkStart w:id="3" w:name="part_iconsolidated_financial_information"/>
      <w:bookmarkEnd w:id="3"/>
      <w:r>
        <w:rPr>
          <w:rFonts w:ascii="Times New Roman" w:hAnsi="Times New Roman"/>
          <w:b/>
          <w:color w:val="000000"/>
          <w:sz w:val="16"/>
        </w:rPr>
        <w:t>INANCIAL INFORMATION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“BNP Credit Facility” refers to our revolving credit facility with BNP Paribas prior to deconsolidation of Funding I; “Truist Credit Facility” refers to our multi-currency, senior secured revolving credit facility with Truist Bank, as amended and restated; “2026 Notes” refers to our 4.50% Notes due May 2026; “2026 Notes-2”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6"/>
        </w:rPr>
      </w:pPr>
      <w:bookmarkStart w:id="4" w:name="item_1_consolidated_financial_statements"/>
      <w:bookmarkEnd w:id="4"/>
      <w:r>
        <w:rPr>
          <w:rFonts w:ascii="Times New Roman" w:hAnsi="Times New Roman"/>
          <w:b/>
          <w:color w:val="000000"/>
          <w:sz w:val="16"/>
        </w:rPr>
        <w:t>Item 1. Consolidated Financial Statements</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bookmarkStart w:id="5" w:name="consolidated_statements_assets_liabiliti"/>
      <w:bookmarkEnd w:id="5"/>
      <w:r>
        <w:rPr>
          <w:rFonts w:ascii="Times New Roman" w:hAnsi="Times New Roman"/>
          <w:b/>
          <w:color w:val="000000"/>
          <w:sz w:val="16"/>
        </w:rPr>
        <w:t>CONSOLIDATED STATEMENTS OF ASSETS AND LIABILITIES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21"/>
        <w:gridCol w:w="146"/>
        <w:gridCol w:w="266"/>
        <w:gridCol w:w="1124"/>
        <w:gridCol w:w="166"/>
        <w:gridCol w:w="146"/>
        <w:gridCol w:w="273"/>
        <w:gridCol w:w="1151"/>
        <w:gridCol w:w="1012"/>
      </w:tblGrid>
      <w:tr>
        <w:trPr/>
        <w:tc>
          <w:tcPr>
            <w:tcW w:w="5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5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012" w:type="dxa"/>
            <w:tcBorders/>
            <w:shd w:fill="FFFFFF" w:val="clear"/>
            <w:vAlign w:val="center"/>
          </w:tcPr>
          <w:p>
            <w:pPr>
              <w:pStyle w:val="TableContents"/>
              <w:bidi w:val="0"/>
              <w:spacing w:before="0" w:after="283"/>
              <w:jc w:val="center"/>
              <w:rPr/>
            </w:pPr>
            <w:r>
              <w:rPr/>
              <w:t> </w:t>
            </w:r>
          </w:p>
        </w:tc>
      </w:tr>
      <w:tr>
        <w:trPr/>
        <w:tc>
          <w:tcPr>
            <w:tcW w:w="5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Assets</w:t>
            </w:r>
          </w:p>
        </w:tc>
        <w:tc>
          <w:tcPr>
            <w:tcW w:w="146" w:type="dxa"/>
            <w:tcBorders/>
            <w:shd w:fill="CCECFF" w:val="clear"/>
            <w:vAlign w:val="center"/>
          </w:tcPr>
          <w:p>
            <w:pPr>
              <w:pStyle w:val="TableContents"/>
              <w:bidi w:val="0"/>
              <w:spacing w:before="0" w:after="283"/>
              <w:jc w:val="left"/>
              <w:rPr/>
            </w:pPr>
            <w:r>
              <w:rPr/>
              <w:t> </w:t>
            </w:r>
          </w:p>
        </w:tc>
        <w:tc>
          <w:tcPr>
            <w:tcW w:w="1390"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24" w:type="dxa"/>
            <w:gridSpan w:val="2"/>
            <w:tcBorders/>
            <w:shd w:fill="CCECFF" w:val="clear"/>
            <w:vAlign w:val="center"/>
          </w:tcPr>
          <w:p>
            <w:pPr>
              <w:pStyle w:val="TableContents"/>
              <w:bidi w:val="0"/>
              <w:spacing w:before="0" w:after="283"/>
              <w:jc w:val="right"/>
              <w:rPr/>
            </w:pPr>
            <w:r>
              <w:rPr/>
              <w:t> </w:t>
            </w:r>
          </w:p>
        </w:tc>
        <w:tc>
          <w:tcPr>
            <w:tcW w:w="1012" w:type="dxa"/>
            <w:tcBorders/>
            <w:shd w:fill="CCECFF" w:val="clear"/>
            <w:vAlign w:val="center"/>
          </w:tcPr>
          <w:p>
            <w:pPr>
              <w:pStyle w:val="TableContents"/>
              <w:bidi w:val="0"/>
              <w:spacing w:before="0" w:after="283"/>
              <w:jc w:val="righ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3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shd w:fill="FFFFFF" w:val="clear"/>
            <w:vAlign w:val="center"/>
          </w:tcPr>
          <w:p>
            <w:pPr>
              <w:pStyle w:val="TableContents"/>
              <w:bidi w:val="0"/>
              <w:spacing w:before="0" w:after="283"/>
              <w:jc w:val="right"/>
              <w:rPr/>
            </w:pPr>
            <w:r>
              <w:rPr/>
              <w:t> </w:t>
            </w:r>
          </w:p>
        </w:tc>
        <w:tc>
          <w:tcPr>
            <w:tcW w:w="1012" w:type="dxa"/>
            <w:tcBorders/>
            <w:shd w:fill="FFFFFF" w:val="clear"/>
            <w:vAlign w:val="center"/>
          </w:tcPr>
          <w:p>
            <w:pPr>
              <w:pStyle w:val="TableContents"/>
              <w:bidi w:val="0"/>
              <w:spacing w:before="0" w:after="283"/>
              <w:ind w:left="0" w:right="0" w:firstLine="200"/>
              <w:jc w:val="right"/>
              <w:rPr/>
            </w:pPr>
            <w:r>
              <w:rPr/>
              <w:t> </w:t>
            </w:r>
          </w:p>
        </w:tc>
      </w:tr>
      <w:tr>
        <w:trPr/>
        <w:tc>
          <w:tcPr>
            <w:tcW w:w="5921" w:type="dxa"/>
            <w:tcBorders/>
            <w:shd w:fill="CCEC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Non-controlled, non-affiliated investments (amortized cost—$877,517</w:t>
            </w:r>
            <w:r>
              <w:rPr>
                <w:rFonts w:ascii="Times New Roman" w:hAnsi="Times New Roman"/>
                <w:color w:val="000000"/>
                <w:sz w:val="20"/>
              </w:rPr>
              <w:t> </w:t>
            </w:r>
            <w:r>
              <w:rPr>
                <w:rFonts w:ascii="Times New Roman" w:hAnsi="Times New Roman"/>
                <w:color w:val="000000"/>
                <w:sz w:val="16"/>
              </w:rPr>
              <w:t>and $816,754, respectively)</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879,245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830,808</w:t>
            </w:r>
          </w:p>
        </w:tc>
        <w:tc>
          <w:tcPr>
            <w:tcW w:w="1012" w:type="dxa"/>
            <w:tcBorders/>
            <w:shd w:fill="CCECFF" w:val="clear"/>
            <w:vAlign w:val="center"/>
          </w:tcPr>
          <w:p>
            <w:pPr>
              <w:pStyle w:val="TableContents"/>
              <w:bidi w:val="0"/>
              <w:spacing w:before="0" w:after="283"/>
              <w:ind w:left="0" w:right="0" w:firstLine="200"/>
              <w:jc w:val="left"/>
              <w:rPr/>
            </w:pPr>
            <w:r>
              <w:rPr/>
              <w:t> </w:t>
            </w:r>
          </w:p>
        </w:tc>
      </w:tr>
      <w:tr>
        <w:trPr/>
        <w:tc>
          <w:tcPr>
            <w:tcW w:w="59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Non-controlled, affiliated investments (amortized cost—$54,736</w:t>
            </w:r>
            <w:r>
              <w:rPr>
                <w:rFonts w:ascii="Times New Roman" w:hAnsi="Times New Roman"/>
                <w:color w:val="000000"/>
                <w:sz w:val="20"/>
              </w:rPr>
              <w:t> </w:t>
            </w:r>
            <w:r>
              <w:rPr>
                <w:rFonts w:ascii="Times New Roman" w:hAnsi="Times New Roman"/>
                <w:color w:val="000000"/>
                <w:sz w:val="16"/>
              </w:rPr>
              <w:t>and $55,787, respectively)</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54,771</w:t>
            </w:r>
          </w:p>
        </w:tc>
        <w:tc>
          <w:tcPr>
            <w:tcW w:w="1012" w:type="dxa"/>
            <w:tcBorders/>
            <w:shd w:fill="FFFFFF" w:val="clear"/>
            <w:vAlign w:val="center"/>
          </w:tcPr>
          <w:p>
            <w:pPr>
              <w:pStyle w:val="TableContents"/>
              <w:bidi w:val="0"/>
              <w:spacing w:before="0" w:after="283"/>
              <w:ind w:left="0" w:right="0" w:firstLine="200"/>
              <w:jc w:val="left"/>
              <w:rPr/>
            </w:pPr>
            <w:r>
              <w:rPr/>
              <w:t> </w:t>
            </w:r>
          </w:p>
        </w:tc>
      </w:tr>
      <w:tr>
        <w:trPr/>
        <w:tc>
          <w:tcPr>
            <w:tcW w:w="5921" w:type="dxa"/>
            <w:tcBorders/>
            <w:shd w:fill="CCEC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Controlled, affiliated investments (amortized cost—$299,787</w:t>
            </w:r>
            <w:r>
              <w:rPr>
                <w:rFonts w:ascii="Times New Roman" w:hAnsi="Times New Roman"/>
                <w:color w:val="000000"/>
                <w:sz w:val="20"/>
              </w:rPr>
              <w:t> </w:t>
            </w:r>
            <w:r>
              <w:rPr>
                <w:rFonts w:ascii="Times New Roman" w:hAnsi="Times New Roman"/>
                <w:color w:val="000000"/>
                <w:sz w:val="16"/>
              </w:rPr>
              <w:t>and $245,386, respectively)</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290,684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216,068</w:t>
            </w:r>
          </w:p>
        </w:tc>
        <w:tc>
          <w:tcPr>
            <w:tcW w:w="10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Total investments (amortized cost—$1,232,040</w:t>
            </w:r>
            <w:r>
              <w:rPr>
                <w:rFonts w:ascii="Times New Roman" w:hAnsi="Times New Roman"/>
                <w:color w:val="000000"/>
                <w:sz w:val="20"/>
              </w:rPr>
              <w:t> </w:t>
            </w:r>
            <w:r>
              <w:rPr>
                <w:rFonts w:ascii="Times New Roman" w:hAnsi="Times New Roman"/>
                <w:color w:val="000000"/>
                <w:sz w:val="16"/>
              </w:rPr>
              <w:t>and $1,117,927, respectively)</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1,101,647</w:t>
            </w:r>
          </w:p>
        </w:tc>
        <w:tc>
          <w:tcPr>
            <w:tcW w:w="1012" w:type="dxa"/>
            <w:tcBorders/>
            <w:shd w:fill="FFFFFF" w:val="cle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(cost—$36,850</w:t>
            </w:r>
            <w:r>
              <w:rPr>
                <w:rFonts w:ascii="Times New Roman" w:hAnsi="Times New Roman"/>
                <w:color w:val="000000"/>
                <w:sz w:val="20"/>
              </w:rPr>
              <w:t> </w:t>
            </w:r>
            <w:r>
              <w:rPr>
                <w:rFonts w:ascii="Times New Roman" w:hAnsi="Times New Roman"/>
                <w:color w:val="000000"/>
                <w:sz w:val="16"/>
              </w:rPr>
              <w:t>and $38,784, respectively)</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12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38,775</w:t>
            </w:r>
          </w:p>
        </w:tc>
        <w:tc>
          <w:tcPr>
            <w:tcW w:w="1012" w:type="dxa"/>
            <w:tcBorders/>
            <w:shd w:fill="CCEC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6,820</w:t>
            </w:r>
          </w:p>
        </w:tc>
        <w:tc>
          <w:tcPr>
            <w:tcW w:w="1012" w:type="dxa"/>
            <w:tcBorders/>
            <w:shd w:fill="FFFFFF" w:val="cle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receivable</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12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5,079</w:t>
            </w:r>
          </w:p>
        </w:tc>
        <w:tc>
          <w:tcPr>
            <w:tcW w:w="1012" w:type="dxa"/>
            <w:tcBorders/>
            <w:shd w:fill="CCEC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from affiliates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color w:val="000000"/>
              </w:rPr>
            </w:pPr>
            <w:r>
              <w:rPr>
                <w:color w:val="000000"/>
              </w:rPr>
              <w:t>—</w:t>
            </w:r>
          </w:p>
        </w:tc>
        <w:tc>
          <w:tcPr>
            <w:tcW w:w="1012" w:type="dxa"/>
            <w:tcBorders/>
            <w:shd w:fill="FFFFFF" w:val="cle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4,656</w:t>
            </w:r>
          </w:p>
        </w:tc>
        <w:tc>
          <w:tcPr>
            <w:tcW w:w="10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21"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1,156,977</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CECFF" w:val="clear"/>
            <w:vAlign w:val="center"/>
          </w:tcPr>
          <w:p>
            <w:pPr>
              <w:pStyle w:val="TableContents"/>
              <w:bidi w:val="0"/>
              <w:spacing w:before="0" w:after="283"/>
              <w:jc w:val="left"/>
              <w:rPr/>
            </w:pPr>
            <w:r>
              <w:rPr/>
              <w:t> </w:t>
            </w:r>
          </w:p>
        </w:tc>
        <w:tc>
          <w:tcPr>
            <w:tcW w:w="1390"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24" w:type="dxa"/>
            <w:gridSpan w:val="2"/>
            <w:tcBorders/>
            <w:shd w:fill="CCECFF" w:val="clear"/>
            <w:vAlign w:val="center"/>
          </w:tcPr>
          <w:p>
            <w:pPr>
              <w:pStyle w:val="TableContents"/>
              <w:bidi w:val="0"/>
              <w:spacing w:before="0" w:after="283"/>
              <w:jc w:val="right"/>
              <w:rPr/>
            </w:pPr>
            <w:r>
              <w:rPr/>
              <w:t> </w:t>
            </w:r>
          </w:p>
        </w:tc>
        <w:tc>
          <w:tcPr>
            <w:tcW w:w="1012" w:type="dxa"/>
            <w:tcBorders/>
            <w:shd w:fill="CCECFF" w:val="clear"/>
            <w:vAlign w:val="center"/>
          </w:tcPr>
          <w:p>
            <w:pPr>
              <w:pStyle w:val="TableContents"/>
              <w:bidi w:val="0"/>
              <w:spacing w:before="0" w:after="283"/>
              <w:jc w:val="righ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Truist Credit Facility payable, at fair value (cost—$388,456</w:t>
            </w:r>
            <w:r>
              <w:rPr>
                <w:rFonts w:ascii="Times New Roman" w:hAnsi="Times New Roman"/>
                <w:color w:val="000000"/>
                <w:sz w:val="20"/>
              </w:rPr>
              <w:t> </w:t>
            </w:r>
            <w:r>
              <w:rPr>
                <w:rFonts w:ascii="Times New Roman" w:hAnsi="Times New Roman"/>
                <w:color w:val="000000"/>
                <w:sz w:val="16"/>
              </w:rPr>
              <w:t>and $212,420, respectively)</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206,940</w:t>
            </w:r>
          </w:p>
        </w:tc>
        <w:tc>
          <w:tcPr>
            <w:tcW w:w="1012" w:type="dxa"/>
            <w:tcBorders/>
            <w:shd w:fill="FFFFFF" w:val="cle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 payable, net (par— $150,000)</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12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147,894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147,669</w:t>
            </w:r>
          </w:p>
        </w:tc>
        <w:tc>
          <w:tcPr>
            <w:tcW w:w="1012" w:type="dxa"/>
            <w:tcBorders/>
            <w:shd w:fill="CCEC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Notes-2 payable, net (par— $165,000)</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162,226</w:t>
            </w:r>
          </w:p>
        </w:tc>
        <w:tc>
          <w:tcPr>
            <w:tcW w:w="1012" w:type="dxa"/>
            <w:tcBorders/>
            <w:shd w:fill="FFFFFF" w:val="cle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investment purchased</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12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51,850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99,949</w:t>
            </w:r>
          </w:p>
        </w:tc>
        <w:tc>
          <w:tcPr>
            <w:tcW w:w="1012" w:type="dxa"/>
            <w:tcBorders/>
            <w:shd w:fill="CCEC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payable</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13,697</w:t>
            </w:r>
          </w:p>
        </w:tc>
        <w:tc>
          <w:tcPr>
            <w:tcW w:w="1012" w:type="dxa"/>
            <w:tcBorders/>
            <w:shd w:fill="FFFFFF" w:val="cle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12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6,754</w:t>
            </w:r>
          </w:p>
        </w:tc>
        <w:tc>
          <w:tcPr>
            <w:tcW w:w="1012" w:type="dxa"/>
            <w:tcBorders/>
            <w:shd w:fill="CCEC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3,915</w:t>
            </w:r>
          </w:p>
        </w:tc>
        <w:tc>
          <w:tcPr>
            <w:tcW w:w="1012" w:type="dxa"/>
            <w:tcBorders/>
            <w:shd w:fill="FFFFFF" w:val="cle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 payable</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12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11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3,310</w:t>
            </w:r>
          </w:p>
        </w:tc>
        <w:tc>
          <w:tcPr>
            <w:tcW w:w="1012" w:type="dxa"/>
            <w:tcBorders/>
            <w:shd w:fill="CCEC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debt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6,231</w:t>
            </w:r>
          </w:p>
        </w:tc>
        <w:tc>
          <w:tcPr>
            <w:tcW w:w="1012" w:type="dxa"/>
            <w:tcBorders/>
            <w:shd w:fill="FFFFFF" w:val="cle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to affiliates</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w:t>
            </w:r>
          </w:p>
        </w:tc>
        <w:tc>
          <w:tcPr>
            <w:tcW w:w="10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21"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654,790</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(See Note 11)</w:t>
            </w:r>
          </w:p>
        </w:tc>
        <w:tc>
          <w:tcPr>
            <w:tcW w:w="146" w:type="dxa"/>
            <w:tcBorders/>
            <w:shd w:fill="CCECFF" w:val="clear"/>
            <w:vAlign w:val="center"/>
          </w:tcPr>
          <w:p>
            <w:pPr>
              <w:pStyle w:val="TableContents"/>
              <w:bidi w:val="0"/>
              <w:spacing w:before="0" w:after="283"/>
              <w:jc w:val="left"/>
              <w:rPr/>
            </w:pPr>
            <w:r>
              <w:rPr/>
              <w:t> </w:t>
            </w:r>
          </w:p>
        </w:tc>
        <w:tc>
          <w:tcPr>
            <w:tcW w:w="1390"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24" w:type="dxa"/>
            <w:gridSpan w:val="2"/>
            <w:tcBorders/>
            <w:shd w:fill="CCECFF" w:val="clear"/>
            <w:vAlign w:val="center"/>
          </w:tcPr>
          <w:p>
            <w:pPr>
              <w:pStyle w:val="TableContents"/>
              <w:bidi w:val="0"/>
              <w:spacing w:before="0" w:after="283"/>
              <w:jc w:val="right"/>
              <w:rPr/>
            </w:pPr>
            <w:r>
              <w:rPr/>
              <w:t> </w:t>
            </w:r>
          </w:p>
        </w:tc>
        <w:tc>
          <w:tcPr>
            <w:tcW w:w="1012" w:type="dxa"/>
            <w:tcBorders/>
            <w:shd w:fill="CCECFF" w:val="clear"/>
            <w:vAlign w:val="center"/>
          </w:tcPr>
          <w:p>
            <w:pPr>
              <w:pStyle w:val="TableContents"/>
              <w:bidi w:val="0"/>
              <w:spacing w:before="0" w:after="283"/>
              <w:jc w:val="righ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vAlign w:val="center"/>
          </w:tcPr>
          <w:p>
            <w:pPr>
              <w:pStyle w:val="TableContents"/>
              <w:bidi w:val="0"/>
              <w:spacing w:before="0" w:after="283"/>
              <w:jc w:val="left"/>
              <w:rPr/>
            </w:pPr>
            <w:r>
              <w:rPr/>
              <w:t> </w:t>
            </w:r>
          </w:p>
        </w:tc>
        <w:tc>
          <w:tcPr>
            <w:tcW w:w="13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24" w:type="dxa"/>
            <w:gridSpan w:val="2"/>
            <w:tcBorders/>
            <w:shd w:fill="FFFFFF" w:val="clear"/>
            <w:vAlign w:val="center"/>
          </w:tcPr>
          <w:p>
            <w:pPr>
              <w:pStyle w:val="TableContents"/>
              <w:bidi w:val="0"/>
              <w:spacing w:before="0" w:after="283"/>
              <w:jc w:val="right"/>
              <w:rPr/>
            </w:pPr>
            <w:r>
              <w:rPr/>
              <w:t> </w:t>
            </w:r>
          </w:p>
        </w:tc>
        <w:tc>
          <w:tcPr>
            <w:tcW w:w="1012" w:type="dxa"/>
            <w:tcBorders/>
            <w:shd w:fill="FFFFFF" w:val="clear"/>
            <w:vAlign w:val="center"/>
          </w:tcPr>
          <w:p>
            <w:pPr>
              <w:pStyle w:val="TableContents"/>
              <w:bidi w:val="0"/>
              <w:spacing w:before="0" w:after="283"/>
              <w:jc w:val="righ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65,224,500</w:t>
            </w:r>
            <w:r>
              <w:rPr>
                <w:rFonts w:ascii="Times New Roman" w:hAnsi="Times New Roman"/>
                <w:color w:val="000000"/>
                <w:sz w:val="20"/>
              </w:rPr>
              <w:t> </w:t>
            </w:r>
            <w:r>
              <w:rPr>
                <w:rFonts w:ascii="Times New Roman" w:hAnsi="Times New Roman"/>
                <w:color w:val="000000"/>
                <w:sz w:val="16"/>
              </w:rPr>
              <w:t>shares issued and outstanding</w:t>
              <w:br/>
              <w:t>   Par value $0.001</w:t>
            </w:r>
            <w:r>
              <w:rPr>
                <w:rFonts w:ascii="Times New Roman" w:hAnsi="Times New Roman"/>
                <w:color w:val="000000"/>
                <w:sz w:val="20"/>
              </w:rPr>
              <w:t> </w:t>
            </w:r>
            <w:r>
              <w:rPr>
                <w:rFonts w:ascii="Times New Roman" w:hAnsi="Times New Roman"/>
                <w:color w:val="000000"/>
                <w:sz w:val="16"/>
              </w:rPr>
              <w:t>per share and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CCECFF" w:val="clear"/>
            <w:vAlign w:val="center"/>
          </w:tcPr>
          <w:p>
            <w:pPr>
              <w:pStyle w:val="TableContents"/>
              <w:bidi w:val="0"/>
              <w:spacing w:before="0" w:after="283"/>
              <w:jc w:val="left"/>
              <w:rPr/>
            </w:pPr>
            <w:r>
              <w:rPr/>
              <w:t> </w:t>
            </w:r>
          </w:p>
        </w:tc>
        <w:tc>
          <w:tcPr>
            <w:tcW w:w="266" w:type="dxa"/>
            <w:tcBorders/>
            <w:shd w:fill="CCECFF" w:val="clear"/>
            <w:vAlign w:val="center"/>
          </w:tcPr>
          <w:p>
            <w:pPr>
              <w:pStyle w:val="TableContents"/>
              <w:bidi w:val="0"/>
              <w:spacing w:before="0" w:after="283"/>
              <w:jc w:val="left"/>
              <w:rPr/>
            </w:pPr>
            <w:r>
              <w:rPr/>
              <w:t> </w:t>
            </w:r>
          </w:p>
        </w:tc>
        <w:tc>
          <w:tcPr>
            <w:tcW w:w="112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3" w:type="dxa"/>
            <w:tcBorders/>
            <w:shd w:fill="CCECFF" w:val="clear"/>
            <w:vAlign w:val="center"/>
          </w:tcPr>
          <w:p>
            <w:pPr>
              <w:pStyle w:val="TableContents"/>
              <w:bidi w:val="0"/>
              <w:spacing w:before="0" w:after="283"/>
              <w:jc w:val="left"/>
              <w:rPr/>
            </w:pPr>
            <w:r>
              <w:rPr/>
              <w:t> </w:t>
            </w:r>
          </w:p>
        </w:tc>
        <w:tc>
          <w:tcPr>
            <w:tcW w:w="115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012" w:type="dxa"/>
            <w:tcBorders/>
            <w:shd w:fill="CCECFF"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Paid-in capital in excess of par value</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746,466</w:t>
            </w:r>
          </w:p>
        </w:tc>
        <w:tc>
          <w:tcPr>
            <w:tcW w:w="1012" w:type="dxa"/>
            <w:tcBorders/>
            <w:shd w:fill="FFFFFF" w:val="clear"/>
            <w:vAlign w:val="center"/>
          </w:tcPr>
          <w:p>
            <w:pPr>
              <w:pStyle w:val="TableContents"/>
              <w:bidi w:val="0"/>
              <w:spacing w:before="0" w:after="283"/>
              <w:jc w:val="left"/>
              <w:rPr/>
            </w:pPr>
            <w:r>
              <w:rPr/>
              <w:t> </w:t>
            </w:r>
          </w:p>
        </w:tc>
      </w:tr>
      <w:tr>
        <w:trPr/>
        <w:tc>
          <w:tcPr>
            <w:tcW w:w="5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(247,389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(244,344</w:t>
            </w:r>
          </w:p>
        </w:tc>
        <w:tc>
          <w:tcPr>
            <w:tcW w:w="10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921"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502,187</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21" w:type="dxa"/>
            <w:tcBorders/>
            <w:shd w:fill="CCEC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CECFF" w:val="clear"/>
            <w:vAlign w:val="center"/>
          </w:tcPr>
          <w:p>
            <w:pPr>
              <w:pStyle w:val="TableContents"/>
              <w:bidi w:val="0"/>
              <w:spacing w:before="0" w:after="283"/>
              <w:jc w:val="left"/>
              <w:rPr/>
            </w:pPr>
            <w:r>
              <w:rPr/>
              <w:t> </w:t>
            </w:r>
          </w:p>
        </w:tc>
        <w:tc>
          <w:tcPr>
            <w:tcW w:w="2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1,267,238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1,156,977</w:t>
            </w:r>
          </w:p>
        </w:tc>
        <w:tc>
          <w:tcPr>
            <w:tcW w:w="10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bookmarkStart w:id="6" w:name="consolidated_statements_operations"/>
      <w:bookmarkEnd w:id="6"/>
      <w:r>
        <w:rPr>
          <w:rFonts w:ascii="Times New Roman" w:hAnsi="Times New Roman"/>
          <w:b/>
          <w:color w:val="000000"/>
          <w:sz w:val="16"/>
        </w:rPr>
        <w:t>CONSOLIDATED STATEMENTS OF OPERATIONS (Unaudited)</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per share data)</w:t>
      </w:r>
    </w:p>
    <w:p>
      <w:pPr>
        <w:pStyle w:val="TextBody"/>
        <w:bidi w:val="0"/>
        <w:jc w:val="center"/>
        <w:rPr/>
      </w:pPr>
      <w:r>
        <w:rPr/>
        <w:t> </w:t>
      </w:r>
    </w:p>
    <w:tbl>
      <w:tblPr>
        <w:tblW w:w="9151" w:type="dxa"/>
        <w:jc w:val="left"/>
        <w:tblInd w:w="0" w:type="dxa"/>
        <w:tblLayout w:type="fixed"/>
        <w:tblCellMar>
          <w:top w:w="28" w:type="dxa"/>
          <w:left w:w="28" w:type="dxa"/>
          <w:bottom w:w="28" w:type="dxa"/>
          <w:right w:w="28" w:type="dxa"/>
        </w:tblCellMar>
      </w:tblPr>
      <w:tblGrid>
        <w:gridCol w:w="5956"/>
        <w:gridCol w:w="146"/>
        <w:gridCol w:w="255"/>
        <w:gridCol w:w="861"/>
        <w:gridCol w:w="216"/>
        <w:gridCol w:w="190"/>
        <w:gridCol w:w="255"/>
        <w:gridCol w:w="861"/>
        <w:gridCol w:w="4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21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jc w:val="righ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From non-controlled, non-affiliated investments:</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21,068</w:t>
            </w:r>
          </w:p>
        </w:tc>
        <w:tc>
          <w:tcPr>
            <w:tcW w:w="21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22,231</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21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color w:val="000000"/>
              </w:rPr>
            </w:pPr>
            <w:r>
              <w:rPr>
                <w:color w:val="000000"/>
              </w:rPr>
              <w:t>—</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w:t>
            </w:r>
          </w:p>
        </w:tc>
        <w:tc>
          <w:tcPr>
            <w:tcW w:w="411" w:type="dxa"/>
            <w:tcBorders/>
            <w:shd w:fill="FFFFFF" w:val="clear"/>
            <w:vAlign w:val="center"/>
          </w:tcPr>
          <w:p>
            <w:pPr>
              <w:pStyle w:val="TableContents"/>
              <w:bidi w:val="0"/>
              <w:spacing w:before="0" w:after="283"/>
              <w:jc w:val="left"/>
              <w:rPr/>
            </w:pPr>
            <w:r>
              <w:rPr/>
              <w:t> </w:t>
            </w:r>
          </w:p>
        </w:tc>
      </w:tr>
      <w:tr>
        <w:trPr/>
        <w:tc>
          <w:tcPr>
            <w:tcW w:w="595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From non-controlled, affiliated investments:</w:t>
            </w:r>
          </w:p>
        </w:tc>
        <w:tc>
          <w:tcPr>
            <w:tcW w:w="146"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21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595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From controlled, affiliated investments:</w:t>
            </w:r>
          </w:p>
        </w:tc>
        <w:tc>
          <w:tcPr>
            <w:tcW w:w="146"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21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5,481</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w:t>
            </w:r>
          </w:p>
        </w:tc>
        <w:tc>
          <w:tcPr>
            <w:tcW w:w="146"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21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34,336</w:t>
            </w:r>
          </w:p>
        </w:tc>
        <w:tc>
          <w:tcPr>
            <w:tcW w:w="2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29,963</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and expenses on debt</w:t>
            </w:r>
          </w:p>
        </w:tc>
        <w:tc>
          <w:tcPr>
            <w:tcW w:w="146"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9,557</w:t>
            </w:r>
          </w:p>
        </w:tc>
        <w:tc>
          <w:tcPr>
            <w:tcW w:w="21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9,729</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4,004</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Incentive fee</w:t>
            </w:r>
          </w:p>
        </w:tc>
        <w:tc>
          <w:tcPr>
            <w:tcW w:w="146"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3,321</w:t>
            </w:r>
          </w:p>
        </w:tc>
        <w:tc>
          <w:tcPr>
            <w:tcW w:w="21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Administrative services expenses</w:t>
            </w:r>
          </w:p>
        </w:tc>
        <w:tc>
          <w:tcPr>
            <w:tcW w:w="146"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2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Expenses before provision for taxes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18,285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Provision for taxes on net investment income</w:t>
            </w:r>
          </w:p>
        </w:tc>
        <w:tc>
          <w:tcPr>
            <w:tcW w:w="146"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2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15,658</w:t>
            </w:r>
          </w:p>
        </w:tc>
        <w:tc>
          <w:tcPr>
            <w:tcW w:w="2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10,333</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and unrealized gain (loss) on investments and debt:</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95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and debt:</w:t>
            </w:r>
          </w:p>
        </w:tc>
        <w:tc>
          <w:tcPr>
            <w:tcW w:w="146"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21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2,581</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and controlled, affiliated investments</w:t>
            </w:r>
          </w:p>
        </w:tc>
        <w:tc>
          <w:tcPr>
            <w:tcW w:w="146"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21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color w:val="000000"/>
              </w:rPr>
            </w:pPr>
            <w:r>
              <w:rPr>
                <w:color w:val="000000"/>
              </w:rPr>
              <w:t>—</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realized gain (loss) on investments and debt</w:t>
            </w:r>
          </w:p>
        </w:tc>
        <w:tc>
          <w:tcPr>
            <w:tcW w:w="146"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w:t>
            </w:r>
          </w:p>
        </w:tc>
        <w:tc>
          <w:tcPr>
            <w:tcW w:w="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4,064</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w:t>
            </w:r>
          </w:p>
        </w:tc>
        <w:tc>
          <w:tcPr>
            <w:tcW w:w="146"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21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1116"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(12,270</w:t>
            </w:r>
          </w:p>
        </w:tc>
        <w:tc>
          <w:tcPr>
            <w:tcW w:w="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(50,517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and controlled, affiliated investments</w:t>
            </w:r>
          </w:p>
        </w:tc>
        <w:tc>
          <w:tcPr>
            <w:tcW w:w="146"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7,324</w:t>
            </w:r>
          </w:p>
        </w:tc>
        <w:tc>
          <w:tcPr>
            <w:tcW w:w="21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shd w:fill="CCECFF" w:val="clear"/>
            <w:vAlign w:val="center"/>
          </w:tcPr>
          <w:p>
            <w:pPr>
              <w:pStyle w:val="TableContents"/>
              <w:bidi w:val="0"/>
              <w:spacing w:before="0" w:after="283"/>
              <w:jc w:val="left"/>
              <w:rPr/>
            </w:pPr>
            <w:r>
              <w:rPr/>
              <w:t> </w:t>
            </w:r>
          </w:p>
        </w:tc>
        <w:tc>
          <w:tcPr>
            <w:tcW w:w="8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(41,048</w:t>
            </w:r>
          </w:p>
        </w:tc>
        <w:tc>
          <w:tcPr>
            <w:tcW w:w="411" w:type="dxa"/>
            <w:tcBorders/>
            <w:shd w:fill="CCEC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Provision for taxes on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Debt appreciation (depreciation)</w:t>
            </w:r>
          </w:p>
        </w:tc>
        <w:tc>
          <w:tcPr>
            <w:tcW w:w="146"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w:t>
            </w:r>
          </w:p>
        </w:tc>
        <w:tc>
          <w:tcPr>
            <w:tcW w:w="2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change in unrealized appreciation (depreciation) on investments and debt</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 from investments and debt</w:t>
            </w:r>
          </w:p>
        </w:tc>
        <w:tc>
          <w:tcPr>
            <w:tcW w:w="146"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2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CCECFF" w:val="clear"/>
            <w:vAlign w:val="center"/>
          </w:tcPr>
          <w:p>
            <w:pPr>
              <w:pStyle w:val="TableContents"/>
              <w:bidi w:val="0"/>
              <w:spacing w:before="0" w:after="283"/>
              <w:jc w:val="left"/>
              <w:rPr/>
            </w:pPr>
            <w:r>
              <w:rPr/>
              <w:t> </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(82,227</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10,653</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(71,894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 per common share</w:t>
            </w:r>
          </w:p>
        </w:tc>
        <w:tc>
          <w:tcPr>
            <w:tcW w:w="146" w:type="dxa"/>
            <w:tcBorders/>
            <w:shd w:fill="CCECFF" w:val="clear"/>
            <w:vAlign w:val="center"/>
          </w:tcPr>
          <w:p>
            <w:pPr>
              <w:pStyle w:val="TableContents"/>
              <w:bidi w:val="0"/>
              <w:spacing w:before="0" w:after="283"/>
              <w:jc w:val="left"/>
              <w:rPr/>
            </w:pPr>
            <w:r>
              <w:rPr/>
              <w:t> </w:t>
            </w:r>
          </w:p>
        </w:tc>
        <w:tc>
          <w:tcPr>
            <w:tcW w:w="25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21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25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common share</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bookmarkStart w:id="7" w:name="consolidated_statements_changes_in_net_a"/>
      <w:bookmarkEnd w:id="7"/>
      <w:r>
        <w:rPr>
          <w:rFonts w:ascii="Times New Roman" w:hAnsi="Times New Roman"/>
          <w:b/>
          <w:color w:val="000000"/>
          <w:sz w:val="16"/>
        </w:rPr>
        <w:t>CONSOLIDATED STATEMENTS OF CHANGES IN NET ASSETS (Unaudited)</w:t>
      </w:r>
    </w:p>
    <w:p>
      <w:pPr>
        <w:pStyle w:val="TextBody"/>
        <w:bidi w:val="0"/>
        <w:jc w:val="center"/>
        <w:rPr>
          <w:rFonts w:ascii="Times New Roman" w:hAnsi="Times New Roman"/>
          <w:b/>
          <w:color w:val="000000"/>
          <w:sz w:val="16"/>
        </w:rPr>
      </w:pPr>
      <w:r>
        <w:rPr>
          <w:rFonts w:ascii="Times New Roman" w:hAnsi="Times New Roman"/>
          <w:b/>
          <w:color w:val="000000"/>
          <w:sz w:val="16"/>
        </w:rPr>
        <w:t>(In thousands)</w:t>
      </w:r>
    </w:p>
    <w:p>
      <w:pPr>
        <w:pStyle w:val="TextBody"/>
        <w:bidi w:val="0"/>
        <w:jc w:val="center"/>
        <w:rPr/>
      </w:pPr>
      <w:r>
        <w:rPr/>
        <w:t> </w:t>
      </w:r>
    </w:p>
    <w:tbl>
      <w:tblPr>
        <w:tblW w:w="9816" w:type="dxa"/>
        <w:jc w:val="left"/>
        <w:tblInd w:w="0" w:type="dxa"/>
        <w:tblLayout w:type="fixed"/>
        <w:tblCellMar>
          <w:top w:w="28" w:type="dxa"/>
          <w:left w:w="28" w:type="dxa"/>
          <w:bottom w:w="28" w:type="dxa"/>
          <w:right w:w="28" w:type="dxa"/>
        </w:tblCellMar>
      </w:tblPr>
      <w:tblGrid>
        <w:gridCol w:w="6621"/>
        <w:gridCol w:w="146"/>
        <w:gridCol w:w="248"/>
        <w:gridCol w:w="874"/>
        <w:gridCol w:w="210"/>
        <w:gridCol w:w="184"/>
        <w:gridCol w:w="248"/>
        <w:gridCol w:w="874"/>
        <w:gridCol w:w="411"/>
      </w:tblGrid>
      <w:tr>
        <w:trPr/>
        <w:tc>
          <w:tcPr>
            <w:tcW w:w="6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CECFF" w:val="clear"/>
            <w:vAlign w:val="center"/>
          </w:tcPr>
          <w:p>
            <w:pPr>
              <w:pStyle w:val="TableContents"/>
              <w:bidi w:val="0"/>
              <w:spacing w:before="0" w:after="283"/>
              <w:jc w:val="left"/>
              <w:rPr/>
            </w:pPr>
            <w:r>
              <w:rPr/>
              <w:t> </w:t>
            </w:r>
          </w:p>
        </w:tc>
        <w:tc>
          <w:tcPr>
            <w:tcW w:w="1122" w:type="dxa"/>
            <w:gridSpan w:val="2"/>
            <w:tcBorders/>
            <w:shd w:fill="CCECFF" w:val="clear"/>
            <w:vAlign w:val="center"/>
          </w:tcPr>
          <w:p>
            <w:pPr>
              <w:pStyle w:val="TableContents"/>
              <w:bidi w:val="0"/>
              <w:spacing w:before="0" w:after="283"/>
              <w:jc w:val="right"/>
              <w:rPr/>
            </w:pPr>
            <w:r>
              <w:rPr/>
              <w:t> </w:t>
            </w:r>
          </w:p>
        </w:tc>
        <w:tc>
          <w:tcPr>
            <w:tcW w:w="210" w:type="dxa"/>
            <w:tcBorders/>
            <w:shd w:fill="CCECFF" w:val="clear"/>
            <w:vAlign w:val="center"/>
          </w:tcPr>
          <w:p>
            <w:pPr>
              <w:pStyle w:val="TableContents"/>
              <w:bidi w:val="0"/>
              <w:spacing w:before="0" w:after="283"/>
              <w:jc w:val="right"/>
              <w:rPr/>
            </w:pPr>
            <w:r>
              <w:rPr/>
              <w:t> </w:t>
            </w:r>
          </w:p>
        </w:tc>
        <w:tc>
          <w:tcPr>
            <w:tcW w:w="184" w:type="dxa"/>
            <w:tcBorders/>
            <w:shd w:fill="CCECFF" w:val="clear"/>
            <w:vAlign w:val="center"/>
          </w:tcPr>
          <w:p>
            <w:pPr>
              <w:pStyle w:val="TableContents"/>
              <w:bidi w:val="0"/>
              <w:spacing w:before="0" w:after="283"/>
              <w:jc w:val="left"/>
              <w:rPr/>
            </w:pPr>
            <w:r>
              <w:rPr/>
              <w:t> </w:t>
            </w:r>
          </w:p>
        </w:tc>
        <w:tc>
          <w:tcPr>
            <w:tcW w:w="1122" w:type="dxa"/>
            <w:gridSpan w:val="2"/>
            <w:tcBorders/>
            <w:shd w:fill="CCECFF" w:val="clear"/>
            <w:vAlign w:val="center"/>
          </w:tcPr>
          <w:p>
            <w:pPr>
              <w:pStyle w:val="TableContents"/>
              <w:bidi w:val="0"/>
              <w:spacing w:before="0" w:after="283"/>
              <w:jc w:val="right"/>
              <w:rPr/>
            </w:pPr>
            <w:r>
              <w:rPr/>
              <w:t> </w:t>
            </w:r>
          </w:p>
        </w:tc>
        <w:tc>
          <w:tcPr>
            <w:tcW w:w="411" w:type="dxa"/>
            <w:tcBorders/>
            <w:shd w:fill="CCECFF" w:val="clear"/>
            <w:vAlign w:val="center"/>
          </w:tcPr>
          <w:p>
            <w:pPr>
              <w:pStyle w:val="TableContents"/>
              <w:bidi w:val="0"/>
              <w:spacing w:before="0" w:after="283"/>
              <w:ind w:left="0" w:right="0" w:firstLine="200"/>
              <w:jc w:val="right"/>
              <w:rPr/>
            </w:pPr>
            <w:r>
              <w:rPr/>
              <w:t> </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15,658</w:t>
            </w:r>
          </w:p>
        </w:tc>
        <w:tc>
          <w:tcPr>
            <w:tcW w:w="21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 and debt</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7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w:t>
            </w:r>
          </w:p>
        </w:tc>
        <w:tc>
          <w:tcPr>
            <w:tcW w:w="210"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7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4,064</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(4,946</w:t>
            </w:r>
          </w:p>
        </w:tc>
        <w:tc>
          <w:tcPr>
            <w:tcW w:w="21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(91,565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provision for taxes on unrealized appreciation (depreciation) on investments</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7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10"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pPr>
            <w:r>
              <w:rPr/>
              <w:t> </w:t>
            </w:r>
          </w:p>
        </w:tc>
        <w:tc>
          <w:tcPr>
            <w:tcW w:w="87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w:t>
            </w:r>
          </w:p>
        </w:tc>
        <w:tc>
          <w:tcPr>
            <w:tcW w:w="411" w:type="dxa"/>
            <w:tcBorders/>
            <w:shd w:fill="CCECFF" w:val="clear"/>
            <w:vAlign w:val="center"/>
          </w:tcPr>
          <w:p>
            <w:pPr>
              <w:pStyle w:val="TableContents"/>
              <w:bidi w:val="0"/>
              <w:spacing w:before="0" w:after="283"/>
              <w:ind w:left="0" w:right="0" w:firstLine="200"/>
              <w:jc w:val="left"/>
              <w:rPr/>
            </w:pPr>
            <w:r>
              <w:rPr/>
              <w:t> </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debt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10,653</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(71,894</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Distributions to stockholders:</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Distribution of net investment income</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(13,698</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distributios to stockholders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(3,045</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4"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(82,656</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62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Beginning of period</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502,187</w:t>
            </w:r>
          </w:p>
        </w:tc>
        <w:tc>
          <w:tcPr>
            <w:tcW w:w="21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585,565</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End of period</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499,142</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502,909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bookmarkStart w:id="8" w:name="consolidated_statements_cash_flows"/>
      <w:bookmarkEnd w:id="8"/>
      <w:r>
        <w:rPr>
          <w:rFonts w:ascii="Times New Roman" w:hAnsi="Times New Roman"/>
          <w:b/>
          <w:color w:val="000000"/>
          <w:sz w:val="16"/>
        </w:rPr>
        <w:t>CONSOLIDATED STATEMENTS OF CASH FLOWS (Unaudited)</w:t>
      </w:r>
    </w:p>
    <w:p>
      <w:pPr>
        <w:pStyle w:val="TextBody"/>
        <w:bidi w:val="0"/>
        <w:jc w:val="center"/>
        <w:rPr>
          <w:rFonts w:ascii="Times New Roman" w:hAnsi="Times New Roman"/>
          <w:b/>
          <w:color w:val="000000"/>
          <w:sz w:val="16"/>
        </w:rPr>
      </w:pPr>
      <w:r>
        <w:rPr>
          <w:rFonts w:ascii="Times New Roman" w:hAnsi="Times New Roman"/>
          <w:b/>
          <w:color w:val="000000"/>
          <w:sz w:val="16"/>
        </w:rPr>
        <w:t>(In thousands)</w:t>
      </w:r>
    </w:p>
    <w:p>
      <w:pPr>
        <w:pStyle w:val="TextBody"/>
        <w:bidi w:val="0"/>
        <w:jc w:val="center"/>
        <w:rPr/>
      </w:pPr>
      <w:r>
        <w:rPr/>
        <w:t> </w:t>
      </w:r>
    </w:p>
    <w:tbl>
      <w:tblPr>
        <w:tblW w:w="10097" w:type="dxa"/>
        <w:jc w:val="left"/>
        <w:tblInd w:w="0" w:type="dxa"/>
        <w:tblLayout w:type="fixed"/>
        <w:tblCellMar>
          <w:top w:w="28" w:type="dxa"/>
          <w:left w:w="28" w:type="dxa"/>
          <w:bottom w:w="28" w:type="dxa"/>
          <w:right w:w="28" w:type="dxa"/>
        </w:tblCellMar>
      </w:tblPr>
      <w:tblGrid>
        <w:gridCol w:w="5901"/>
        <w:gridCol w:w="146"/>
        <w:gridCol w:w="244"/>
        <w:gridCol w:w="937"/>
        <w:gridCol w:w="207"/>
        <w:gridCol w:w="182"/>
        <w:gridCol w:w="244"/>
        <w:gridCol w:w="825"/>
        <w:gridCol w:w="1411"/>
      </w:tblGrid>
      <w:tr>
        <w:trPr/>
        <w:tc>
          <w:tcPr>
            <w:tcW w:w="5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5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CECFF" w:val="clear"/>
            <w:vAlign w:val="center"/>
          </w:tcPr>
          <w:p>
            <w:pPr>
              <w:pStyle w:val="TableContents"/>
              <w:bidi w:val="0"/>
              <w:spacing w:before="0" w:after="283"/>
              <w:jc w:val="left"/>
              <w:rPr/>
            </w:pPr>
            <w:r>
              <w:rPr/>
              <w:t> </w:t>
            </w:r>
          </w:p>
        </w:tc>
        <w:tc>
          <w:tcPr>
            <w:tcW w:w="1181" w:type="dxa"/>
            <w:gridSpan w:val="2"/>
            <w:tcBorders/>
            <w:shd w:fill="CCECFF" w:val="clear"/>
            <w:vAlign w:val="center"/>
          </w:tcPr>
          <w:p>
            <w:pPr>
              <w:pStyle w:val="TableContents"/>
              <w:bidi w:val="0"/>
              <w:spacing w:before="0" w:after="283"/>
              <w:jc w:val="right"/>
              <w:rPr/>
            </w:pPr>
            <w:r>
              <w:rPr/>
              <w:t> </w:t>
            </w:r>
          </w:p>
        </w:tc>
        <w:tc>
          <w:tcPr>
            <w:tcW w:w="207"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1069" w:type="dxa"/>
            <w:gridSpan w:val="2"/>
            <w:tcBorders/>
            <w:shd w:fill="CCECFF" w:val="clear"/>
            <w:vAlign w:val="center"/>
          </w:tcPr>
          <w:p>
            <w:pPr>
              <w:pStyle w:val="TableContents"/>
              <w:bidi w:val="0"/>
              <w:spacing w:before="0" w:after="283"/>
              <w:jc w:val="right"/>
              <w:rPr/>
            </w:pPr>
            <w:r>
              <w:rPr/>
              <w:t> </w:t>
            </w:r>
          </w:p>
        </w:tc>
        <w:tc>
          <w:tcPr>
            <w:tcW w:w="1411" w:type="dxa"/>
            <w:tcBorders/>
            <w:shd w:fill="CCECFF" w:val="clear"/>
            <w:vAlign w:val="center"/>
          </w:tcPr>
          <w:p>
            <w:pPr>
              <w:pStyle w:val="TableContents"/>
              <w:bidi w:val="0"/>
              <w:spacing w:before="0" w:after="283"/>
              <w:ind w:left="0" w:right="0" w:firstLine="400"/>
              <w:jc w:val="right"/>
              <w:rPr/>
            </w:pPr>
            <w:r>
              <w:rPr/>
              <w:t> </w:t>
            </w:r>
          </w:p>
        </w:tc>
      </w:tr>
      <w:tr>
        <w:trPr/>
        <w:tc>
          <w:tcPr>
            <w:tcW w:w="59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10,653</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(71,894</w:t>
            </w:r>
          </w:p>
        </w:tc>
        <w:tc>
          <w:tcPr>
            <w:tcW w:w="14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 xml:space="preserve">Adjustments to reconcile net increase (decrease) in net assets resulting from </w:t>
              <w:br/>
              <w:t>   operations to net cash provided by (used in) operating activities:</w:t>
            </w:r>
          </w:p>
        </w:tc>
        <w:tc>
          <w:tcPr>
            <w:tcW w:w="146" w:type="dxa"/>
            <w:tcBorders/>
            <w:shd w:fill="CCECFF" w:val="clear"/>
            <w:vAlign w:val="center"/>
          </w:tcPr>
          <w:p>
            <w:pPr>
              <w:pStyle w:val="TableContents"/>
              <w:bidi w:val="0"/>
              <w:spacing w:before="0" w:after="283"/>
              <w:jc w:val="left"/>
              <w:rPr/>
            </w:pPr>
            <w:r>
              <w:rPr/>
              <w:t> </w:t>
            </w:r>
          </w:p>
        </w:tc>
        <w:tc>
          <w:tcPr>
            <w:tcW w:w="1181" w:type="dxa"/>
            <w:gridSpan w:val="2"/>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1069" w:type="dxa"/>
            <w:gridSpan w:val="2"/>
            <w:tcBorders/>
            <w:shd w:fill="CCECFF" w:val="clear"/>
            <w:vAlign w:val="center"/>
          </w:tcPr>
          <w:p>
            <w:pPr>
              <w:pStyle w:val="TableContents"/>
              <w:bidi w:val="0"/>
              <w:spacing w:before="0" w:after="283"/>
              <w:jc w:val="left"/>
              <w:rPr/>
            </w:pPr>
            <w:r>
              <w:rPr/>
              <w:t> </w:t>
            </w:r>
          </w:p>
        </w:tc>
        <w:tc>
          <w:tcPr>
            <w:tcW w:w="1411" w:type="dxa"/>
            <w:tcBorders/>
            <w:shd w:fill="CCECFF" w:val="clear"/>
            <w:vAlign w:val="center"/>
          </w:tcPr>
          <w:p>
            <w:pPr>
              <w:pStyle w:val="TableContents"/>
              <w:bidi w:val="0"/>
              <w:spacing w:before="0" w:after="283"/>
              <w:ind w:left="0" w:right="0" w:firstLine="800"/>
              <w:jc w:val="left"/>
              <w:rPr/>
            </w:pPr>
            <w:r>
              <w:rPr/>
              <w:t> </w:t>
            </w:r>
          </w:p>
        </w:tc>
      </w:tr>
      <w:tr>
        <w:trPr/>
        <w:tc>
          <w:tcPr>
            <w:tcW w:w="590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change in net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4,946</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91,565</w:t>
            </w:r>
          </w:p>
        </w:tc>
        <w:tc>
          <w:tcPr>
            <w:tcW w:w="1411" w:type="dxa"/>
            <w:tcBorders/>
            <w:shd w:fill="FFFFFF" w:val="clear"/>
            <w:vAlign w:val="center"/>
          </w:tcPr>
          <w:p>
            <w:pPr>
              <w:pStyle w:val="TableContents"/>
              <w:bidi w:val="0"/>
              <w:spacing w:before="0" w:after="283"/>
              <w:ind w:left="0" w:right="0" w:firstLine="800"/>
              <w:jc w:val="left"/>
              <w:rPr/>
            </w:pPr>
            <w:r>
              <w:rPr/>
              <w:t> </w:t>
            </w:r>
          </w:p>
        </w:tc>
      </w:tr>
      <w:tr>
        <w:trPr/>
        <w:tc>
          <w:tcPr>
            <w:tcW w:w="590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change in unrealized appreciation (depreciation) on debt</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w:t>
            </w:r>
          </w:p>
        </w:tc>
        <w:tc>
          <w:tcPr>
            <w:tcW w:w="207"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w:t>
            </w:r>
          </w:p>
        </w:tc>
        <w:tc>
          <w:tcPr>
            <w:tcW w:w="1411" w:type="dxa"/>
            <w:tcBorders/>
            <w:shd w:fill="CCEC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realized (gain) loss on investments and cash equivalents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w:t>
            </w:r>
          </w:p>
        </w:tc>
        <w:tc>
          <w:tcPr>
            <w:tcW w:w="2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(4,064</w:t>
            </w:r>
          </w:p>
        </w:tc>
        <w:tc>
          <w:tcPr>
            <w:tcW w:w="1411" w:type="dxa"/>
            <w:tcBorders/>
            <w:shd w:fill="FFFF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Net accretion of discount and amortization of premium</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20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1411" w:type="dxa"/>
            <w:tcBorders/>
            <w:shd w:fill="CCEC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(281,000</w:t>
            </w:r>
          </w:p>
        </w:tc>
        <w:tc>
          <w:tcPr>
            <w:tcW w:w="2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(86,182</w:t>
            </w:r>
          </w:p>
        </w:tc>
        <w:tc>
          <w:tcPr>
            <w:tcW w:w="1411" w:type="dxa"/>
            <w:tcBorders/>
            <w:shd w:fill="FFFF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Payment-in-kind income</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w:t>
            </w:r>
          </w:p>
        </w:tc>
        <w:tc>
          <w:tcPr>
            <w:tcW w:w="20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1411" w:type="dxa"/>
            <w:tcBorders/>
            <w:shd w:fill="CCEC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Proceeds from dispositions of investments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170,753</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30,620</w:t>
            </w:r>
          </w:p>
        </w:tc>
        <w:tc>
          <w:tcPr>
            <w:tcW w:w="1411" w:type="dxa"/>
            <w:tcBorders/>
            <w:shd w:fill="FFFFFF" w:val="clear"/>
            <w:vAlign w:val="center"/>
          </w:tcPr>
          <w:p>
            <w:pPr>
              <w:pStyle w:val="TableContents"/>
              <w:bidi w:val="0"/>
              <w:spacing w:before="0" w:after="283"/>
              <w:ind w:left="0" w:right="0" w:firstLine="800"/>
              <w:jc w:val="left"/>
              <w:rPr/>
            </w:pPr>
            <w:r>
              <w:rPr/>
              <w:t> </w:t>
            </w:r>
          </w:p>
        </w:tc>
      </w:tr>
      <w:tr>
        <w:trPr/>
        <w:tc>
          <w:tcPr>
            <w:tcW w:w="590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w:t>
            </w:r>
          </w:p>
        </w:tc>
        <w:tc>
          <w:tcPr>
            <w:tcW w:w="207"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411" w:type="dxa"/>
            <w:tcBorders/>
            <w:shd w:fill="CCECFF" w:val="clear"/>
            <w:vAlign w:val="center"/>
          </w:tcPr>
          <w:p>
            <w:pPr>
              <w:pStyle w:val="TableContents"/>
              <w:bidi w:val="0"/>
              <w:spacing w:before="0" w:after="283"/>
              <w:ind w:left="0" w:right="0" w:firstLine="800"/>
              <w:jc w:val="left"/>
              <w:rPr/>
            </w:pPr>
            <w:r>
              <w:rPr/>
              <w:t> </w:t>
            </w:r>
          </w:p>
        </w:tc>
      </w:tr>
      <w:tr>
        <w:trPr/>
        <w:tc>
          <w:tcPr>
            <w:tcW w:w="590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(Increase) decrease in:</w:t>
            </w:r>
          </w:p>
        </w:tc>
        <w:tc>
          <w:tcPr>
            <w:tcW w:w="146" w:type="dxa"/>
            <w:tcBorders/>
            <w:shd w:fill="FFFFFF" w:val="clear"/>
            <w:vAlign w:val="center"/>
          </w:tcPr>
          <w:p>
            <w:pPr>
              <w:pStyle w:val="TableContents"/>
              <w:bidi w:val="0"/>
              <w:spacing w:before="0" w:after="283"/>
              <w:jc w:val="left"/>
              <w:rPr/>
            </w:pPr>
            <w:r>
              <w:rPr/>
              <w:t> </w:t>
            </w:r>
          </w:p>
        </w:tc>
        <w:tc>
          <w:tcPr>
            <w:tcW w:w="1181" w:type="dxa"/>
            <w:gridSpan w:val="2"/>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ind w:left="0" w:right="0" w:firstLine="1000"/>
              <w:jc w:val="left"/>
              <w:rPr/>
            </w:pPr>
            <w:r>
              <w:rPr/>
              <w:t> </w:t>
            </w:r>
          </w:p>
        </w:tc>
      </w:tr>
      <w:tr>
        <w:trPr/>
        <w:tc>
          <w:tcPr>
            <w:tcW w:w="5901" w:type="dxa"/>
            <w:tcBorders/>
            <w:shd w:fill="CCEC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(3,064</w:t>
            </w:r>
          </w:p>
        </w:tc>
        <w:tc>
          <w:tcPr>
            <w:tcW w:w="20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w:t>
            </w:r>
          </w:p>
        </w:tc>
        <w:tc>
          <w:tcPr>
            <w:tcW w:w="1411" w:type="dxa"/>
            <w:tcBorders/>
            <w:shd w:fill="CCECFF" w:val="cle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FFFF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Receivables from investments sold</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color w:val="000000"/>
              </w:rPr>
            </w:pPr>
            <w:r>
              <w:rPr>
                <w:color w:val="000000"/>
              </w:rPr>
              <w:t>—</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29,494</w:t>
            </w:r>
          </w:p>
        </w:tc>
        <w:tc>
          <w:tcPr>
            <w:tcW w:w="1411" w:type="dxa"/>
            <w:tcBorders/>
            <w:shd w:fill="FFFFFF" w:val="clear"/>
            <w:vAlign w:val="center"/>
          </w:tcPr>
          <w:p>
            <w:pPr>
              <w:pStyle w:val="TableContents"/>
              <w:bidi w:val="0"/>
              <w:spacing w:before="0" w:after="283"/>
              <w:ind w:left="0" w:right="0" w:firstLine="1000"/>
              <w:jc w:val="left"/>
              <w:rPr/>
            </w:pPr>
            <w:r>
              <w:rPr/>
              <w:t> </w:t>
            </w:r>
          </w:p>
        </w:tc>
      </w:tr>
      <w:tr>
        <w:trPr/>
        <w:tc>
          <w:tcPr>
            <w:tcW w:w="5901" w:type="dxa"/>
            <w:tcBorders/>
            <w:shd w:fill="CCEC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Distribution receivable</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20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1411" w:type="dxa"/>
            <w:tcBorders/>
            <w:shd w:fill="CCECFF" w:val="cle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FFFF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Due from affiliate</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2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1411" w:type="dxa"/>
            <w:tcBorders/>
            <w:shd w:fill="FFFFFF" w:val="clear"/>
            <w:vAlign w:val="center"/>
          </w:tcPr>
          <w:p>
            <w:pPr>
              <w:pStyle w:val="TableContents"/>
              <w:bidi w:val="0"/>
              <w:spacing w:before="0" w:after="283"/>
              <w:ind w:left="0" w:right="0" w:firstLine="1000"/>
              <w:jc w:val="left"/>
              <w:rPr/>
            </w:pPr>
            <w:r>
              <w:rPr/>
              <w:t> </w:t>
            </w:r>
          </w:p>
        </w:tc>
      </w:tr>
      <w:tr>
        <w:trPr/>
        <w:tc>
          <w:tcPr>
            <w:tcW w:w="5901" w:type="dxa"/>
            <w:tcBorders/>
            <w:shd w:fill="CCEC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20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color w:val="000000"/>
              </w:rPr>
            </w:pPr>
            <w:r>
              <w:rPr>
                <w:color w:val="000000"/>
              </w:rPr>
              <w:t>—</w:t>
            </w:r>
          </w:p>
        </w:tc>
        <w:tc>
          <w:tcPr>
            <w:tcW w:w="1411" w:type="dxa"/>
            <w:tcBorders/>
            <w:shd w:fill="CCECFF" w:val="clear"/>
            <w:vAlign w:val="center"/>
          </w:tcPr>
          <w:p>
            <w:pPr>
              <w:pStyle w:val="TableContents"/>
              <w:bidi w:val="0"/>
              <w:spacing w:before="0" w:after="283"/>
              <w:ind w:left="0" w:right="0" w:firstLine="800"/>
              <w:jc w:val="left"/>
              <w:rPr/>
            </w:pPr>
            <w:r>
              <w:rPr/>
              <w:t> </w:t>
            </w:r>
          </w:p>
        </w:tc>
      </w:tr>
      <w:tr>
        <w:trPr/>
        <w:tc>
          <w:tcPr>
            <w:tcW w:w="590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Increase (decrease) in:</w:t>
            </w:r>
          </w:p>
        </w:tc>
        <w:tc>
          <w:tcPr>
            <w:tcW w:w="146" w:type="dxa"/>
            <w:tcBorders/>
            <w:shd w:fill="FFFFFF" w:val="clear"/>
            <w:vAlign w:val="center"/>
          </w:tcPr>
          <w:p>
            <w:pPr>
              <w:pStyle w:val="TableContents"/>
              <w:bidi w:val="0"/>
              <w:spacing w:before="0" w:after="283"/>
              <w:jc w:val="left"/>
              <w:rPr/>
            </w:pPr>
            <w:r>
              <w:rPr/>
              <w:t> </w:t>
            </w:r>
          </w:p>
        </w:tc>
        <w:tc>
          <w:tcPr>
            <w:tcW w:w="1181" w:type="dxa"/>
            <w:gridSpan w:val="2"/>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ind w:left="0" w:right="0" w:firstLine="1000"/>
              <w:jc w:val="left"/>
              <w:rPr/>
            </w:pPr>
            <w:r>
              <w:rPr/>
              <w:t> </w:t>
            </w:r>
          </w:p>
        </w:tc>
      </w:tr>
      <w:tr>
        <w:trPr/>
        <w:tc>
          <w:tcPr>
            <w:tcW w:w="5901" w:type="dxa"/>
            <w:tcBorders/>
            <w:shd w:fill="CCEC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Due to affiliate</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(2,542</w:t>
            </w:r>
          </w:p>
        </w:tc>
        <w:tc>
          <w:tcPr>
            <w:tcW w:w="20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11" w:type="dxa"/>
            <w:tcBorders/>
            <w:shd w:fill="CCECFF" w:val="clear"/>
            <w:vAlign w:val="center"/>
          </w:tcPr>
          <w:p>
            <w:pPr>
              <w:pStyle w:val="TableContents"/>
              <w:bidi w:val="0"/>
              <w:spacing w:before="0" w:after="283"/>
              <w:ind w:left="0" w:right="0" w:firstLine="1000"/>
              <w:jc w:val="left"/>
              <w:rPr/>
            </w:pPr>
            <w:r>
              <w:rPr/>
              <w:t> </w:t>
            </w:r>
          </w:p>
        </w:tc>
      </w:tr>
      <w:tr>
        <w:trPr/>
        <w:tc>
          <w:tcPr>
            <w:tcW w:w="5901" w:type="dxa"/>
            <w:tcBorders/>
            <w:shd w:fill="FFFF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Payable for investments purchased</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(48,099</w:t>
            </w:r>
          </w:p>
        </w:tc>
        <w:tc>
          <w:tcPr>
            <w:tcW w:w="2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8,325</w:t>
            </w:r>
          </w:p>
        </w:tc>
        <w:tc>
          <w:tcPr>
            <w:tcW w:w="1411" w:type="dxa"/>
            <w:tcBorders/>
            <w:shd w:fill="FFFFFF" w:val="clear"/>
            <w:vAlign w:val="center"/>
          </w:tcPr>
          <w:p>
            <w:pPr>
              <w:pStyle w:val="TableContents"/>
              <w:bidi w:val="0"/>
              <w:spacing w:before="0" w:after="283"/>
              <w:ind w:left="0" w:right="0" w:firstLine="1000"/>
              <w:jc w:val="left"/>
              <w:rPr/>
            </w:pPr>
            <w:r>
              <w:rPr/>
              <w:t> </w:t>
            </w:r>
          </w:p>
        </w:tc>
      </w:tr>
      <w:tr>
        <w:trPr/>
        <w:tc>
          <w:tcPr>
            <w:tcW w:w="5901" w:type="dxa"/>
            <w:tcBorders/>
            <w:shd w:fill="CCEC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Interest payable on debt</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(3,106</w:t>
            </w:r>
          </w:p>
        </w:tc>
        <w:tc>
          <w:tcPr>
            <w:tcW w:w="20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(2,973</w:t>
            </w:r>
          </w:p>
        </w:tc>
        <w:tc>
          <w:tcPr>
            <w:tcW w:w="1411" w:type="dxa"/>
            <w:tcBorders/>
            <w:shd w:fill="CCECFF" w:val="cle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FFFF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Base management fee payable, net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411" w:type="dxa"/>
            <w:tcBorders/>
            <w:shd w:fill="FFFFFF" w:val="cle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CCEC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Incentive fee payable</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07"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411" w:type="dxa"/>
            <w:tcBorders/>
            <w:shd w:fill="CCECFF" w:val="clear"/>
            <w:vAlign w:val="center"/>
          </w:tcPr>
          <w:p>
            <w:pPr>
              <w:pStyle w:val="TableContents"/>
              <w:bidi w:val="0"/>
              <w:spacing w:before="0" w:after="283"/>
              <w:ind w:left="0" w:right="0" w:firstLine="1000"/>
              <w:jc w:val="left"/>
              <w:rPr/>
            </w:pPr>
            <w:r>
              <w:rPr/>
              <w:t> </w:t>
            </w:r>
          </w:p>
        </w:tc>
      </w:tr>
      <w:tr>
        <w:trPr/>
        <w:tc>
          <w:tcPr>
            <w:tcW w:w="5901" w:type="dxa"/>
            <w:tcBorders/>
            <w:shd w:fill="FFFF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color w:val="000000"/>
              </w:rPr>
            </w:pPr>
            <w:r>
              <w:rPr>
                <w:color w:val="000000"/>
              </w:rPr>
              <w:t>—</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5,287</w:t>
            </w:r>
          </w:p>
        </w:tc>
        <w:tc>
          <w:tcPr>
            <w:tcW w:w="1411" w:type="dxa"/>
            <w:tcBorders/>
            <w:shd w:fill="FFFFFF" w:val="clear"/>
            <w:vAlign w:val="center"/>
          </w:tcPr>
          <w:p>
            <w:pPr>
              <w:pStyle w:val="TableContents"/>
              <w:bidi w:val="0"/>
              <w:spacing w:before="0" w:after="283"/>
              <w:ind w:left="0" w:right="0" w:firstLine="1000"/>
              <w:jc w:val="left"/>
              <w:rPr/>
            </w:pPr>
            <w:r>
              <w:rPr/>
              <w:t> </w:t>
            </w:r>
          </w:p>
        </w:tc>
      </w:tr>
      <w:tr>
        <w:trPr/>
        <w:tc>
          <w:tcPr>
            <w:tcW w:w="5901" w:type="dxa"/>
            <w:tcBorders/>
            <w:shd w:fill="CCECFF" w:val="cle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CCECFF" w:val="clear"/>
            <w:vAlign w:val="center"/>
          </w:tcPr>
          <w:p>
            <w:pPr>
              <w:pStyle w:val="TableContents"/>
              <w:bidi w:val="0"/>
              <w:spacing w:before="0" w:after="283"/>
              <w:jc w:val="left"/>
              <w:rPr/>
            </w:pPr>
            <w:r>
              <w:rPr/>
              <w:t> </w:t>
            </w:r>
          </w:p>
        </w:tc>
        <w:tc>
          <w:tcPr>
            <w:tcW w:w="2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(2,431</w:t>
            </w:r>
          </w:p>
        </w:tc>
        <w:tc>
          <w:tcPr>
            <w:tcW w:w="2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CCECFF" w:val="clear"/>
            <w:vAlign w:val="center"/>
          </w:tcPr>
          <w:p>
            <w:pPr>
              <w:pStyle w:val="TableContents"/>
              <w:bidi w:val="0"/>
              <w:spacing w:before="0" w:after="283"/>
              <w:jc w:val="left"/>
              <w:rPr/>
            </w:pPr>
            <w:r>
              <w:rPr/>
              <w:t> </w:t>
            </w:r>
          </w:p>
        </w:tc>
        <w:tc>
          <w:tcPr>
            <w:tcW w:w="2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(4,485</w:t>
            </w:r>
          </w:p>
        </w:tc>
        <w:tc>
          <w:tcPr>
            <w:tcW w:w="1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2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FFFFFF" w:val="clear"/>
            <w:vAlign w:val="center"/>
          </w:tcPr>
          <w:p>
            <w:pPr>
              <w:pStyle w:val="TableContents"/>
              <w:bidi w:val="0"/>
              <w:spacing w:before="0" w:after="283"/>
              <w:ind w:left="1200" w:right="0" w:firstLine="12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(155,121</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(9,563</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CECFF" w:val="clear"/>
            <w:vAlign w:val="center"/>
          </w:tcPr>
          <w:p>
            <w:pPr>
              <w:pStyle w:val="TableContents"/>
              <w:bidi w:val="0"/>
              <w:spacing w:before="0" w:after="283"/>
              <w:jc w:val="left"/>
              <w:rPr/>
            </w:pPr>
            <w:r>
              <w:rPr/>
              <w:t> </w:t>
            </w:r>
          </w:p>
        </w:tc>
        <w:tc>
          <w:tcPr>
            <w:tcW w:w="1181" w:type="dxa"/>
            <w:gridSpan w:val="2"/>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1069" w:type="dxa"/>
            <w:gridSpan w:val="2"/>
            <w:tcBorders/>
            <w:shd w:fill="CCECFF" w:val="clear"/>
            <w:vAlign w:val="center"/>
          </w:tcPr>
          <w:p>
            <w:pPr>
              <w:pStyle w:val="TableContents"/>
              <w:bidi w:val="0"/>
              <w:spacing w:before="0" w:after="283"/>
              <w:jc w:val="left"/>
              <w:rPr/>
            </w:pPr>
            <w:r>
              <w:rPr/>
              <w:t> </w:t>
            </w:r>
          </w:p>
        </w:tc>
        <w:tc>
          <w:tcPr>
            <w:tcW w:w="1411" w:type="dxa"/>
            <w:tcBorders/>
            <w:shd w:fill="CCECFF" w:val="clear"/>
            <w:vAlign w:val="center"/>
          </w:tcPr>
          <w:p>
            <w:pPr>
              <w:pStyle w:val="TableContents"/>
              <w:bidi w:val="0"/>
              <w:spacing w:before="0" w:after="283"/>
              <w:ind w:left="0" w:right="0" w:firstLine="800"/>
              <w:jc w:val="left"/>
              <w:rPr/>
            </w:pPr>
            <w:r>
              <w:rPr/>
              <w:t> </w:t>
            </w:r>
          </w:p>
        </w:tc>
      </w:tr>
      <w:tr>
        <w:trPr/>
        <w:tc>
          <w:tcPr>
            <w:tcW w:w="590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Distributions paid to stockholders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(22,828</w:t>
            </w:r>
          </w:p>
        </w:tc>
        <w:tc>
          <w:tcPr>
            <w:tcW w:w="2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(9,784</w:t>
            </w:r>
          </w:p>
        </w:tc>
        <w:tc>
          <w:tcPr>
            <w:tcW w:w="1411" w:type="dxa"/>
            <w:tcBorders/>
            <w:shd w:fill="FFFFFF"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CCEC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Borrowings under Truist Credit Facility</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228,036</w:t>
            </w:r>
          </w:p>
        </w:tc>
        <w:tc>
          <w:tcPr>
            <w:tcW w:w="207"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righ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44,000</w:t>
            </w:r>
          </w:p>
        </w:tc>
        <w:tc>
          <w:tcPr>
            <w:tcW w:w="1411" w:type="dxa"/>
            <w:tcBorders/>
            <w:shd w:fill="CCECFF" w:val="clear"/>
            <w:vAlign w:val="center"/>
          </w:tcPr>
          <w:p>
            <w:pPr>
              <w:pStyle w:val="TableContents"/>
              <w:bidi w:val="0"/>
              <w:spacing w:before="0" w:after="283"/>
              <w:ind w:left="0" w:right="0" w:firstLine="800"/>
              <w:jc w:val="left"/>
              <w:rPr/>
            </w:pPr>
            <w:r>
              <w:rPr/>
              <w:t> </w:t>
            </w:r>
          </w:p>
        </w:tc>
      </w:tr>
      <w:tr>
        <w:trPr/>
        <w:tc>
          <w:tcPr>
            <w:tcW w:w="590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Repayments under Truist Credit Facility</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(52,000</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FFFFFF" w:val="cle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(49,000</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200"/>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CCECFF" w:val="clear"/>
            <w:vAlign w:val="center"/>
          </w:tcPr>
          <w:p>
            <w:pPr>
              <w:pStyle w:val="TableContents"/>
              <w:bidi w:val="0"/>
              <w:spacing w:before="0" w:after="283"/>
              <w:ind w:left="1200" w:right="0" w:firstLine="1200"/>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CCECFF" w:val="clear"/>
            <w:vAlign w:val="center"/>
          </w:tcPr>
          <w:p>
            <w:pPr>
              <w:pStyle w:val="TableContents"/>
              <w:bidi w:val="0"/>
              <w:spacing w:before="0" w:after="283"/>
              <w:jc w:val="left"/>
              <w:rPr/>
            </w:pPr>
            <w:r>
              <w:rPr/>
              <w:t> </w:t>
            </w:r>
          </w:p>
        </w:tc>
        <w:tc>
          <w:tcPr>
            <w:tcW w:w="2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153,208</w:t>
            </w:r>
          </w:p>
        </w:tc>
        <w:tc>
          <w:tcPr>
            <w:tcW w:w="2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2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(14,784</w:t>
            </w:r>
          </w:p>
        </w:tc>
        <w:tc>
          <w:tcPr>
            <w:tcW w:w="1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equivalents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w:t>
            </w:r>
          </w:p>
        </w:tc>
        <w:tc>
          <w:tcPr>
            <w:tcW w:w="2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2"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(24,347</w:t>
            </w:r>
          </w:p>
        </w:tc>
        <w:tc>
          <w:tcPr>
            <w:tcW w:w="14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0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w:t>
            </w:r>
          </w:p>
        </w:tc>
        <w:tc>
          <w:tcPr>
            <w:tcW w:w="146"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07" w:type="dxa"/>
            <w:tcBorders/>
            <w:shd w:fill="CCECFF" w:val="cle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244"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411" w:type="dxa"/>
            <w:tcBorders/>
            <w:shd w:fill="CCECFF" w:val="clear"/>
            <w:vAlign w:val="center"/>
          </w:tcPr>
          <w:p>
            <w:pPr>
              <w:pStyle w:val="TableContents"/>
              <w:bidi w:val="0"/>
              <w:spacing w:before="0" w:after="283"/>
              <w:jc w:val="left"/>
              <w:rPr/>
            </w:pPr>
            <w:r>
              <w:rPr/>
              <w:t> </w:t>
            </w:r>
          </w:p>
        </w:tc>
      </w:tr>
      <w:tr>
        <w:trPr/>
        <w:tc>
          <w:tcPr>
            <w:tcW w:w="59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38,775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54,775</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end of period</w:t>
            </w:r>
          </w:p>
        </w:tc>
        <w:tc>
          <w:tcPr>
            <w:tcW w:w="146" w:type="dxa"/>
            <w:tcBorders/>
            <w:shd w:fill="CCECFF" w:val="clear"/>
            <w:vAlign w:val="center"/>
          </w:tcPr>
          <w:p>
            <w:pPr>
              <w:pStyle w:val="TableContents"/>
              <w:bidi w:val="0"/>
              <w:spacing w:before="0" w:after="283"/>
              <w:jc w:val="left"/>
              <w:rPr/>
            </w:pPr>
            <w:r>
              <w:rPr/>
              <w:t> </w:t>
            </w:r>
          </w:p>
        </w:tc>
        <w:tc>
          <w:tcPr>
            <w:tcW w:w="2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36,893</w:t>
            </w:r>
          </w:p>
        </w:tc>
        <w:tc>
          <w:tcPr>
            <w:tcW w:w="2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2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30,708</w:t>
            </w:r>
          </w:p>
        </w:tc>
        <w:tc>
          <w:tcPr>
            <w:tcW w:w="1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181" w:type="dxa"/>
            <w:gridSpan w:val="2"/>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ind w:left="0" w:right="0" w:firstLine="200"/>
              <w:jc w:val="left"/>
              <w:rPr/>
            </w:pPr>
            <w:r>
              <w:rPr/>
              <w:t> </w:t>
            </w:r>
          </w:p>
        </w:tc>
      </w:tr>
      <w:tr>
        <w:trPr/>
        <w:tc>
          <w:tcPr>
            <w:tcW w:w="590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CCECFF" w:val="clear"/>
            <w:vAlign w:val="center"/>
          </w:tcPr>
          <w:p>
            <w:pPr>
              <w:pStyle w:val="TableContents"/>
              <w:bidi w:val="0"/>
              <w:spacing w:before="0" w:after="283"/>
              <w:jc w:val="left"/>
              <w:rPr/>
            </w:pPr>
            <w:r>
              <w:rPr/>
              <w:t> </w:t>
            </w:r>
          </w:p>
        </w:tc>
        <w:tc>
          <w:tcPr>
            <w:tcW w:w="2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12,224</w:t>
            </w:r>
          </w:p>
        </w:tc>
        <w:tc>
          <w:tcPr>
            <w:tcW w:w="2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CECFF" w:val="clear"/>
            <w:vAlign w:val="center"/>
          </w:tcPr>
          <w:p>
            <w:pPr>
              <w:pStyle w:val="TableContents"/>
              <w:bidi w:val="0"/>
              <w:spacing w:before="0" w:after="283"/>
              <w:jc w:val="left"/>
              <w:rPr/>
            </w:pPr>
            <w:r>
              <w:rPr/>
              <w:t> </w:t>
            </w:r>
          </w:p>
        </w:tc>
        <w:tc>
          <w:tcPr>
            <w:tcW w:w="2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12,248</w:t>
            </w:r>
          </w:p>
        </w:tc>
        <w:tc>
          <w:tcPr>
            <w:tcW w:w="1411"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Taxes paid</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bookmarkStart w:id="9" w:name="consolidated_schedule_investments"/>
      <w:bookmarkEnd w:id="9"/>
      <w:r>
        <w:rPr>
          <w:rFonts w:ascii="Times New Roman" w:hAnsi="Times New Roman"/>
          <w:b/>
          <w:color w:val="000000"/>
          <w:sz w:val="16"/>
        </w:rPr>
        <w:t>CONSOLIDATED SCHEDULE OF INVESTMENTS (Unaudited)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31"/>
        <w:gridCol w:w="146"/>
        <w:gridCol w:w="923"/>
        <w:gridCol w:w="146"/>
        <w:gridCol w:w="1624"/>
        <w:gridCol w:w="146"/>
        <w:gridCol w:w="151"/>
        <w:gridCol w:w="390"/>
        <w:gridCol w:w="211"/>
        <w:gridCol w:w="146"/>
        <w:gridCol w:w="192"/>
        <w:gridCol w:w="456"/>
        <w:gridCol w:w="146"/>
        <w:gridCol w:w="146"/>
        <w:gridCol w:w="146"/>
        <w:gridCol w:w="436"/>
        <w:gridCol w:w="146"/>
        <w:gridCol w:w="146"/>
        <w:gridCol w:w="166"/>
        <w:gridCol w:w="436"/>
        <w:gridCol w:w="146"/>
        <w:gridCol w:w="146"/>
        <w:gridCol w:w="188"/>
        <w:gridCol w:w="495"/>
        <w:gridCol w:w="200"/>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Non-Affiliated Portfolio Companies—176.2% of Net Assets </w:t>
            </w:r>
            <w:r>
              <w:rPr>
                <w:rFonts w:ascii="Times New Roman" w:hAnsi="Times New Roman"/>
                <w:b/>
                <w:color w:val="000000"/>
                <w:sz w:val="8"/>
              </w:rPr>
              <w:t>(1), (2)</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83" w:type="dxa"/>
            <w:gridSpan w:val="2"/>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righ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Debt—113.2% of Net Assets</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5,106</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 - Unfunded Term Loan</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12/21/2024</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A1 Garage Merger Sub,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ACP Avenu Buyer, LLC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6,338</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ACP Avenu Buyer, LLC - Unfunded Term Loan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ACP Avenu Buyer,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ACP Falcon Buyer,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08/01/2029</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 - Revolver</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Acquisition,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Aeronix, Inc.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12/12/2028</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19,700</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Aeronix,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12/12/2028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AFC Dell Holding Corp.</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04/09/2027</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2,263</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AFC Dell Holding Corp. - Unfunded Term Loan</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04/09/2027</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LLC (f/k/a MeritDirect,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2,985</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Any Hour Services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797</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 - Revolver</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Applied Technical Services,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Arcfield Acquisition Corp.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08/04/2028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Berwick Industrial Park</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05/02/2024</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Buildings and Real Estate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3,956</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07/01/2029</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4,740</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 - Revolver</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01/31/2028</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BioDerm,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5,627</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Blackhawk Industrial Distribution, Inc.</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 - Revolver</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1,017</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Blackhawk Industrial Distribution,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BlueHalo Financing Holdings, LLC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12/04/2025</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9,773</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Carisk Buyer, Inc.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Carisk Buyer, Inc. - Unfunded Term Loan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Carisk Buyer,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33,970</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 - Revolver</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08/20/2026</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6,444</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CF512,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08/20/2026</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Compex Legal Services, Inc.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02/09/2026</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Compex Legal Services, Inc. - Revolver</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02/07/2025</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Compex Legal Services,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02/07/2025</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Confluent Health, LLC</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1,985</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Connatix Buyer,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07/13/2027</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 - Revolver</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SOFR+501</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Crane 1 Services,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08/31/2027</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6,189</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Dr. Squatch,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08/27/2026</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Dr. Squatch,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08/31/2027</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11/03/2025</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DRS Holdings III,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11/03/2025</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6,141</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 - Unfunded Term Loan</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EDS Buyer,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ETE Intermediate II,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05/25/2029</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03/15/2027</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23,948</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Exigo Intermediate II,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03/15/2027</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w:t>
            </w:r>
          </w:p>
        </w:tc>
        <w:tc>
          <w:tcPr>
            <w:tcW w:w="200" w:type="dxa"/>
            <w:tcBorders/>
            <w:shd w:fill="FFFFFF" w:val="clear"/>
            <w:vAlign w:val="center"/>
          </w:tcPr>
          <w:p>
            <w:pPr>
              <w:pStyle w:val="TableContents"/>
              <w:bidi w:val="0"/>
              <w:spacing w:before="0" w:after="283"/>
              <w:jc w:val="left"/>
              <w:rPr/>
            </w:pPr>
            <w:r>
              <w:rPr/>
              <w:t> </w:t>
            </w:r>
          </w:p>
        </w:tc>
      </w:tr>
      <w:tr>
        <w:trPr/>
        <w:tc>
          <w:tcPr>
            <w:tcW w:w="273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Five Star Buyer, Inc. - Unfunded Term Loan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Five Star Buyer,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ETE Blocker, LLC - Promissory Note</w:t>
            </w:r>
          </w:p>
        </w:tc>
        <w:tc>
          <w:tcPr>
            <w:tcW w:w="146" w:type="dxa"/>
            <w:tcBorders/>
            <w:shd w:fill="CCECFF" w:val="clear"/>
            <w:vAlign w:val="center"/>
          </w:tcPr>
          <w:p>
            <w:pPr>
              <w:pStyle w:val="TableContents"/>
              <w:bidi w:val="0"/>
              <w:spacing w:before="0" w:after="283"/>
              <w:jc w:val="left"/>
              <w:rPr/>
            </w:pPr>
            <w:r>
              <w:rPr/>
              <w:t> </w:t>
            </w:r>
          </w:p>
        </w:tc>
        <w:tc>
          <w:tcPr>
            <w:tcW w:w="92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05/19/2029</w:t>
            </w:r>
          </w:p>
        </w:tc>
        <w:tc>
          <w:tcPr>
            <w:tcW w:w="146" w:type="dxa"/>
            <w:tcBorders/>
            <w:shd w:fill="CCECFF" w:val="clear"/>
            <w:vAlign w:val="center"/>
          </w:tcPr>
          <w:p>
            <w:pPr>
              <w:pStyle w:val="TableContents"/>
              <w:bidi w:val="0"/>
              <w:spacing w:before="0" w:after="283"/>
              <w:jc w:val="left"/>
              <w:rPr/>
            </w:pPr>
            <w:r>
              <w:rPr/>
              <w:t> </w:t>
            </w:r>
          </w:p>
        </w:tc>
        <w:tc>
          <w:tcPr>
            <w:tcW w:w="162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200" w:type="dxa"/>
            <w:tcBorders/>
            <w:shd w:fill="CCEC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(Unaudited)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75"/>
        <w:gridCol w:w="146"/>
        <w:gridCol w:w="937"/>
        <w:gridCol w:w="146"/>
        <w:gridCol w:w="1840"/>
        <w:gridCol w:w="146"/>
        <w:gridCol w:w="175"/>
        <w:gridCol w:w="453"/>
        <w:gridCol w:w="211"/>
        <w:gridCol w:w="146"/>
        <w:gridCol w:w="200"/>
        <w:gridCol w:w="478"/>
        <w:gridCol w:w="146"/>
        <w:gridCol w:w="146"/>
        <w:gridCol w:w="146"/>
        <w:gridCol w:w="538"/>
        <w:gridCol w:w="146"/>
        <w:gridCol w:w="146"/>
        <w:gridCol w:w="166"/>
        <w:gridCol w:w="436"/>
        <w:gridCol w:w="146"/>
        <w:gridCol w:w="146"/>
        <w:gridCol w:w="190"/>
        <w:gridCol w:w="499"/>
        <w:gridCol w:w="201"/>
      </w:tblGrid>
      <w:tr>
        <w:trPr/>
        <w:tc>
          <w:tcPr>
            <w:tcW w:w="2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881</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 - Revolver</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Graffiti Buyer,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Roofing and Construction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11/23/2028</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10,555</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Holdco Sands Intermediate,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HV Watterson Holdings,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 - Revolver</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HV Watterson Holdings,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11,069</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 - Revolver</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HW Holdco,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IG Investments Holdings,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09/22/2027</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Imagine Acquisitionco,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Imagine Acquisitionco,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12/07/2024</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21,249</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2,084</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Infinity Home Services Holdco, Inc. </w:t>
            </w:r>
            <w:r>
              <w:rPr>
                <w:rFonts w:ascii="Times New Roman" w:hAnsi="Times New Roman"/>
                <w:color w:val="000000"/>
                <w:sz w:val="8"/>
              </w:rPr>
              <w:t>(10)</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CAD 2,223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1,656</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 - Unfunded Term Loan</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02/15/2024</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Infinity Home Services Holdco, Inc. - 1st Amendment Unfunded Term Loan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11/17/2025</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Infinity Home Services Holdco,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Infolinks Media Buyco,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11/01/2026</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1,416</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9,840</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 - Unfunded Term Loan</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08/31/2025</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Integrity Marketing Acquisition,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08/31/2025</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Inventus Power,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8,551</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 - Revolver</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ITI Holdings,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01/31/2024</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SOFR+1010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8,859</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K2 Pure Solutions NoCal, L.P.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01/31/2024</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11/10/2027</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9,104</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Kinetic Purchaser,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02/18/2027</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2,785</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 - Revolver</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1,967</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Lash OpCo,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08/16/2026</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5.50%)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89"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Ledge Lounger, Inc.</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8,971</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Ledge Lounger, Inc. - Revolver</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1,435</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Ledge Lounger,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02/03/2026</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2,182</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Lightspeed Buyer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02/01/2030</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 - Unfunded Term Loan</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07/31/2024</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LJ Avalon Holdings,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01/31/2030</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LSF9 Atlantis Holdings, LLC</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03/31/2029</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5,404</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4,925</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 - Revolver</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Loving Tan Intermediate II,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05/14/2026</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1,831</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Mars Acquisition Holdings Corp.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05/14/2026</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 - Revolver</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04/16/2027</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MBS Holdings,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04/16/2027</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19,585</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 - Revolver</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767</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MDI Buyer,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1,879</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 Term Loan II</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Acquirer,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Medina Health, LLC</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10/20/2028</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19,550</w:t>
            </w:r>
          </w:p>
        </w:tc>
        <w:tc>
          <w:tcPr>
            <w:tcW w:w="201" w:type="dxa"/>
            <w:tcBorders/>
            <w:shd w:fill="CCECFF" w:val="clear"/>
            <w:vAlign w:val="center"/>
          </w:tcPr>
          <w:p>
            <w:pPr>
              <w:pStyle w:val="TableContents"/>
              <w:bidi w:val="0"/>
              <w:spacing w:before="0" w:after="283"/>
              <w:jc w:val="left"/>
              <w:rPr/>
            </w:pPr>
            <w:r>
              <w:rPr/>
              <w:t> </w:t>
            </w:r>
          </w:p>
        </w:tc>
      </w:tr>
      <w:tr>
        <w:trPr/>
        <w:tc>
          <w:tcPr>
            <w:tcW w:w="22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Medina Health, LLC - Revolver</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10/20/2028</w:t>
            </w:r>
          </w:p>
        </w:tc>
        <w:tc>
          <w:tcPr>
            <w:tcW w:w="146"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408</w:t>
            </w:r>
          </w:p>
        </w:tc>
        <w:tc>
          <w:tcPr>
            <w:tcW w:w="201" w:type="dxa"/>
            <w:tcBorders/>
            <w:shd w:fill="FFFFFF" w:val="clear"/>
            <w:vAlign w:val="center"/>
          </w:tcPr>
          <w:p>
            <w:pPr>
              <w:pStyle w:val="TableContents"/>
              <w:bidi w:val="0"/>
              <w:spacing w:before="0" w:after="283"/>
              <w:jc w:val="left"/>
              <w:rPr/>
            </w:pPr>
            <w:r>
              <w:rPr/>
              <w:t> </w:t>
            </w:r>
          </w:p>
        </w:tc>
      </w:tr>
      <w:tr>
        <w:trPr/>
        <w:tc>
          <w:tcPr>
            <w:tcW w:w="227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Medina Health,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10/20/2028</w:t>
            </w:r>
          </w:p>
        </w:tc>
        <w:tc>
          <w:tcPr>
            <w:tcW w:w="146" w:type="dxa"/>
            <w:tcBorders/>
            <w:shd w:fill="CCECFF" w:val="clear"/>
            <w:vAlign w:val="center"/>
          </w:tcPr>
          <w:p>
            <w:pPr>
              <w:pStyle w:val="TableContents"/>
              <w:bidi w:val="0"/>
              <w:spacing w:before="0" w:after="283"/>
              <w:jc w:val="left"/>
              <w:rPr/>
            </w:pPr>
            <w:r>
              <w:rPr/>
              <w:t> </w:t>
            </w:r>
          </w:p>
        </w:tc>
        <w:tc>
          <w:tcPr>
            <w:tcW w:w="184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5" w:type="dxa"/>
            <w:tcBorders/>
            <w:shd w:fill="CCECFF" w:val="clear"/>
            <w:vAlign w:val="center"/>
          </w:tcPr>
          <w:p>
            <w:pPr>
              <w:pStyle w:val="TableContents"/>
              <w:bidi w:val="0"/>
              <w:spacing w:before="0" w:after="283"/>
              <w:jc w:val="left"/>
              <w:rPr/>
            </w:pPr>
            <w:r>
              <w:rPr/>
              <w:t> </w:t>
            </w:r>
          </w:p>
        </w:tc>
        <w:tc>
          <w:tcPr>
            <w:tcW w:w="453"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3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0" w:type="dxa"/>
            <w:tcBorders/>
            <w:shd w:fill="CCECFF" w:val="clear"/>
            <w:vAlign w:val="center"/>
          </w:tcPr>
          <w:p>
            <w:pPr>
              <w:pStyle w:val="TableContents"/>
              <w:bidi w:val="0"/>
              <w:spacing w:before="0" w:after="283"/>
              <w:jc w:val="left"/>
              <w:rPr/>
            </w:pPr>
            <w:r>
              <w:rPr/>
              <w:t> </w:t>
            </w:r>
          </w:p>
        </w:tc>
        <w:tc>
          <w:tcPr>
            <w:tcW w:w="4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(Unaudited)—(Continued)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2"/>
        <w:gridCol w:w="146"/>
        <w:gridCol w:w="1036"/>
        <w:gridCol w:w="146"/>
        <w:gridCol w:w="1651"/>
        <w:gridCol w:w="146"/>
        <w:gridCol w:w="174"/>
        <w:gridCol w:w="452"/>
        <w:gridCol w:w="211"/>
        <w:gridCol w:w="146"/>
        <w:gridCol w:w="215"/>
        <w:gridCol w:w="513"/>
        <w:gridCol w:w="146"/>
        <w:gridCol w:w="146"/>
        <w:gridCol w:w="146"/>
        <w:gridCol w:w="436"/>
        <w:gridCol w:w="146"/>
        <w:gridCol w:w="146"/>
        <w:gridCol w:w="166"/>
        <w:gridCol w:w="436"/>
        <w:gridCol w:w="146"/>
        <w:gridCol w:w="146"/>
        <w:gridCol w:w="200"/>
        <w:gridCol w:w="526"/>
        <w:gridCol w:w="201"/>
      </w:tblGrid>
      <w:tr>
        <w:trPr/>
        <w:tc>
          <w:tcPr>
            <w:tcW w:w="2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09/28/2027</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 - Unfunded Term Loan A</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12/16/2024</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 - Unfunded Term Loan B</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12/16/2024</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Municipal Emergency Services,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09/28/2027</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NBH Group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08/19/2026</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Neptune Flood Incorporated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05/09/2029</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Acquisition, LLC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08/31/2029</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5,404</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NORA Acquisition,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08/31/2029</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Omnia Exterior Solutions, LLC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12/29/2029</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Conglomerate Service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3,448</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Omnia Exterior Solutions, LLC - Unfunded Term Loan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03/28/2024</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Conglomerate Service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Omnia Exterior Solutions, LLC - Unfunded Term Loan 2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12/29/2025</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Conglomerate Service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Omnia Exterior Solutions,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12/29/2029</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Diversified Conglomerate Service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Acquisition, Inc.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09/03/2027</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3,738</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Acquisition,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09/03/2027</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OSP Embedded Purchaser, LLC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12/15/2029</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6,386</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OSP Embedded Purchaser,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12/15/2029</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05/18/2026</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 Materials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SOFR+751</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13,408</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Ox Two,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05/18/2026</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 Materials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Pacific Purchaser, LLC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09/30/2028</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12,805</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Pacific Purchaser, LLC - Unfunded Term Loan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09/30/2028</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Pacific Purchaser,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09/30/2028</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 - Unfunded Term Loan</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12/02/2026</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Pequod Merger Sub,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12/02/2026</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PL Acquisitionco,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11/09/2027</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32,630</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 Unfunded Term Loan</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 - Revolver</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4,483</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 - Revolver</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Questex, LLC</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09/09/2024</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20,193</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Questex,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09/09/2024</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 - Revolver</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Radius Aerospace,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03/31/2025</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Rancho Health MSO,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 - Unfunded Term Loan</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 - Revolver</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Rancho Health MSO,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02/28/2028</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5,672</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Recteq,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01/29/2026</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Inc. and Dynata, LLC</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Riverpoint Medical, LLC - Revolver</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Riverpoint Medical,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Riverside Assessments, LLC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03/10/2025</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SOFR+590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11,524</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 Unfunded Term Loan</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06/15/2029</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Rural Sourcing Holdings,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06/15/2029</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S101 Holdings, Inc. - Unfunded Term Loan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06/15/2024</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S101 Holdings, Inc. - Unfunded Term Loan 2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12/15/2024</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Sales Benchmark Index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01/03/2025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 - Revolver</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Sargent &amp; Greenleaf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4,485</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 - Revolver</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2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0.5%)</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6" w:type="dxa"/>
            <w:gridSpan w:val="2"/>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righ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Schlesinger Global, Inc.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 - Revolver</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06/13/2029</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4,574</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06/13/2029</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Seaway Buyer,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06/13/2029</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Shiftkey, LLC</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06/21/2027</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17,234</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12/18/2027</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25,877</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 - Revolver</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12/18/2027</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1,768</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Sigma Defense Systems,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12/18/2027</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Signature Systems Holding Company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05/03/2024</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Solutionreach,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07/17/2025</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Communications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5" w:type="dxa"/>
            <w:tcBorders/>
            <w:shd w:fill="CCECFF" w:val="clear"/>
            <w:vAlign w:val="center"/>
          </w:tcPr>
          <w:p>
            <w:pPr>
              <w:pStyle w:val="TableContents"/>
              <w:bidi w:val="0"/>
              <w:spacing w:before="0" w:after="283"/>
              <w:jc w:val="left"/>
              <w:rPr/>
            </w:pPr>
            <w:r>
              <w:rPr/>
              <w:t> </w:t>
            </w:r>
          </w:p>
        </w:tc>
        <w:tc>
          <w:tcPr>
            <w:tcW w:w="51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w:t>
            </w:r>
          </w:p>
        </w:tc>
        <w:tc>
          <w:tcPr>
            <w:tcW w:w="201" w:type="dxa"/>
            <w:tcBorders/>
            <w:shd w:fill="FFFFFF" w:val="clear"/>
            <w:vAlign w:val="center"/>
          </w:tcPr>
          <w:p>
            <w:pPr>
              <w:pStyle w:val="TableContents"/>
              <w:bidi w:val="0"/>
              <w:spacing w:before="0" w:after="283"/>
              <w:jc w:val="left"/>
              <w:rPr/>
            </w:pPr>
            <w:r>
              <w:rPr/>
              <w:t> </w:t>
            </w:r>
          </w:p>
        </w:tc>
      </w:tr>
      <w:tr>
        <w:trPr/>
        <w:tc>
          <w:tcPr>
            <w:tcW w:w="23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 - Revolver</w:t>
            </w:r>
          </w:p>
        </w:tc>
        <w:tc>
          <w:tcPr>
            <w:tcW w:w="146" w:type="dxa"/>
            <w:tcBorders/>
            <w:shd w:fill="CCECFF" w:val="clear"/>
            <w:vAlign w:val="center"/>
          </w:tcPr>
          <w:p>
            <w:pPr>
              <w:pStyle w:val="TableContents"/>
              <w:bidi w:val="0"/>
              <w:spacing w:before="0" w:after="283"/>
              <w:jc w:val="left"/>
              <w:rPr/>
            </w:pPr>
            <w:r>
              <w:rPr/>
              <w:t> </w:t>
            </w:r>
          </w:p>
        </w:tc>
        <w:tc>
          <w:tcPr>
            <w:tcW w:w="103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CECFF" w:val="clear"/>
            <w:vAlign w:val="center"/>
          </w:tcPr>
          <w:p>
            <w:pPr>
              <w:pStyle w:val="TableContents"/>
              <w:bidi w:val="0"/>
              <w:spacing w:before="0" w:after="283"/>
              <w:jc w:val="left"/>
              <w:rPr/>
            </w:pPr>
            <w:r>
              <w:rPr/>
              <w:t> </w:t>
            </w:r>
          </w:p>
        </w:tc>
        <w:tc>
          <w:tcPr>
            <w:tcW w:w="165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8"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554</w:t>
            </w:r>
          </w:p>
        </w:tc>
        <w:tc>
          <w:tcPr>
            <w:tcW w:w="201" w:type="dxa"/>
            <w:tcBorders/>
            <w:shd w:fill="CCECFF" w:val="clear"/>
            <w:vAlign w:val="center"/>
          </w:tcPr>
          <w:p>
            <w:pPr>
              <w:pStyle w:val="TableContents"/>
              <w:bidi w:val="0"/>
              <w:spacing w:before="0" w:after="283"/>
              <w:jc w:val="left"/>
              <w:rPr/>
            </w:pPr>
            <w:r>
              <w:rPr/>
              <w:t> </w:t>
            </w:r>
          </w:p>
        </w:tc>
      </w:tr>
      <w:tr>
        <w:trPr/>
        <w:tc>
          <w:tcPr>
            <w:tcW w:w="238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Spendmend Holdings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2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
        </w:rPr>
      </w:pPr>
      <w:r>
        <w:rPr>
          <w:rFonts w:ascii="Times New Roman" w:hAnsi="Times New Roman"/>
          <w:b/>
          <w:color w:val="000000"/>
          <w:sz w:val="2"/>
        </w:rPr>
        <w:t>Cas</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(Unaudited)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39"/>
        <w:gridCol w:w="146"/>
        <w:gridCol w:w="275"/>
        <w:gridCol w:w="656"/>
        <w:gridCol w:w="146"/>
        <w:gridCol w:w="146"/>
        <w:gridCol w:w="1613"/>
        <w:gridCol w:w="146"/>
        <w:gridCol w:w="151"/>
        <w:gridCol w:w="390"/>
        <w:gridCol w:w="211"/>
        <w:gridCol w:w="146"/>
        <w:gridCol w:w="199"/>
        <w:gridCol w:w="475"/>
        <w:gridCol w:w="146"/>
        <w:gridCol w:w="146"/>
        <w:gridCol w:w="146"/>
        <w:gridCol w:w="586"/>
        <w:gridCol w:w="146"/>
        <w:gridCol w:w="146"/>
        <w:gridCol w:w="166"/>
        <w:gridCol w:w="496"/>
        <w:gridCol w:w="146"/>
        <w:gridCol w:w="146"/>
        <w:gridCol w:w="180"/>
        <w:gridCol w:w="540"/>
        <w:gridCol w:w="276"/>
      </w:tblGrid>
      <w:tr>
        <w:trPr/>
        <w:tc>
          <w:tcPr>
            <w:tcW w:w="2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Spendmend Holdings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System Planning and Analysis, Inc. - Revolver </w:t>
            </w:r>
            <w:r>
              <w:rPr>
                <w:rFonts w:ascii="Times New Roman" w:hAnsi="Times New Roman"/>
                <w:color w:val="000000"/>
                <w:sz w:val="8"/>
              </w:rPr>
              <w:t>(7)</w:t>
            </w:r>
            <w:r>
              <w:rPr>
                <w:rFonts w:ascii="Times New Roman" w:hAnsi="Times New Roman"/>
                <w:color w:val="000000"/>
                <w:sz w:val="12"/>
              </w:rPr>
              <w:t> </w:t>
              <w:br/>
              <w:t>(f/k/a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07/27/2026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2,521</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Bluebird Group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Plimpton &amp; Hills Corporation</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11/08/2029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14,184</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Plimpton &amp; Hills Corporation - Unfunded Term Loan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11/07/2025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 - Revolver</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Vertex Companies,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TransGo, LLC</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Machinery</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24,625</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TransGo,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Machinery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TWS Acquisition Corporation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 (New Issue) - Revolver</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Tyto Athene,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4,102</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 - Unfunded Term Loan</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02/01/2024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Watchtower Intermediate, LLC</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18,865</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Watchtower Intermediate, LLC. - Unfunded Term Loan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Watchtower Intermediate, LLC. - Revolver</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Watchtower Intermediate,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4,551</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Wildcat Buyerco, Inc. - Unfunded Term Loan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2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Wildcat Buyerco, Inc.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27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571,058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565,170</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Debt—15.7% of Net Assets</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Ascensus Holdings, Inc.</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08/02/2028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2,876</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Atlas Purchaser, Inc</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SOFR+900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11,509</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Best Practice Associates LLC</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06/29/2027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SOFR+915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17,469</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Purchaser Corporation</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07/28/2030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SOFR+910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7,920</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ENC Parent Corporation</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6,900</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Halo Buyer, Inc.</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SOFR+835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31,606</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QuantiTech LLC</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SOFR+1010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78,430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Debt/Corporate Notes—9.8% of Net Assets</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0"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Express Wash Acquisition Company, LLC</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01/15/2029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SOFR+976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21,552</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Flock Financial, LLC</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05/26/2027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33,385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27,200</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Debt/Corporate Notes</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Preferred Equity/Partnership Interests—3.1% of Net Assets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0"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Holdings, Inc.</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AH Newco Equityholdings, LLC</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994</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Holdings, LP (f/k/a MeritDirect Holdings,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5,287</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Lash Coinvest, LLC - Preferred Equity</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Schlesinger Coinvest, LLC - Class A-2 Preferred Equity</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Topco, LP Preferred</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743,826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Mars Intermediate Holdings II, Inc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568</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Magnolia Topco LP - Class A Preferred Equity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1,598</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Magnolia Topco LP - Class B Preferred Equity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NXOF Holdings, Inc. (Tyto Athene, LLC)</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Holdco, Inc.</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 - Preferred Equity</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CR Intermediate Holdco, Inc.</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2,564</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Holding Company, LP (8),(11)</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TWD Parent Holdings, LLC Preferred</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w:t>
            </w:r>
          </w:p>
        </w:tc>
        <w:tc>
          <w:tcPr>
            <w:tcW w:w="276" w:type="dxa"/>
            <w:tcBorders/>
            <w:shd w:fill="CCECFF" w:val="clear"/>
            <w:vAlign w:val="center"/>
          </w:tcPr>
          <w:p>
            <w:pPr>
              <w:pStyle w:val="TableContents"/>
              <w:bidi w:val="0"/>
              <w:spacing w:before="0" w:after="283"/>
              <w:ind w:left="0" w:right="0" w:firstLine="80"/>
              <w:jc w:val="left"/>
              <w:rPr/>
            </w:pPr>
            <w:r>
              <w:rPr/>
              <w:t> </w:t>
            </w:r>
          </w:p>
        </w:tc>
      </w:tr>
      <w:tr>
        <w:trPr/>
        <w:tc>
          <w:tcPr>
            <w:tcW w:w="2239"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Equity/Partnership Interests</w:t>
            </w:r>
          </w:p>
        </w:tc>
        <w:tc>
          <w:tcPr>
            <w:tcW w:w="146" w:type="dxa"/>
            <w:tcBorders/>
            <w:shd w:fill="CCECFF" w:val="clear"/>
            <w:vAlign w:val="center"/>
          </w:tcPr>
          <w:p>
            <w:pPr>
              <w:pStyle w:val="TableContents"/>
              <w:bidi w:val="0"/>
              <w:spacing w:before="0" w:after="283"/>
              <w:jc w:val="left"/>
              <w:rPr/>
            </w:pPr>
            <w:r>
              <w:rPr/>
              <w:t> </w:t>
            </w:r>
          </w:p>
        </w:tc>
        <w:tc>
          <w:tcPr>
            <w:tcW w:w="93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4"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15,427</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Equity/Partnership Interests/Warrants—24.4% of Net Assets </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A1 Garage Equity,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2,193,038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2,430</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Holdings, Inc.</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AFC Acquisitions, Inc.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749,163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Affinion Group Holdings, Inc. (Warrants)</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Aftermarket Drivetrain Products Holdings, LLC</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Machinery</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w:t>
            </w:r>
          </w:p>
        </w:tc>
        <w:tc>
          <w:tcPr>
            <w:tcW w:w="276" w:type="dxa"/>
            <w:tcBorders/>
            <w:shd w:fill="CCECFF"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AG Investco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76" w:type="dxa"/>
            <w:tcBorders/>
            <w:shd w:fill="FFFFFF" w:val="clear"/>
            <w:vAlign w:val="center"/>
          </w:tcPr>
          <w:p>
            <w:pPr>
              <w:pStyle w:val="TableContents"/>
              <w:bidi w:val="0"/>
              <w:spacing w:before="0" w:after="283"/>
              <w:jc w:val="left"/>
              <w:rPr/>
            </w:pPr>
            <w:r>
              <w:rPr/>
              <w:t> </w:t>
            </w:r>
          </w:p>
        </w:tc>
      </w:tr>
      <w:tr>
        <w:trPr/>
        <w:tc>
          <w:tcPr>
            <w:tcW w:w="223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AG Investco LP </w:t>
            </w:r>
            <w:r>
              <w:rPr>
                <w:rFonts w:ascii="Times New Roman" w:hAnsi="Times New Roman"/>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275" w:type="dxa"/>
            <w:tcBorders/>
            <w:shd w:fill="CCECFF" w:val="clear"/>
            <w:vAlign w:val="center"/>
          </w:tcPr>
          <w:p>
            <w:pPr>
              <w:pStyle w:val="TableContents"/>
              <w:bidi w:val="0"/>
              <w:spacing w:before="0" w:after="283"/>
              <w:jc w:val="left"/>
              <w:rPr/>
            </w:pPr>
            <w:r>
              <w:rPr/>
              <w:t> </w:t>
            </w:r>
          </w:p>
        </w:tc>
        <w:tc>
          <w:tcPr>
            <w:tcW w:w="6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1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c>
          <w:tcPr>
            <w:tcW w:w="47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194,836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0" w:type="dxa"/>
            <w:tcBorders/>
            <w:shd w:fill="CCECFF" w:val="clear"/>
            <w:vAlign w:val="center"/>
          </w:tcPr>
          <w:p>
            <w:pPr>
              <w:pStyle w:val="TableContents"/>
              <w:bidi w:val="0"/>
              <w:spacing w:before="0" w:after="283"/>
              <w:jc w:val="left"/>
              <w:rPr/>
            </w:pPr>
            <w:r>
              <w:rPr/>
              <w:t> </w:t>
            </w:r>
          </w:p>
        </w:tc>
        <w:tc>
          <w:tcPr>
            <w:tcW w:w="540"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spacing w:before="0" w:after="200"/>
        <w:jc w:val="left"/>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(Unaudited)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92"/>
        <w:gridCol w:w="146"/>
        <w:gridCol w:w="284"/>
        <w:gridCol w:w="677"/>
        <w:gridCol w:w="146"/>
        <w:gridCol w:w="146"/>
        <w:gridCol w:w="1917"/>
        <w:gridCol w:w="146"/>
        <w:gridCol w:w="160"/>
        <w:gridCol w:w="381"/>
        <w:gridCol w:w="146"/>
        <w:gridCol w:w="146"/>
        <w:gridCol w:w="200"/>
        <w:gridCol w:w="476"/>
        <w:gridCol w:w="146"/>
        <w:gridCol w:w="146"/>
        <w:gridCol w:w="146"/>
        <w:gridCol w:w="646"/>
        <w:gridCol w:w="146"/>
        <w:gridCol w:w="146"/>
        <w:gridCol w:w="166"/>
        <w:gridCol w:w="436"/>
        <w:gridCol w:w="146"/>
        <w:gridCol w:w="146"/>
        <w:gridCol w:w="192"/>
        <w:gridCol w:w="506"/>
        <w:gridCol w:w="274"/>
      </w:tblGrid>
      <w:tr>
        <w:trPr/>
        <w:tc>
          <w:tcPr>
            <w:tcW w:w="1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Altamira Intermediate Company II, Inc.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AMCSI Crash Co-Invest, LP</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2,489,777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3,318</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AMCSI Crash Co-Invest, LP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510,223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Holdings, LP (f/k/a MeritDirect Holdings,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Athletico Holdings,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9,676</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Atlas Investment Aggregator, LLC</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1,448</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Holdings, LP</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650</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Carisk Parent, L.P. - Common Equity</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169,231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Parent, LLC</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Consello Pacific Aggregator,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782,891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799</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Cowboy Parent LLC</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5,410</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1992"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96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9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Acquisition Parent Holdings, L.P.</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Delta InvestCo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863,299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1,350</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1992"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(Sigma Defense Systems,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Delta InvestCo LP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1992"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(Sigma Defense Systems, LLC)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eCommission Holding Corporation (11)</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2,144</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Topco, LP</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971</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LLC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1,458,333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1,681</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1,596</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LP </w:t>
            </w:r>
            <w:r>
              <w:rPr>
                <w:rFonts w:ascii="Times New Roman" w:hAnsi="Times New Roman"/>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II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2,392</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Parent Holdings, LLC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655,714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ETE Blocker, LLC - Common Equity</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Lash Coinvest LLC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889,376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4,311</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Loving Tan, LP - Common Equity</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462,827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Schlesinger Coinvest, LLC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1992"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(TVC Enterprises, LLC)</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GCOM InvestCo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GMP Hills, LP - Common Equity</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3,747,470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3,747</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Go Dawgs Capital III,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 Materials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675,325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1,621</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1992"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(American Insulated Glass,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Claims Consultants Investors,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HPA SPQ Aggregator LP- Common Equity</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1,635</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Icon Partners V C, L.P.</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1,060</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Icon Partners V C, L.P.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377,451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27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IHS Parent Holdngs, L.P.</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1,759</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Topco,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743,826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Infogroup Parent Holdings, Inc.</w:t>
            </w:r>
          </w:p>
        </w:tc>
        <w:tc>
          <w:tcPr>
            <w:tcW w:w="14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Other 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2,297</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1992"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(Data Axle, Inc.)</w:t>
            </w:r>
          </w:p>
        </w:tc>
        <w:tc>
          <w:tcPr>
            <w:tcW w:w="146" w:type="dxa"/>
            <w:tcBorders/>
            <w:shd w:fill="CCECFF" w:val="clear"/>
            <w:vAlign w:val="center"/>
          </w:tcPr>
          <w:p>
            <w:pPr>
              <w:pStyle w:val="TableContents"/>
              <w:bidi w:val="0"/>
              <w:spacing w:before="0" w:after="283"/>
              <w:jc w:val="left"/>
              <w:rPr/>
            </w:pPr>
            <w:r>
              <w:rPr/>
              <w:t> </w:t>
            </w:r>
          </w:p>
        </w:tc>
        <w:tc>
          <w:tcPr>
            <w:tcW w:w="96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9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Ironclad Holdco, LLC</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654</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(Applied Technical Services,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6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9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ITC Infusion Co-invest, LP</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1,927</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ITC Rumba, LLC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1992"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(Cano Health,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Kentucky Racing Holdco, LLC (Warrants)</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Motels, Inns and Gaming</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161,252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1,735</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1,308,814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1,641</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KL Stockton Co-Invest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382,353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1992"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(Any Hour Services)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Lariat ecoserv Co-Invest Holdings,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363,656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LEP Pequod Holdings, LP</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Investment Holdco LLC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273,143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721</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LP</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851,087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868</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Lorient Peregrine Investments,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335,590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4,453</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A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1,545,460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B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1,017,840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Mars Intermidiate Holdings II, Inc.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Aggregator,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2,752</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Title,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815,385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3,920,145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5,096</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NEPRT Parent Holdings, LLC</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1992"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(Recteq,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6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9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New Medina Health,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1,429,480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1,429</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NORA Parent Holdings,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 Haven Saints Equity Holdings, LP</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NXOF Holdings, Inc.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1992"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OceanSound Discovery Equity,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98,286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2,595</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1992"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(Holdco Sands Intermediate,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OHCP V BC COI,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691,666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OHCP V BC COI, L.P.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27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Holdco, Inc.</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OSP Embedded Aggregator, LP</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870,536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871</w:t>
            </w:r>
          </w:p>
        </w:tc>
        <w:tc>
          <w:tcPr>
            <w:tcW w:w="274" w:type="dxa"/>
            <w:tcBorders/>
            <w:shd w:fill="FFFFFF" w:val="clear"/>
            <w:vAlign w:val="center"/>
          </w:tcPr>
          <w:p>
            <w:pPr>
              <w:pStyle w:val="TableContents"/>
              <w:bidi w:val="0"/>
              <w:spacing w:before="0" w:after="283"/>
              <w:jc w:val="left"/>
              <w:rPr/>
            </w:pPr>
            <w:r>
              <w:rPr/>
              <w:t> </w:t>
            </w:r>
          </w:p>
        </w:tc>
      </w:tr>
      <w:tr>
        <w:trPr/>
        <w:tc>
          <w:tcPr>
            <w:tcW w:w="199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PennantPark-TSO Senior Loan Fund II, LP</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12,269,640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2" w:type="dxa"/>
            <w:tcBorders/>
            <w:shd w:fill="CCECFF" w:val="clear"/>
            <w:vAlign w:val="center"/>
          </w:tcPr>
          <w:p>
            <w:pPr>
              <w:pStyle w:val="TableContents"/>
              <w:bidi w:val="0"/>
              <w:spacing w:before="0" w:after="283"/>
              <w:jc w:val="left"/>
              <w:rPr/>
            </w:pPr>
            <w:r>
              <w:rPr/>
              <w:t> </w:t>
            </w:r>
          </w:p>
        </w:tc>
        <w:tc>
          <w:tcPr>
            <w:tcW w:w="50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12,644</w:t>
            </w:r>
          </w:p>
        </w:tc>
        <w:tc>
          <w:tcPr>
            <w:tcW w:w="274" w:type="dxa"/>
            <w:tcBorders/>
            <w:shd w:fill="CCECFF" w:val="clear"/>
            <w:vAlign w:val="center"/>
          </w:tcPr>
          <w:p>
            <w:pPr>
              <w:pStyle w:val="TableContents"/>
              <w:bidi w:val="0"/>
              <w:spacing w:before="0" w:after="283"/>
              <w:jc w:val="left"/>
              <w:rPr/>
            </w:pPr>
            <w:r>
              <w:rPr/>
              <w:t> </w:t>
            </w:r>
          </w:p>
        </w:tc>
      </w:tr>
      <w:tr>
        <w:trPr/>
        <w:tc>
          <w:tcPr>
            <w:tcW w:w="199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Pink Lily Holdco,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27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(Unaudited)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99"/>
        <w:gridCol w:w="146"/>
        <w:gridCol w:w="281"/>
        <w:gridCol w:w="671"/>
        <w:gridCol w:w="146"/>
        <w:gridCol w:w="146"/>
        <w:gridCol w:w="1431"/>
        <w:gridCol w:w="146"/>
        <w:gridCol w:w="151"/>
        <w:gridCol w:w="390"/>
        <w:gridCol w:w="211"/>
        <w:gridCol w:w="146"/>
        <w:gridCol w:w="198"/>
        <w:gridCol w:w="472"/>
        <w:gridCol w:w="146"/>
        <w:gridCol w:w="146"/>
        <w:gridCol w:w="146"/>
        <w:gridCol w:w="586"/>
        <w:gridCol w:w="146"/>
        <w:gridCol w:w="146"/>
        <w:gridCol w:w="166"/>
        <w:gridCol w:w="496"/>
        <w:gridCol w:w="146"/>
        <w:gridCol w:w="146"/>
        <w:gridCol w:w="182"/>
        <w:gridCol w:w="544"/>
        <w:gridCol w:w="275"/>
      </w:tblGrid>
      <w:tr>
        <w:trPr/>
        <w:tc>
          <w:tcPr>
            <w:tcW w:w="2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1,918,047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Quad (U.S.) Co-Invest, L.P.</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2,958,706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3,469</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QuantiTech InvestCo LP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451</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QuantiTech InvestCo LP </w:t>
            </w:r>
            <w:r>
              <w:rPr>
                <w:rFonts w:ascii="Times New Roman" w:hAnsi="Times New Roman"/>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QuantiTech InvestCo II LP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RFMG Parent, LP</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399"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6"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SBI Holdings Investments LLC</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399"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6"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Topco, LP</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2,117</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CR Intermediate Holdco, Inc.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 L2 Holdings, LLC</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881,966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SSC Dominion Holdings, LLC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2,455</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399"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Class B (US Dominion, Inc.)</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StellPen Holdings, LLC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153,846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399"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(CF512, Inc.)</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SV Aero Holdings,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TAC LifePort Holdings,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Tower Arch Infolinks Media, LP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539,282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952</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Tower Arch Infolinks Media, LP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Holding Company, LP (8). (11)</w:t>
            </w:r>
          </w:p>
        </w:tc>
        <w:tc>
          <w:tcPr>
            <w:tcW w:w="146" w:type="dxa"/>
            <w:tcBorders/>
            <w:shd w:fill="CCECFF" w:val="clear"/>
            <w:vAlign w:val="center"/>
          </w:tcPr>
          <w:p>
            <w:pPr>
              <w:pStyle w:val="TableContents"/>
              <w:bidi w:val="0"/>
              <w:spacing w:before="0" w:after="283"/>
              <w:jc w:val="righ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TWD Parent Holdings, LLC</w:t>
            </w:r>
          </w:p>
        </w:tc>
        <w:tc>
          <w:tcPr>
            <w:tcW w:w="146"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399"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6"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UniVista Insurance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Partners Co., L.P.</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1,111,111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933</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Watchtower Holdings,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1,261</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WCP Ivyrehab QP CF Feeder, LP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3,715,012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4,071</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WCP Ivyrehab QP CF Feeder, LP - Unfunded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Parent, LP</w:t>
            </w:r>
          </w:p>
        </w:tc>
        <w:tc>
          <w:tcPr>
            <w:tcW w:w="146" w:type="dxa"/>
            <w:tcBorders/>
            <w:shd w:fill="CCECFF" w:val="clear"/>
            <w:vAlign w:val="center"/>
          </w:tcPr>
          <w:p>
            <w:pPr>
              <w:pStyle w:val="TableContents"/>
              <w:bidi w:val="0"/>
              <w:spacing w:before="0" w:after="283"/>
              <w:jc w:val="righ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399"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FFFFFF" w:val="clear"/>
            <w:vAlign w:val="center"/>
          </w:tcPr>
          <w:p>
            <w:pPr>
              <w:pStyle w:val="TableContents"/>
              <w:bidi w:val="0"/>
              <w:spacing w:before="0" w:after="283"/>
              <w:jc w:val="right"/>
              <w:rPr/>
            </w:pPr>
            <w:r>
              <w:rPr/>
              <w:t> </w:t>
            </w:r>
          </w:p>
        </w:tc>
        <w:tc>
          <w:tcPr>
            <w:tcW w:w="9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Equity/Partnership Interests/Warrants</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106,034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121,620</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US Government Securities—10.0% of Net Assets</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6"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U.S. Treasury Bill </w:t>
            </w:r>
            <w:r>
              <w:rPr>
                <w:rFonts w:ascii="Times New Roman" w:hAnsi="Times New Roman"/>
                <w:color w:val="000000"/>
                <w:sz w:val="8"/>
              </w:rPr>
              <w:t>(5)</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01/23/2024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Short-Term U.S. Government Securities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49,855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49,846</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49,846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Non-Affiliated Portfolio Companies</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877,517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879,245</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789" w:type="dxa"/>
            <w:gridSpan w:val="6"/>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Affiliated Portfolio Companies—8.2% of Net Assets </w:t>
            </w:r>
            <w:r>
              <w:rPr>
                <w:rFonts w:ascii="Times New Roman" w:hAnsi="Times New Roman"/>
                <w:b/>
                <w:color w:val="000000"/>
                <w:sz w:val="8"/>
              </w:rPr>
              <w:t>(1), (2)</w:t>
            </w:r>
          </w:p>
        </w:tc>
        <w:tc>
          <w:tcPr>
            <w:tcW w:w="1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6"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Debt—2.2% of Net Assets</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6"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7,894</w:t>
            </w:r>
          </w:p>
        </w:tc>
        <w:tc>
          <w:tcPr>
            <w:tcW w:w="275" w:type="dxa"/>
            <w:tcBorders/>
            <w:shd w:fill="FFFFFF" w:val="cle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Unfunded Term Loan</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Home and Office Furnishings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27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Junior Revolver</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11,388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11,185</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Preferred Equity/Partnership Interests—5.9% of Net Assets</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6"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Cascade Environmental Holdings, LLC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5,887,236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28,519</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Cascade Environmental Holdings, LLC - Series B</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Equity/Partnership Interests</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33,709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29,644</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Equity/Partnership Interests/Warrants—0% of Net Assets </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6"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Cascade Environmental Holdings, LLC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7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47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7,444,347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9"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Equity/Partnership Interests/Warrants</w:t>
            </w:r>
          </w:p>
        </w:tc>
        <w:tc>
          <w:tcPr>
            <w:tcW w:w="146" w:type="dxa"/>
            <w:tcBorders/>
            <w:shd w:fill="CCECFF" w:val="clear"/>
            <w:vAlign w:val="center"/>
          </w:tcPr>
          <w:p>
            <w:pPr>
              <w:pStyle w:val="TableContents"/>
              <w:bidi w:val="0"/>
              <w:spacing w:before="0" w:after="283"/>
              <w:jc w:val="left"/>
              <w:rPr/>
            </w:pPr>
            <w:r>
              <w:rPr/>
              <w:t> </w:t>
            </w:r>
          </w:p>
        </w:tc>
        <w:tc>
          <w:tcPr>
            <w:tcW w:w="95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3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7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9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Affiliated Portfolio Companies</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40,829</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(Unaudited)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91"/>
        <w:gridCol w:w="146"/>
        <w:gridCol w:w="275"/>
        <w:gridCol w:w="655"/>
        <w:gridCol w:w="146"/>
        <w:gridCol w:w="146"/>
        <w:gridCol w:w="1239"/>
        <w:gridCol w:w="146"/>
        <w:gridCol w:w="151"/>
        <w:gridCol w:w="390"/>
        <w:gridCol w:w="211"/>
        <w:gridCol w:w="146"/>
        <w:gridCol w:w="193"/>
        <w:gridCol w:w="460"/>
        <w:gridCol w:w="146"/>
        <w:gridCol w:w="146"/>
        <w:gridCol w:w="166"/>
        <w:gridCol w:w="646"/>
        <w:gridCol w:w="146"/>
        <w:gridCol w:w="146"/>
        <w:gridCol w:w="166"/>
        <w:gridCol w:w="586"/>
        <w:gridCol w:w="146"/>
        <w:gridCol w:w="146"/>
        <w:gridCol w:w="169"/>
        <w:gridCol w:w="600"/>
        <w:gridCol w:w="20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Controlled, Affiliated Portfolio Companies—58.2% of Net Assets </w:t>
            </w:r>
            <w:r>
              <w:rPr>
                <w:rFonts w:ascii="Times New Roman" w:hAnsi="Times New Roman"/>
                <w:b/>
                <w:color w:val="000000"/>
                <w:sz w:val="8"/>
              </w:rPr>
              <w:t>(1), (2)</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9" w:type="dxa"/>
            <w:gridSpan w:val="2"/>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Debt—20.3% of Net Assets</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9"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AKW Holdings Limited </w:t>
            </w:r>
            <w:r>
              <w:rPr>
                <w:rFonts w:ascii="Times New Roman" w:hAnsi="Times New Roman"/>
                <w:color w:val="000000"/>
                <w:sz w:val="8"/>
              </w:rPr>
              <w:t>(8), (10), (11)</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23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40,867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52,097</w:t>
            </w:r>
          </w:p>
        </w:tc>
        <w:tc>
          <w:tcPr>
            <w:tcW w:w="201" w:type="dxa"/>
            <w:tcBorders/>
            <w:shd w:fill="CCECFF"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MidOcean JF Holdings Corp.</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49,250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105,301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101,347</w:t>
            </w:r>
          </w:p>
        </w:tc>
        <w:tc>
          <w:tcPr>
            <w:tcW w:w="2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Debt—0.0% of Net Assets</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9"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Mailsouth Inc. </w:t>
            </w:r>
            <w:r>
              <w:rPr>
                <w:rFonts w:ascii="Times New Roman" w:hAnsi="Times New Roman"/>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04/23/2025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23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Printing and Publishing</w:t>
            </w:r>
          </w:p>
        </w:tc>
        <w:tc>
          <w:tcPr>
            <w:tcW w:w="146" w:type="dxa"/>
            <w:tcBorders/>
            <w:shd w:fill="CCECFF" w:val="clear"/>
            <w:vAlign w:val="center"/>
          </w:tcPr>
          <w:p>
            <w:pPr>
              <w:pStyle w:val="TableContents"/>
              <w:bidi w:val="0"/>
              <w:spacing w:before="0" w:after="283"/>
              <w:jc w:val="center"/>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3"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12,384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Debt—20.5% of Net Assets</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9" w:type="dxa"/>
            <w:gridSpan w:val="2"/>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PennantPark Senior Loan Fund, LLC</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2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Equity—17.4% of Net Assets </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9"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AKW Holdings Limited </w:t>
            </w:r>
            <w:r>
              <w:rPr>
                <w:rFonts w:ascii="Times New Roman" w:hAnsi="Times New Roman"/>
                <w:color w:val="000000"/>
                <w:sz w:val="8"/>
              </w:rPr>
              <w:t>(8), (10), (11)</w:t>
            </w:r>
          </w:p>
        </w:tc>
        <w:tc>
          <w:tcPr>
            <w:tcW w:w="146" w:type="dxa"/>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left"/>
              <w:rPr/>
            </w:pPr>
            <w:r>
              <w:rPr/>
              <w:t> </w:t>
            </w:r>
          </w:p>
        </w:tc>
        <w:tc>
          <w:tcPr>
            <w:tcW w:w="6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23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center"/>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3"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2,974</w:t>
            </w:r>
          </w:p>
        </w:tc>
        <w:tc>
          <w:tcPr>
            <w:tcW w:w="201" w:type="dxa"/>
            <w:tcBorders/>
            <w:shd w:fill="CCECFF"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JF Intermediate, LLC</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21,234</w:t>
            </w:r>
          </w:p>
        </w:tc>
        <w:tc>
          <w:tcPr>
            <w:tcW w:w="201" w:type="dxa"/>
            <w:tcBorders/>
            <w:shd w:fill="FFFFFF" w:val="clear"/>
            <w:vAlign w:val="center"/>
          </w:tcPr>
          <w:p>
            <w:pPr>
              <w:pStyle w:val="TableContents"/>
              <w:bidi w:val="0"/>
              <w:spacing w:before="0" w:after="283"/>
              <w:jc w:val="lef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MSpark, LLC</w:t>
            </w:r>
          </w:p>
        </w:tc>
        <w:tc>
          <w:tcPr>
            <w:tcW w:w="146" w:type="dxa"/>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left"/>
              <w:rPr/>
            </w:pPr>
            <w:r>
              <w:rPr/>
              <w:t> </w:t>
            </w:r>
          </w:p>
        </w:tc>
        <w:tc>
          <w:tcPr>
            <w:tcW w:w="6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23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Printing and Publishing</w:t>
            </w:r>
          </w:p>
        </w:tc>
        <w:tc>
          <w:tcPr>
            <w:tcW w:w="146" w:type="dxa"/>
            <w:tcBorders/>
            <w:shd w:fill="CCECFF" w:val="clear"/>
            <w:vAlign w:val="center"/>
          </w:tcPr>
          <w:p>
            <w:pPr>
              <w:pStyle w:val="TableContents"/>
              <w:bidi w:val="0"/>
              <w:spacing w:before="0" w:after="283"/>
              <w:jc w:val="center"/>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3" w:type="dxa"/>
            <w:tcBorders/>
            <w:shd w:fill="CCECFF" w:val="clear"/>
            <w:vAlign w:val="center"/>
          </w:tcPr>
          <w:p>
            <w:pPr>
              <w:pStyle w:val="TableContents"/>
              <w:bidi w:val="0"/>
              <w:spacing w:before="0" w:after="283"/>
              <w:jc w:val="left"/>
              <w:rPr/>
            </w:pPr>
            <w:r>
              <w:rPr/>
              <w:t> </w:t>
            </w:r>
          </w:p>
        </w:tc>
        <w:tc>
          <w:tcPr>
            <w:tcW w:w="46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color w:val="000000"/>
              </w:rPr>
            </w:pPr>
            <w:r>
              <w:rPr>
                <w:color w:val="000000"/>
              </w:rPr>
              <w:t>—</w:t>
            </w:r>
          </w:p>
        </w:tc>
        <w:tc>
          <w:tcPr>
            <w:tcW w:w="201" w:type="dxa"/>
            <w:tcBorders/>
            <w:shd w:fill="CCECFF"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 Senior Loan Fund, LLC </w:t>
            </w:r>
            <w:r>
              <w:rPr>
                <w:rFonts w:ascii="Times New Roman" w:hAnsi="Times New Roman"/>
                <w:color w:val="000000"/>
                <w:sz w:val="8"/>
              </w:rPr>
              <w:t>(11)</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58,580,060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62,804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79,777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87,012</w:t>
            </w:r>
          </w:p>
        </w:tc>
        <w:tc>
          <w:tcPr>
            <w:tcW w:w="2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290,684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Investments—242.6% of Net Assets</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1,232,040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1,210,758</w:t>
            </w:r>
          </w:p>
        </w:tc>
        <w:tc>
          <w:tcPr>
            <w:tcW w:w="2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Equivalents—7.4% of Net Assets</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9"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right"/>
              <w:rPr/>
            </w:pPr>
            <w:r>
              <w:rPr/>
              <w:t> </w:t>
            </w:r>
          </w:p>
        </w:tc>
        <w:tc>
          <w:tcPr>
            <w:tcW w:w="930"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23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25,998</w:t>
            </w:r>
          </w:p>
        </w:tc>
        <w:tc>
          <w:tcPr>
            <w:tcW w:w="201" w:type="dxa"/>
            <w:tcBorders/>
            <w:shd w:fill="CCECFF"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Non-Money Market Cash</w:t>
            </w:r>
          </w:p>
        </w:tc>
        <w:tc>
          <w:tcPr>
            <w:tcW w:w="146" w:type="dxa"/>
            <w:tcBorders/>
            <w:shd w:fill="FFFFFF" w:val="clear"/>
            <w:vAlign w:val="center"/>
          </w:tcPr>
          <w:p>
            <w:pPr>
              <w:pStyle w:val="TableContents"/>
              <w:bidi w:val="0"/>
              <w:spacing w:before="0" w:after="283"/>
              <w:jc w:val="right"/>
              <w:rPr/>
            </w:pPr>
            <w:r>
              <w:rPr/>
              <w:t> </w:t>
            </w:r>
          </w:p>
        </w:tc>
        <w:tc>
          <w:tcPr>
            <w:tcW w:w="93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10,895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36,850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36,893</w:t>
            </w:r>
          </w:p>
        </w:tc>
        <w:tc>
          <w:tcPr>
            <w:tcW w:w="2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Equivalents—250% of Net Assets</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1,268,890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1,247,651</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Assets—(150.0%) of Net Assets</w:t>
            </w:r>
          </w:p>
        </w:tc>
        <w:tc>
          <w:tcPr>
            <w:tcW w:w="146" w:type="dxa"/>
            <w:tcBorders/>
            <w:shd w:fill="CCECFF" w:val="clear"/>
            <w:vAlign w:val="center"/>
          </w:tcPr>
          <w:p>
            <w:pPr>
              <w:pStyle w:val="TableContents"/>
              <w:bidi w:val="0"/>
              <w:spacing w:before="0" w:after="283"/>
              <w:jc w:val="left"/>
              <w:rPr/>
            </w:pPr>
            <w:r>
              <w:rPr/>
              <w:t> </w:t>
            </w:r>
          </w:p>
        </w:tc>
        <w:tc>
          <w:tcPr>
            <w:tcW w:w="93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5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60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(748,509</w:t>
            </w:r>
          </w:p>
        </w:tc>
        <w:tc>
          <w:tcPr>
            <w:tcW w:w="20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Assets—100.0%</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499,142</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13"/>
        </w:rPr>
      </w:pPr>
      <w:r>
        <w:rPr>
          <w:rFonts w:ascii="Times New Roman" w:hAnsi="Times New Roman"/>
          <w:color w:val="000000"/>
          <w:sz w:val="13"/>
        </w:rPr>
        <w:t>(1)</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(2)</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(3)</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Valued based on our accounting policy (See Note 2).</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(4)</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Represents floating rate instruments that accrue interest at a predetermined spread relative to an index, typically the applicable Secured Overnight Financing Rate, or “SOFR”, or Prime rate, or “P, or</w:t>
        <w:br/>
        <w:t>Sterling Overnight Index Average, or “SONIA.” The spread may change based on the type of rate used. The terms in the Schedule of Investments disclose the actual interest rate in effect as of the reporting</w:t>
        <w:br/>
        <w:t>period. SOFR loans are typically indexed to a 30-day, 90-day or 180-day SOFR rates (1M S, 3M S, or 6M S, respectively) at the borrower’s option. SONIA loans are typically indexed daily for GBP loans</w:t>
        <w:br/>
        <w:t>with a quarterly frequency payment. All securities are subject to a SOFR or Prime rate floor where a spread is provided, unless noted. The spread provided includes PIK interest and other fee rates, if any.</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(5)</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The security was not valued using significant unobservable inputs. The value of all other securities was determined using significant unobservable inputs (See Note 5).</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(6)</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Non-income producing securities.</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(7)</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Represents the purchase of a security with delayed settlement or a revolving line of credit that is currently an unfunded investment. This security does not earn a basis point spread above an index while it is unfunded.</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(8)</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Non-U.S. company or principal place of business outside the United States.</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(9)</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Investment is held through our Taxable Subsidiary (See Note 1).</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(10)</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Par / Shares amount is denominated in British Pounds (£) and in Canadian (CAD) as denoted.</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(11)</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The investment is treated as a non-qualifying asset under Section 55(a) of the 1940 Act. Under the 1940 Act, we may not acquire any non-qualifying asset unless, at the time the acquisition is made, qualifying assets represent at least 70% of our total assets. As of December 31, 2023, qualifying assets represent 79% of the Company’s total assets and non-qualifying assets represent 21% of the Company’s total assets.</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15"/>
        <w:gridCol w:w="146"/>
        <w:gridCol w:w="933"/>
        <w:gridCol w:w="146"/>
        <w:gridCol w:w="1528"/>
        <w:gridCol w:w="146"/>
        <w:gridCol w:w="151"/>
        <w:gridCol w:w="390"/>
        <w:gridCol w:w="211"/>
        <w:gridCol w:w="146"/>
        <w:gridCol w:w="191"/>
        <w:gridCol w:w="455"/>
        <w:gridCol w:w="146"/>
        <w:gridCol w:w="146"/>
        <w:gridCol w:w="146"/>
        <w:gridCol w:w="436"/>
        <w:gridCol w:w="146"/>
        <w:gridCol w:w="146"/>
        <w:gridCol w:w="166"/>
        <w:gridCol w:w="436"/>
        <w:gridCol w:w="146"/>
        <w:gridCol w:w="146"/>
        <w:gridCol w:w="189"/>
        <w:gridCol w:w="498"/>
        <w:gridCol w:w="200"/>
      </w:tblGrid>
      <w:tr>
        <w:trPr/>
        <w:tc>
          <w:tcPr>
            <w:tcW w:w="2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color w:val="000000"/>
                <w:sz w:val="12"/>
              </w:rPr>
              <w:t>Basis Point</w:t>
              <w:br/>
              <w:t> Spread Above</w:t>
              <w:br/>
              <w:t xml:space="preserve"> Index </w:t>
            </w:r>
            <w:r>
              <w:rPr>
                <w:rFonts w:ascii="Times New Roman" w:hAnsi="Times New Roman"/>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Non-Affiliated Portfolio Companies—165.4% of Net Assets </w:t>
            </w:r>
            <w:r>
              <w:rPr>
                <w:rFonts w:ascii="Times New Roman" w:hAnsi="Times New Roman"/>
                <w:b/>
                <w:color w:val="000000"/>
                <w:sz w:val="8"/>
              </w:rPr>
              <w:t>(1), (2)</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87" w:type="dxa"/>
            <w:gridSpan w:val="2"/>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righ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Debt—93.2% of Net Assets</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5,119</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 - Unfunded Term Loan</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12/21/2024</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A1 Garage Merger Sub,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 (Revolver)</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Ad.net Acquisition,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05/07/2026</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LLC (f/k/a MeritDirect,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05/23/2024</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2,962</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Any Hour Services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07/31/2025</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1,327</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Term Loan 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07/31/2025</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1,859</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(Revolver)</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07/31/2025</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581</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Apex Service Partners,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07/31/2025</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808</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 (Revolver)</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Applied Technical Services,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 (Revolver)</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08/03/2029</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8,009</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Arcfield Acquisition Corp.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08/04/2028</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Berwick Industrial Park</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11/02/2023</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Buildings and Real Estate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3,924</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07/01/2029</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4,604</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 (Revolver)</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01/31/2028</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BioDerm,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01/31/2028</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1,823</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Blackhawk Industrial Distribution, Inc.</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Blackhawk Industrial Distribution,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12/04/2025</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9,838</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34,056</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 - (Revolver)</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08/20/2026</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6,460</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CF512, Inc.(Revolver)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08/20/2026</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Compex Legal Services, Inc.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02/09/2026</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Compex Legal Services, Inc. (Revolver)</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02/07/2025</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Compex Legal Services,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02/07/2025</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Connatix Buyer,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07/13/2027</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Confluent Health, LLC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11/30/2028</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 (Revolver)</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Crane 1 Services,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08/31/2027</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8,276</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Dr. Squatch,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Dr. Squatch,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08/31/2027</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11/03/2025</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DRS Holdings III,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11/03/2025</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6,125</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 - Unfunded Term Loan</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EDS Buyer,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1" w:type="dxa"/>
            <w:tcBorders/>
            <w:shd w:fill="CCECFF" w:val="clear"/>
            <w:vAlign w:val="center"/>
          </w:tcPr>
          <w:p>
            <w:pPr>
              <w:pStyle w:val="TableContents"/>
              <w:bidi w:val="0"/>
              <w:spacing w:before="0" w:after="283"/>
              <w:jc w:val="left"/>
              <w:rPr/>
            </w:pPr>
            <w:r>
              <w:rPr/>
              <w:t> </w:t>
            </w:r>
          </w:p>
        </w:tc>
        <w:tc>
          <w:tcPr>
            <w:tcW w:w="45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ETE Intermediate II,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05/25/2029</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1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CCECFF" w:val="clear"/>
            <w:vAlign w:val="center"/>
          </w:tcPr>
          <w:p>
            <w:pPr>
              <w:pStyle w:val="TableContents"/>
              <w:bidi w:val="0"/>
              <w:spacing w:before="0" w:after="283"/>
              <w:jc w:val="left"/>
              <w:rPr/>
            </w:pPr>
            <w:r>
              <w:rPr/>
              <w:t> </w:t>
            </w:r>
          </w:p>
        </w:tc>
        <w:tc>
          <w:tcPr>
            <w:tcW w:w="933"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03/15/2027</w:t>
            </w:r>
          </w:p>
        </w:tc>
        <w:tc>
          <w:tcPr>
            <w:tcW w:w="146" w:type="dxa"/>
            <w:tcBorders/>
            <w:shd w:fill="CCECFF" w:val="clear"/>
            <w:vAlign w:val="center"/>
          </w:tcPr>
          <w:p>
            <w:pPr>
              <w:pStyle w:val="TableContents"/>
              <w:bidi w:val="0"/>
              <w:spacing w:before="0" w:after="283"/>
              <w:jc w:val="left"/>
              <w:rPr/>
            </w:pPr>
            <w:r>
              <w:rPr/>
              <w:t> </w:t>
            </w:r>
          </w:p>
        </w:tc>
        <w:tc>
          <w:tcPr>
            <w:tcW w:w="152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23,888</w:t>
            </w:r>
          </w:p>
        </w:tc>
        <w:tc>
          <w:tcPr>
            <w:tcW w:w="200" w:type="dxa"/>
            <w:tcBorders/>
            <w:shd w:fill="CCECFF" w:val="clear"/>
            <w:vAlign w:val="center"/>
          </w:tcPr>
          <w:p>
            <w:pPr>
              <w:pStyle w:val="TableContents"/>
              <w:bidi w:val="0"/>
              <w:spacing w:before="0" w:after="283"/>
              <w:jc w:val="left"/>
              <w:rPr/>
            </w:pPr>
            <w:r>
              <w:rPr/>
              <w:t> </w:t>
            </w:r>
          </w:p>
        </w:tc>
      </w:tr>
      <w:tr>
        <w:trPr/>
        <w:tc>
          <w:tcPr>
            <w:tcW w:w="281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Exigo Intermediate II,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03/15/2027</w:t>
            </w:r>
          </w:p>
        </w:tc>
        <w:tc>
          <w:tcPr>
            <w:tcW w:w="146"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2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114"/>
        <w:gridCol w:w="146"/>
        <w:gridCol w:w="990"/>
        <w:gridCol w:w="146"/>
        <w:gridCol w:w="2004"/>
        <w:gridCol w:w="146"/>
        <w:gridCol w:w="181"/>
        <w:gridCol w:w="468"/>
        <w:gridCol w:w="211"/>
        <w:gridCol w:w="146"/>
        <w:gridCol w:w="203"/>
        <w:gridCol w:w="482"/>
        <w:gridCol w:w="146"/>
        <w:gridCol w:w="146"/>
        <w:gridCol w:w="146"/>
        <w:gridCol w:w="436"/>
        <w:gridCol w:w="146"/>
        <w:gridCol w:w="146"/>
        <w:gridCol w:w="166"/>
        <w:gridCol w:w="436"/>
        <w:gridCol w:w="146"/>
        <w:gridCol w:w="146"/>
        <w:gridCol w:w="195"/>
        <w:gridCol w:w="514"/>
        <w:gridCol w:w="199"/>
      </w:tblGrid>
      <w:tr>
        <w:trPr/>
        <w:tc>
          <w:tcPr>
            <w:tcW w:w="2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color w:val="000000"/>
                <w:sz w:val="12"/>
              </w:rPr>
              <w:t>Basis Point</w:t>
              <w:br/>
              <w:t> Spread Above</w:t>
              <w:br/>
              <w:t xml:space="preserve"> Index </w:t>
            </w:r>
            <w:r>
              <w:rPr>
                <w:rFonts w:ascii="Times New Roman" w:hAnsi="Times New Roman"/>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 - Unfunded Term Loan</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Five Star Buyer,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02/23/2028</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ETE Blocker, LLC - Promissory Note</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05/19/2029</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607</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Graffiti Buyer,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12/08/2023</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 (Revolver)</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Graffiti Buyer,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08/10/2027</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Roofing and Construction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11/23/2028</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1,898</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Holdco Sands Intermediate,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12/17/2026</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HV Watterson Holdings,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 - (Revolver)</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12/17/2026</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1,198</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HV Watterson Holdings, LLC - (Revolver)</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11,069</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 (Revolver)</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HW Holdco,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IG Investments Holdings,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09/22/2027</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Imagine Acquisitionco,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Imagine Acquisitionco,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11/15/2027</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12/07/2023</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20,300</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 - Unfunded Term Loan</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12/28/2023</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color w:val="000000"/>
              </w:rPr>
            </w:pPr>
            <w:r>
              <w:rPr>
                <w:color w:val="000000"/>
              </w:rPr>
              <w:t>—</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Infinity Home Services Holdco, Inc.(Revolver)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Infolinks Media Buyco,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11/01/2026</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Infolinks Media Buyco, LLC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11/01/2023</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Integrated Data Services - Term Loan</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08/01/2029</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15,106</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Integrated Data Services - (Revolver)</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08/01/2029</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9,781</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 - Unfunded Term Loan</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08/31/2025</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Integrity Marketing Acquisition,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08/31/2025</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color w:val="000000"/>
              </w:rPr>
            </w:pPr>
            <w:r>
              <w:rPr>
                <w:color w:val="000000"/>
              </w:rPr>
              <w:t>—</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Inventus Power, Inc.</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SOFR+761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12,969</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Inventus Power,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8,661</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ITI Holdings, Inc. (Revolver)</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ITI Holdings,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03/03/2028</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12/20/2023</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SOFR+810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9,409</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K2 Pure Solutions NoCal, L.P.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12/20/2023</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11/10/2027</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9,035</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Kinetic Purchaser,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11/10/2026</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02/18/2027</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2,779</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 (Revolver)</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08/16/2026</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1,957</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Lash OpCo,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08/16/2026</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10/31/2024</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5.50%)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199" w:type="dxa"/>
            <w:tcBorders/>
            <w:shd w:fill="CCECFF" w:val="clear"/>
            <w:vAlign w:val="center"/>
          </w:tcPr>
          <w:p>
            <w:pPr>
              <w:pStyle w:val="TableContents"/>
              <w:bidi w:val="0"/>
              <w:spacing w:before="0" w:after="283"/>
              <w:jc w:val="righ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Ledge Lounger, Inc.</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8,971</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Ledge Lounger,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11/09/2026</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02/03/2026</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2,176</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Lightspeed Buyer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02/03/2026</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07/31/2024</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 - Unfunded Term Loan</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07/31/2024</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LJ Avalon Holdings, LLC (Revolver)</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01/31/2030</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LSF9 Atlantis Holdings, LLC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03/31/2029</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5,381</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Loving Tan Intermediate II, Inc. (Revolver)</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Loving Tan Intermediate II, Inc. (Revolver)</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05/31/2028</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05/14/2026</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1,817</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Mars Acquisition Holdings Corp. (Revolver)</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05/14/2026</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 (Revolver)</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04/16/2027</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MBS Holdings,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04/16/2027</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85"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19,685</w:t>
            </w:r>
          </w:p>
        </w:tc>
        <w:tc>
          <w:tcPr>
            <w:tcW w:w="199" w:type="dxa"/>
            <w:tcBorders/>
            <w:shd w:fill="CCECFF"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Buyer, Inc. (Revolver)</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1,016</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MDI Buyer,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8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1,888</w:t>
            </w:r>
          </w:p>
        </w:tc>
        <w:tc>
          <w:tcPr>
            <w:tcW w:w="199" w:type="dxa"/>
            <w:tcBorders/>
            <w:shd w:fill="FFFFFF" w:val="clear"/>
            <w:vAlign w:val="center"/>
          </w:tcPr>
          <w:p>
            <w:pPr>
              <w:pStyle w:val="TableContents"/>
              <w:bidi w:val="0"/>
              <w:spacing w:before="0" w:after="283"/>
              <w:jc w:val="left"/>
              <w:rPr/>
            </w:pPr>
            <w:r>
              <w:rPr/>
              <w:t> </w:t>
            </w:r>
          </w:p>
        </w:tc>
      </w:tr>
      <w:tr>
        <w:trPr/>
        <w:tc>
          <w:tcPr>
            <w:tcW w:w="211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 Term Loan I</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 Term Loan II</w:t>
            </w:r>
          </w:p>
        </w:tc>
        <w:tc>
          <w:tcPr>
            <w:tcW w:w="14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200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1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Acquirer,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0"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2004"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3" w:type="dxa"/>
            <w:tcBorders/>
            <w:shd w:fill="CCECFF" w:val="clear"/>
            <w:vAlign w:val="center"/>
          </w:tcPr>
          <w:p>
            <w:pPr>
              <w:pStyle w:val="TableContents"/>
              <w:bidi w:val="0"/>
              <w:spacing w:before="0" w:after="283"/>
              <w:jc w:val="left"/>
              <w:rPr/>
            </w:pPr>
            <w:r>
              <w:rPr/>
              <w:t> </w:t>
            </w:r>
          </w:p>
        </w:tc>
        <w:tc>
          <w:tcPr>
            <w:tcW w:w="48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19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65"/>
        <w:gridCol w:w="146"/>
        <w:gridCol w:w="1011"/>
        <w:gridCol w:w="146"/>
        <w:gridCol w:w="1692"/>
        <w:gridCol w:w="146"/>
        <w:gridCol w:w="173"/>
        <w:gridCol w:w="448"/>
        <w:gridCol w:w="211"/>
        <w:gridCol w:w="146"/>
        <w:gridCol w:w="207"/>
        <w:gridCol w:w="492"/>
        <w:gridCol w:w="146"/>
        <w:gridCol w:w="146"/>
        <w:gridCol w:w="146"/>
        <w:gridCol w:w="496"/>
        <w:gridCol w:w="146"/>
        <w:gridCol w:w="146"/>
        <w:gridCol w:w="166"/>
        <w:gridCol w:w="496"/>
        <w:gridCol w:w="146"/>
        <w:gridCol w:w="146"/>
        <w:gridCol w:w="185"/>
        <w:gridCol w:w="555"/>
        <w:gridCol w:w="202"/>
      </w:tblGrid>
      <w:tr>
        <w:trPr/>
        <w:tc>
          <w:tcPr>
            <w:tcW w:w="2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color w:val="000000"/>
                <w:sz w:val="12"/>
              </w:rPr>
              <w:t>Basis Point</w:t>
              <w:br/>
              <w:t> Spread Above</w:t>
              <w:br/>
              <w:t xml:space="preserve"> Index </w:t>
            </w:r>
            <w:r>
              <w:rPr>
                <w:rFonts w:ascii="Times New Roman" w:hAnsi="Times New Roman"/>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09/28/2027</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 - Unfunded Term Loan A</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06/16/2023</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 - Unfunded Term Loan B</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12/16/2024</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 (Revolver)</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09/28/2027</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Municipal Emergency Services,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09/28/2027</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NBH Group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08/19/2026</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Neptune Flood Incorporated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05/09/2029</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color w:val="000000"/>
              </w:rPr>
            </w:pPr>
            <w:r>
              <w:rPr>
                <w:color w:val="000000"/>
              </w:rPr>
              <w:t>—</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Acquisition,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08/31/2029</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20,090</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NORA Acquisition,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08/31/2029</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Acquisition, Inc.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09/03/2027</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4,012</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ORL Acquisition,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09/03/2027</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05/18/2026</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 Materials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13,340</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Ox Two,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05/18/2026</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 Materials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 - Unfunded Term Loan</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12/02/2026</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Pequod Merger Sub,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12/02/2026</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PL Acquisitionco,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11/09/2027</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34,987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34,547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33,412</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 Unfunded Term Loan</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 (Revolver)</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4,579</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1,461</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 (Revolver)</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11/19/2026</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Questex,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09/09/2024</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SOFR+425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20,193</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Questex,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09/09/2024</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color w:val="000000"/>
              </w:rPr>
            </w:pPr>
            <w:r>
              <w:rPr>
                <w:color w:val="000000"/>
              </w:rPr>
              <w:t>—</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 (Revolver)</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03/31/2025</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661</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Radius Aerospace,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Rancho Health MSO, Inc.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 - Unfunded Term Loan</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color w:val="000000"/>
              </w:rPr>
            </w:pPr>
            <w:r>
              <w:rPr>
                <w:color w:val="000000"/>
              </w:rPr>
              <w:t>—</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 (Revolver)</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Rancho Health MSO,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color w:val="000000"/>
              </w:rPr>
            </w:pPr>
            <w:r>
              <w:rPr>
                <w:color w:val="000000"/>
              </w:rPr>
              <w:t>—</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02/28/2028</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5,628</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Recteq,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01/29/2026</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Inc. and Dynata,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Riverpoint Medical, LLC (Revolver)</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Riverpoint Medical,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06/20/2025</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Riverside Assessments, LLC</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03/10/2025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11,582</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 Unfunded Term Loan</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06/15/2029</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Rural Sourcing Holdings,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06/15/2029</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Sales Benchmark Index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01/03/2025</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 (Revolver)</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Sargent &amp; Greenleaf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4,496</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Schlesinger Global, Inc. (Revolver)</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21"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(PIK 0.5%)</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40" w:type="dxa"/>
            <w:gridSpan w:val="2"/>
            <w:tcBorders/>
            <w:shd w:fill="CCECFF" w:val="clear"/>
            <w:vAlign w:val="center"/>
          </w:tcPr>
          <w:p>
            <w:pPr>
              <w:pStyle w:val="TableContents"/>
              <w:bidi w:val="0"/>
              <w:spacing w:before="0" w:after="283"/>
              <w:jc w:val="right"/>
              <w:rPr/>
            </w:pPr>
            <w:r>
              <w:rPr/>
              <w:t> </w:t>
            </w:r>
          </w:p>
        </w:tc>
        <w:tc>
          <w:tcPr>
            <w:tcW w:w="202" w:type="dxa"/>
            <w:tcBorders/>
            <w:shd w:fill="CCECFF" w:val="clear"/>
            <w:vAlign w:val="center"/>
          </w:tcPr>
          <w:p>
            <w:pPr>
              <w:pStyle w:val="TableContents"/>
              <w:bidi w:val="0"/>
              <w:spacing w:before="0" w:after="283"/>
              <w:jc w:val="righ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Schlesinger Global, Inc. (Revolver)</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07/14/2025</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06/13/2029</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4,609</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 (Revolver)</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06/13/2029</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708</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Seaway Buyer, LLC (Revolver)</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06/13/2029</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Shiftkey,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06/21/2027</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17,331</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SOFR+865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29,681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29,236</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 (Revolver)</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SOFR+865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2,052</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Sigma Defense Systems,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Signature Systems Holding Company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05/03/2024</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Solutionreach, Inc.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Communications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Spendmend Holdings LLC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 - Funded Revolver</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Spendmend Holdings LLC -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System Planning and Analysis, Inc. - (Revolver) </w:t>
            </w:r>
            <w:r>
              <w:rPr>
                <w:rFonts w:ascii="Times New Roman" w:hAnsi="Times New Roman"/>
                <w:color w:val="000000"/>
                <w:sz w:val="8"/>
              </w:rPr>
              <w:t>(7)</w:t>
            </w:r>
            <w:r>
              <w:rPr>
                <w:rFonts w:ascii="Times New Roman" w:hAnsi="Times New Roman"/>
                <w:color w:val="000000"/>
                <w:sz w:val="12"/>
              </w:rPr>
              <w:t> </w:t>
              <w:br/>
              <w:t>(f/k/a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Aegis Technologies Group, LLC</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07/27/2026</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2,262</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Bluebird Group LLC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07/27/2026</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 (Revolver)</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The Vertex Companies,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08/30/2027</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TWS Acquisition Corporation (Revolver)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06/16/2025</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color w:val="000000"/>
              </w:rPr>
            </w:pPr>
            <w:r>
              <w:rPr>
                <w:color w:val="000000"/>
              </w:rPr>
              <w:t>—</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Tyto Athene, LLC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04/01/2026</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 - Unfunded Term Loan</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02/01/2024</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49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202"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02/27/2026</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3,767</w:t>
            </w:r>
          </w:p>
        </w:tc>
        <w:tc>
          <w:tcPr>
            <w:tcW w:w="202" w:type="dxa"/>
            <w:tcBorders/>
            <w:shd w:fill="FFFFFF" w:val="cle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 (Revolver)</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02/27/2026</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shd w:fill="CCECFF" w:val="clear"/>
            <w:vAlign w:val="center"/>
          </w:tcPr>
          <w:p>
            <w:pPr>
              <w:pStyle w:val="TableContents"/>
              <w:bidi w:val="0"/>
              <w:spacing w:before="0" w:after="283"/>
              <w:jc w:val="left"/>
              <w:rPr/>
            </w:pPr>
            <w:r>
              <w:rPr/>
              <w:t> </w:t>
            </w:r>
          </w:p>
        </w:tc>
        <w:tc>
          <w:tcPr>
            <w:tcW w:w="55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w:t>
            </w:r>
          </w:p>
        </w:tc>
        <w:tc>
          <w:tcPr>
            <w:tcW w:w="202" w:type="dxa"/>
            <w:tcBorders/>
            <w:shd w:fill="CCECFF" w:val="cle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Wildcat Buyerco, Inc. (Revolver)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02/27/2026</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2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265"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03/01/2024</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73" w:type="dxa"/>
            <w:tcBorders/>
            <w:shd w:fill="CCECFF" w:val="clear"/>
            <w:vAlign w:val="center"/>
          </w:tcPr>
          <w:p>
            <w:pPr>
              <w:pStyle w:val="TableContents"/>
              <w:bidi w:val="0"/>
              <w:spacing w:before="0" w:after="283"/>
              <w:jc w:val="left"/>
              <w:rPr/>
            </w:pPr>
            <w:r>
              <w:rPr/>
              <w:t> </w:t>
            </w:r>
          </w:p>
        </w:tc>
        <w:tc>
          <w:tcPr>
            <w:tcW w:w="44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SOFR+735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2,504</w:t>
            </w:r>
          </w:p>
        </w:tc>
        <w:tc>
          <w:tcPr>
            <w:tcW w:w="20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468,007</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U.S. Government Securities—19.9% of Net Assets</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40" w:type="dxa"/>
            <w:gridSpan w:val="2"/>
            <w:tcBorders/>
            <w:shd w:fill="CCECFF" w:val="clear"/>
            <w:vAlign w:val="center"/>
          </w:tcPr>
          <w:p>
            <w:pPr>
              <w:pStyle w:val="TableContents"/>
              <w:bidi w:val="0"/>
              <w:spacing w:before="0" w:after="283"/>
              <w:jc w:val="right"/>
              <w:rPr/>
            </w:pPr>
            <w:r>
              <w:rPr/>
              <w:t> </w:t>
            </w:r>
          </w:p>
        </w:tc>
        <w:tc>
          <w:tcPr>
            <w:tcW w:w="202" w:type="dxa"/>
            <w:tcBorders/>
            <w:shd w:fill="CCECFF" w:val="clear"/>
            <w:vAlign w:val="center"/>
          </w:tcPr>
          <w:p>
            <w:pPr>
              <w:pStyle w:val="TableContents"/>
              <w:bidi w:val="0"/>
              <w:spacing w:before="0" w:after="283"/>
              <w:jc w:val="right"/>
              <w:rPr/>
            </w:pPr>
            <w:r>
              <w:rPr/>
              <w:t> </w:t>
            </w:r>
          </w:p>
        </w:tc>
      </w:tr>
      <w:tr>
        <w:trPr/>
        <w:tc>
          <w:tcPr>
            <w:tcW w:w="226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U.S. Treasury Bill </w:t>
            </w:r>
            <w:r>
              <w:rPr>
                <w:rFonts w:ascii="Times New Roman" w:hAnsi="Times New Roman"/>
                <w:color w:val="000000"/>
                <w:sz w:val="8"/>
              </w:rPr>
              <w:t>(5)</w:t>
            </w:r>
          </w:p>
        </w:tc>
        <w:tc>
          <w:tcPr>
            <w:tcW w:w="146" w:type="dxa"/>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10/19/2023</w:t>
            </w:r>
          </w:p>
        </w:tc>
        <w:tc>
          <w:tcPr>
            <w:tcW w:w="146" w:type="dxa"/>
            <w:tcBorders/>
            <w:shd w:fill="FFFFFF" w:val="clear"/>
            <w:vAlign w:val="center"/>
          </w:tcPr>
          <w:p>
            <w:pPr>
              <w:pStyle w:val="TableContents"/>
              <w:bidi w:val="0"/>
              <w:spacing w:before="0" w:after="283"/>
              <w:jc w:val="center"/>
              <w:rPr/>
            </w:pPr>
            <w:r>
              <w:rPr/>
              <w:t> </w:t>
            </w:r>
          </w:p>
        </w:tc>
        <w:tc>
          <w:tcPr>
            <w:tcW w:w="169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Short-Term U.S. Government Securities</w:t>
            </w:r>
          </w:p>
        </w:tc>
        <w:tc>
          <w:tcPr>
            <w:tcW w:w="146" w:type="dxa"/>
            <w:tcBorders/>
            <w:shd w:fill="FFFFFF" w:val="cle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99,751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5"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U.S. Government Securities</w:t>
            </w:r>
          </w:p>
        </w:tc>
        <w:tc>
          <w:tcPr>
            <w:tcW w:w="146" w:type="dxa"/>
            <w:tcBorders/>
            <w:shd w:fill="CCECFF" w:val="clear"/>
            <w:vAlign w:val="center"/>
          </w:tcPr>
          <w:p>
            <w:pPr>
              <w:pStyle w:val="TableContents"/>
              <w:bidi w:val="0"/>
              <w:spacing w:before="0" w:after="283"/>
              <w:jc w:val="left"/>
              <w:rPr/>
            </w:pPr>
            <w:r>
              <w:rPr/>
              <w:t> </w:t>
            </w:r>
          </w:p>
        </w:tc>
        <w:tc>
          <w:tcPr>
            <w:tcW w:w="10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9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99"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99,768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99,751</w:t>
            </w:r>
          </w:p>
        </w:tc>
        <w:tc>
          <w:tcPr>
            <w:tcW w:w="20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190"/>
        <w:gridCol w:w="146"/>
        <w:gridCol w:w="273"/>
        <w:gridCol w:w="650"/>
        <w:gridCol w:w="146"/>
        <w:gridCol w:w="146"/>
        <w:gridCol w:w="1801"/>
        <w:gridCol w:w="146"/>
        <w:gridCol w:w="151"/>
        <w:gridCol w:w="390"/>
        <w:gridCol w:w="211"/>
        <w:gridCol w:w="146"/>
        <w:gridCol w:w="190"/>
        <w:gridCol w:w="451"/>
        <w:gridCol w:w="146"/>
        <w:gridCol w:w="146"/>
        <w:gridCol w:w="146"/>
        <w:gridCol w:w="586"/>
        <w:gridCol w:w="146"/>
        <w:gridCol w:w="146"/>
        <w:gridCol w:w="166"/>
        <w:gridCol w:w="436"/>
        <w:gridCol w:w="146"/>
        <w:gridCol w:w="146"/>
        <w:gridCol w:w="188"/>
        <w:gridCol w:w="496"/>
        <w:gridCol w:w="274"/>
      </w:tblGrid>
      <w:tr>
        <w:trPr/>
        <w:tc>
          <w:tcPr>
            <w:tcW w:w="2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color w:val="000000"/>
                <w:sz w:val="12"/>
              </w:rPr>
              <w:t>Basis Point</w:t>
              <w:br/>
              <w:t> Spread Above</w:t>
              <w:br/>
              <w:t xml:space="preserve"> Index </w:t>
            </w:r>
            <w:r>
              <w:rPr>
                <w:rFonts w:ascii="Times New Roman" w:hAnsi="Times New Roman"/>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Debt—16.0% of Net Assets</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4"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Ascensus Holdings, Inc.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08/02/2028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2,837</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Atlas Purchaser, Inc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SOFR+900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13,821</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Best Practice Associates LLC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06/29/2027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SOFR+915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17,469</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Purchaser Corporation</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07/28/2030</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SOFR+910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7,920</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ENC Parent Corporation</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SOFR+776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6,675</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Halo Buyer, Inc.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07/06/2026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SOFR+835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31,525</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QuantiTech LLC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84,376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80,396</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Debt/Corporate Notes—10.7% of Net Assets</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Express Wash Acquisition Company, LLC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01/15/2029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SOFR+976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21,597</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Flock Financial, LLC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05/26/2027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32,300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Debt/Corporate Notes</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54,897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53,897</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Preferred Equity/Partnership Interests—2.6% of Net Assets </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Holdings, Inc.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AH Newco Equityholdings,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Holdings, LP (f/k/a MeritDirect Holdings, LP)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Cartessa Aesthetics,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4,975</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Lash Coinvest, LLC - Preferred Equity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64,967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Schlesinger Coinvest, LLC - Class A-2 Preferred Equity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Topco, LP</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743,826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A Preferred Equity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B Preferred Equity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Intermediate Holdings II, Inc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NXOF Holdings, Inc. (Tyto Athene,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Holdco, Inc.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 - Preferred Equity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CR Intermediate Holdco, Inc.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2,490</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TPC Holding Company, LP </w:t>
            </w:r>
            <w:r>
              <w:rPr>
                <w:rFonts w:ascii="Times New Roman" w:hAnsi="Times New Roman"/>
                <w:color w:val="000000"/>
                <w:sz w:val="8"/>
              </w:rPr>
              <w:t>(8),(11)</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TWD Parent Holdings,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190"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4"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Equity/Partnership Interests</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13,280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Equity/Partnership Interests/Warrants—23.0% of Net Assets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4"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A1 Garage Equity,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2,193,038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2,340</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Holdings, Inc.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Affinion Group Holdings, Inc. (Warrants)</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04/10/2024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AG Investco LP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805,164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AG Investco LP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Altamira Intermediate Company II, Inc.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AMCSI Crash Co-Invest, LP</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2,489,777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3,318</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AMCSI Crash Co-Invest, LP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510,223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Anteriad Holdings, LP (f/k/a MeritDirect Holdings,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Athletico Holdings,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9,032</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Atlas Investment Aggregator,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1,513</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Holdings, LP</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Parent,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Cowboy Parent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5,451</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190"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4"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Acquisition Parent Holdings, L.P.</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Delta InvestCo LP</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863,299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1,542</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190"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(Sigma Defense Systems,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Delta InvestCo LP </w:t>
            </w:r>
            <w:r>
              <w:rPr>
                <w:rFonts w:ascii="Times New Roman" w:hAnsi="Times New Roman"/>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190"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(Sigma Defense Systems, LLC)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eCommission Holding Corporation </w:t>
            </w:r>
            <w:r>
              <w:rPr>
                <w:rFonts w:ascii="Times New Roman" w:hAnsi="Times New Roman"/>
                <w:color w:val="000000"/>
                <w:sz w:val="8"/>
              </w:rPr>
              <w:t>(11)</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1,854</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Topco, LP</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1,458,333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1,648</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2,060</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LP </w:t>
            </w:r>
            <w:r>
              <w:rPr>
                <w:rFonts w:ascii="Times New Roman" w:hAnsi="Times New Roman"/>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FedHC InvestCo II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2,951</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Parent Holdings,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655,714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ETE Blocker, LLC - Common Equity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Lash Coinvest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889,376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4,076</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Loving Tan, LP - Common Equity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462,827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w:t>
            </w:r>
          </w:p>
        </w:tc>
        <w:tc>
          <w:tcPr>
            <w:tcW w:w="274" w:type="dxa"/>
            <w:tcBorders/>
            <w:shd w:fill="FFFFFF" w:val="clear"/>
            <w:vAlign w:val="center"/>
          </w:tcPr>
          <w:p>
            <w:pPr>
              <w:pStyle w:val="TableContents"/>
              <w:bidi w:val="0"/>
              <w:spacing w:before="0" w:after="283"/>
              <w:jc w:val="left"/>
              <w:rPr/>
            </w:pPr>
            <w:r>
              <w:rPr/>
              <w:t> </w:t>
            </w:r>
          </w:p>
        </w:tc>
      </w:tr>
      <w:tr>
        <w:trPr/>
        <w:tc>
          <w:tcPr>
            <w:tcW w:w="219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Schlesinger Coinvest,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0"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274" w:type="dxa"/>
            <w:tcBorders/>
            <w:shd w:fill="CCEC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Gauge TVC Coinvest,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810,645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2,390</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190"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(TVC Enterprises, LLC)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4"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ind w:left="0" w:right="0" w:firstLine="80"/>
              <w:jc w:val="right"/>
              <w:rPr/>
            </w:pPr>
            <w:r>
              <w:rPr/>
              <w:t> </w:t>
            </w:r>
          </w:p>
        </w:tc>
      </w:tr>
      <w:tr>
        <w:trPr/>
        <w:tc>
          <w:tcPr>
            <w:tcW w:w="2190" w:type="dxa"/>
            <w:tcBorders/>
            <w:shd w:fill="CCECFF" w:val="clear"/>
            <w:vAlign w:val="center"/>
          </w:tcPr>
          <w:p>
            <w:pPr>
              <w:pStyle w:val="TableContents"/>
              <w:bidi w:val="0"/>
              <w:spacing w:before="0" w:after="283"/>
              <w:ind w:left="80" w:right="0" w:firstLine="80"/>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801"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4"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006"/>
        <w:gridCol w:w="146"/>
        <w:gridCol w:w="308"/>
        <w:gridCol w:w="734"/>
        <w:gridCol w:w="146"/>
        <w:gridCol w:w="146"/>
        <w:gridCol w:w="1747"/>
        <w:gridCol w:w="146"/>
        <w:gridCol w:w="160"/>
        <w:gridCol w:w="381"/>
        <w:gridCol w:w="146"/>
        <w:gridCol w:w="146"/>
        <w:gridCol w:w="214"/>
        <w:gridCol w:w="507"/>
        <w:gridCol w:w="146"/>
        <w:gridCol w:w="146"/>
        <w:gridCol w:w="146"/>
        <w:gridCol w:w="646"/>
        <w:gridCol w:w="146"/>
        <w:gridCol w:w="146"/>
        <w:gridCol w:w="166"/>
        <w:gridCol w:w="436"/>
        <w:gridCol w:w="146"/>
        <w:gridCol w:w="146"/>
        <w:gridCol w:w="200"/>
        <w:gridCol w:w="528"/>
        <w:gridCol w:w="274"/>
      </w:tblGrid>
      <w:tr>
        <w:trPr/>
        <w:tc>
          <w:tcPr>
            <w:tcW w:w="2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color w:val="000000"/>
                <w:sz w:val="12"/>
              </w:rPr>
              <w:t>Basis Point</w:t>
              <w:br/>
              <w:t> Spread Above</w:t>
              <w:br/>
              <w:t xml:space="preserve"> Index </w:t>
            </w:r>
            <w:r>
              <w:rPr>
                <w:rFonts w:ascii="Times New Roman" w:hAnsi="Times New Roman"/>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GCOM InvestCo LP</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Go Dawgs Capital III, LP</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Building Materials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1,479</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006"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(American Insulated Glass,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104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Hancock Claims Consultants Investors,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HPA SPQ Aggregator LP- Common Equity</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750,399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751</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1,778</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Icon Partners V C, L.P.</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1,118,318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1,002</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Icon Partners V C, L.P.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27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IHS Parent Holdngs, L.P.</w:t>
            </w:r>
          </w:p>
        </w:tc>
        <w:tc>
          <w:tcPr>
            <w:tcW w:w="146" w:type="dxa"/>
            <w:tcBorders/>
            <w:shd w:fill="CCECFF" w:val="clear"/>
            <w:vAlign w:val="center"/>
          </w:tcPr>
          <w:p>
            <w:pPr>
              <w:pStyle w:val="TableContents"/>
              <w:bidi w:val="0"/>
              <w:spacing w:before="0" w:after="283"/>
              <w:jc w:val="left"/>
              <w:rPr/>
            </w:pPr>
            <w:r>
              <w:rPr/>
              <w:t> </w:t>
            </w:r>
          </w:p>
        </w:tc>
        <w:tc>
          <w:tcPr>
            <w:tcW w:w="104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1,218,045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1,642</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Topco, LP</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743,826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Infogroup Parent Holdings, Inc.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Other Media</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181,495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2,327</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006"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(Data Axle, Inc.)</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Ironclad Holdco, LLC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006"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(Applied Technical Services,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ITC Infusion Co-invest, LP</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162,445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1,775</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ITC Rumba, LLC</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006"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(Cano Health,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104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Kentucky Racing Holdco, LLC (Warrants)</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Motels, Inns and Gaming</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1,630</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1,308,814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1,892</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KL Stockton Co-Invest LP</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006"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(Any Hour Services)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104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Lariat ecoserv Co-Invest Holdings,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LEP Pequod Holdings, LP</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1,006</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Investment Holdco LLC</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LP</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851,087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Lorient Peregrine Investments, LP</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4,452</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A Common Equity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169,230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Magnolia Topco LP - Class B Common Equity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929,200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Intermidiate Holdings II, Inc.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MDI Aggregator, LP</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3,326</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Meadowlark Title,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815,385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3,920,145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4,430</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NEPRT Parent Holdings, LLC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006"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(Recteq,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Parent Holdings, LLC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1,257</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North Haven Saints Equity Holdings, LP</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NXOF Holdings, Inc.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006"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OceanSound Discovery Equity, LP</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98,286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2,133</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006"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color w:val="000000"/>
                <w:sz w:val="12"/>
              </w:rPr>
              <w:t xml:space="preserve">(Holdco Sands Intermediate,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OHCP V BC COI, L.P.</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390</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OHCP V BC COI, L.P.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w:t>
            </w:r>
          </w:p>
        </w:tc>
        <w:tc>
          <w:tcPr>
            <w:tcW w:w="27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ORL Holdco, Inc.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PennantPark-TSO Senior Loan Fund II, LP </w:t>
            </w:r>
            <w:r>
              <w:rPr>
                <w:rFonts w:ascii="Times New Roman" w:hAnsi="Times New Roman"/>
                <w:color w:val="000000"/>
                <w:sz w:val="8"/>
              </w:rPr>
              <w:t>(11)</w:t>
            </w:r>
          </w:p>
        </w:tc>
        <w:tc>
          <w:tcPr>
            <w:tcW w:w="146" w:type="dxa"/>
            <w:tcBorders/>
            <w:shd w:fill="FFFFFF" w:val="clear"/>
            <w:vAlign w:val="center"/>
          </w:tcPr>
          <w:p>
            <w:pPr>
              <w:pStyle w:val="TableContents"/>
              <w:bidi w:val="0"/>
              <w:spacing w:before="0" w:after="283"/>
              <w:jc w:val="righ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12,269,640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12,485</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Pink Lily Holdco, LLC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Pragmatic Institute, LLC</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Quad (U.S.) Co-Invest, L.P.</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2,958,706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3,461</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QuantiTech InvestCo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QuantiTech InvestCo LP </w:t>
            </w:r>
            <w:r>
              <w:rPr>
                <w:rFonts w:ascii="Times New Roman" w:hAnsi="Times New Roman"/>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QuantiTech InvestCo II LP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RFMG Parent, LP</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006"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SBI Holdings Investments LLC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006"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Topco, LP</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2,372</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CR Intermediate Holdco, Inc.</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 L2 Holdings, LLC</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881,966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604</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SSC Dominion Holdings, LLC</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3,294</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006"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Class B (US Dominion, Inc.)</w:t>
            </w:r>
          </w:p>
        </w:tc>
        <w:tc>
          <w:tcPr>
            <w:tcW w:w="146" w:type="dxa"/>
            <w:tcBorders/>
            <w:shd w:fill="CCECFF" w:val="clear"/>
            <w:vAlign w:val="center"/>
          </w:tcPr>
          <w:p>
            <w:pPr>
              <w:pStyle w:val="TableContents"/>
              <w:bidi w:val="0"/>
              <w:spacing w:before="0" w:after="283"/>
              <w:jc w:val="left"/>
              <w:rPr/>
            </w:pPr>
            <w:r>
              <w:rPr/>
              <w:t> </w:t>
            </w:r>
          </w:p>
        </w:tc>
        <w:tc>
          <w:tcPr>
            <w:tcW w:w="104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StellPen Holdings, LLC</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006"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(CF512, Inc.)</w:t>
            </w:r>
          </w:p>
        </w:tc>
        <w:tc>
          <w:tcPr>
            <w:tcW w:w="146" w:type="dxa"/>
            <w:tcBorders/>
            <w:shd w:fill="CCECFF" w:val="clear"/>
            <w:vAlign w:val="center"/>
          </w:tcPr>
          <w:p>
            <w:pPr>
              <w:pStyle w:val="TableContents"/>
              <w:bidi w:val="0"/>
              <w:spacing w:before="0" w:after="283"/>
              <w:jc w:val="left"/>
              <w:rPr/>
            </w:pPr>
            <w:r>
              <w:rPr/>
              <w:t> </w:t>
            </w:r>
          </w:p>
        </w:tc>
        <w:tc>
          <w:tcPr>
            <w:tcW w:w="104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TAC LifePort Holdings, LLC </w:t>
            </w:r>
            <w:r>
              <w:rPr>
                <w:rFonts w:ascii="Times New Roman" w:hAnsi="Times New Roman"/>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405</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Tower Arch Infolinks Media, LP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536,514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Tower Arch Infolinks Media, LP </w:t>
            </w:r>
            <w:r>
              <w:rPr>
                <w:rFonts w:ascii="Times New Roman" w:hAnsi="Times New Roman"/>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00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TPC Holding Company, LP </w:t>
            </w:r>
            <w:r>
              <w:rPr>
                <w:rFonts w:ascii="Times New Roman" w:hAnsi="Times New Roman"/>
                <w:color w:val="000000"/>
                <w:sz w:val="8"/>
              </w:rPr>
              <w:t>(8). (11)</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pPr>
            <w:r>
              <w:rPr/>
              <w:t> </w:t>
            </w:r>
          </w:p>
        </w:tc>
        <w:tc>
          <w:tcPr>
            <w:tcW w:w="734"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4" w:type="dxa"/>
            <w:tcBorders/>
            <w:shd w:fill="CCECFF" w:val="clear"/>
            <w:vAlign w:val="center"/>
          </w:tcPr>
          <w:p>
            <w:pPr>
              <w:pStyle w:val="TableContents"/>
              <w:bidi w:val="0"/>
              <w:spacing w:before="0" w:after="283"/>
              <w:jc w:val="left"/>
              <w:rPr/>
            </w:pPr>
            <w:r>
              <w:rPr/>
              <w:t> </w:t>
            </w:r>
          </w:p>
        </w:tc>
        <w:tc>
          <w:tcPr>
            <w:tcW w:w="50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52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w:t>
            </w:r>
          </w:p>
        </w:tc>
        <w:tc>
          <w:tcPr>
            <w:tcW w:w="274" w:type="dxa"/>
            <w:tcBorders/>
            <w:shd w:fill="CCECFF" w:val="clear"/>
            <w:vAlign w:val="center"/>
          </w:tcPr>
          <w:p>
            <w:pPr>
              <w:pStyle w:val="TableContents"/>
              <w:bidi w:val="0"/>
              <w:spacing w:before="0" w:after="283"/>
              <w:jc w:val="left"/>
              <w:rPr/>
            </w:pPr>
            <w:r>
              <w:rPr/>
              <w:t> </w:t>
            </w:r>
          </w:p>
        </w:tc>
      </w:tr>
      <w:tr>
        <w:trPr/>
        <w:tc>
          <w:tcPr>
            <w:tcW w:w="20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TWD Parent Holdings, LLC</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006" w:type="dxa"/>
            <w:tcBorders/>
            <w:shd w:fill="CCEC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1042"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aps/>
          <w:color w:val="000000"/>
          <w:sz w:val="16"/>
        </w:rPr>
      </w:pPr>
      <w:r>
        <w:rPr>
          <w:rFonts w:ascii="Times New Roman" w:hAnsi="Times New Roman"/>
          <w:b/>
          <w:caps/>
          <w:color w:val="000000"/>
          <w:sz w:val="16"/>
        </w:rPr>
        <w:t>September 30,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71"/>
        <w:gridCol w:w="146"/>
        <w:gridCol w:w="268"/>
        <w:gridCol w:w="638"/>
        <w:gridCol w:w="146"/>
        <w:gridCol w:w="146"/>
        <w:gridCol w:w="1262"/>
        <w:gridCol w:w="146"/>
        <w:gridCol w:w="151"/>
        <w:gridCol w:w="390"/>
        <w:gridCol w:w="211"/>
        <w:gridCol w:w="146"/>
        <w:gridCol w:w="235"/>
        <w:gridCol w:w="467"/>
        <w:gridCol w:w="146"/>
        <w:gridCol w:w="146"/>
        <w:gridCol w:w="166"/>
        <w:gridCol w:w="646"/>
        <w:gridCol w:w="146"/>
        <w:gridCol w:w="146"/>
        <w:gridCol w:w="166"/>
        <w:gridCol w:w="586"/>
        <w:gridCol w:w="146"/>
        <w:gridCol w:w="146"/>
        <w:gridCol w:w="169"/>
        <w:gridCol w:w="599"/>
        <w:gridCol w:w="274"/>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color w:val="000000"/>
                <w:sz w:val="12"/>
              </w:rPr>
              <w:t>Basis Point</w:t>
              <w:br/>
              <w:t> Spread Above</w:t>
              <w:br/>
              <w:t xml:space="preserve"> Index </w:t>
            </w:r>
            <w:r>
              <w:rPr>
                <w:rFonts w:ascii="Times New Roman" w:hAnsi="Times New Roman"/>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UniVista Insurance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Partners Co., L.P.</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1,044</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WCP Ivyrehab (QP) CF Feeder, LP </w:t>
            </w:r>
            <w:r>
              <w:rPr>
                <w:rFonts w:ascii="Times New Roman" w:hAnsi="Times New Roman"/>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3,715,012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4,319</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WCP Ivyrehab QP CF Feeder, LP - Unfunded </w:t>
            </w:r>
            <w:r>
              <w:rPr>
                <w:rFonts w:ascii="Times New Roman" w:hAnsi="Times New Roman"/>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Parent, LP</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371" w:type="dxa"/>
            <w:tcBorders/>
            <w:shd w:fill="FFFFFF" w:val="clear"/>
            <w:vAlign w:val="center"/>
          </w:tcPr>
          <w:p>
            <w:pPr>
              <w:pStyle w:val="TableContents"/>
              <w:bidi w:val="0"/>
              <w:spacing w:before="0" w:after="283"/>
              <w:ind w:left="80" w:right="0" w:firstLine="80"/>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Equity/Partnership Interests/Warrants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95,037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115,477</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Non-Affiliated Portfolio Companies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816,754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830,808</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5" w:type="dxa"/>
            <w:gridSpan w:val="6"/>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Affiliated Portfolio Companies—10.9% of Net Assets </w:t>
            </w:r>
            <w:r>
              <w:rPr>
                <w:rFonts w:ascii="Times New Roman" w:hAnsi="Times New Roman"/>
                <w:b/>
                <w:color w:val="000000"/>
                <w:sz w:val="8"/>
              </w:rPr>
              <w:t>(1), (2)</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Debt—2.1%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Home and Office Furnishings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7,043</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Unfunded Term Loan</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 Company LLC - Junior Revolver</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Home and Office Furnishings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1M SOFR+685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3,333</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10,376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Preferred Equity/Partnership Interests—6.4% of Net Assets</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Cascade Environmental Holdings, LLC</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5,887,236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31,032</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Cascade Environmental Holdings, LLC - Series B</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1,073</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Equity/Partnership Interests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32,105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Equity/Partnership Interests/Warrants—2.4% of Net Assets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Cascade Environmental Holdings, LLC</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7,444,347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JF Intermediate, LLC</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8,759</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Walker Edison Furniture</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Equity/Partnership Interests/Warrants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12,290</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Affiliated Portfolio Companies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54,771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Controlled, Affiliated Portfolio Companies—43.0% of Net Assets </w:t>
            </w:r>
            <w:r>
              <w:rPr>
                <w:rFonts w:ascii="Times New Roman" w:hAnsi="Times New Roman"/>
                <w:b/>
                <w:color w:val="000000"/>
                <w:sz w:val="8"/>
              </w:rPr>
              <w:t>(1), (2)</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Debt—9.8%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AKW Holdings Limited </w:t>
            </w:r>
            <w:r>
              <w:rPr>
                <w:rFonts w:ascii="Times New Roman" w:hAnsi="Times New Roman"/>
                <w:color w:val="000000"/>
                <w:sz w:val="8"/>
              </w:rPr>
              <w:t>(8), (10), (11)</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SONIA+700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55,388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49,275</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49,275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Debt—0.0% of Net Assets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Mailsouth Inc. </w:t>
            </w:r>
            <w:r>
              <w:rPr>
                <w:rFonts w:ascii="Times New Roman" w:hAnsi="Times New Roman"/>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04/23/2025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Printing and Publishing</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12,383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Debt—20.4%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 Senior Loan Fund, LLC </w:t>
            </w:r>
            <w:r>
              <w:rPr>
                <w:rFonts w:ascii="Times New Roman" w:hAnsi="Times New Roman"/>
                <w:color w:val="000000"/>
                <w:sz w:val="8"/>
              </w:rPr>
              <w:t>(11)</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CCECFF" w:val="clear"/>
            <w:vAlign w:val="center"/>
          </w:tcPr>
          <w:p>
            <w:pPr>
              <w:pStyle w:val="TableContents"/>
              <w:bidi w:val="0"/>
              <w:spacing w:before="0" w:after="283"/>
              <w:jc w:val="center"/>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3M SOFR+800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102,325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Equity—12.8% of Net Assets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AKW Holdings Limited </w:t>
            </w:r>
            <w:r>
              <w:rPr>
                <w:rFonts w:ascii="Times New Roman" w:hAnsi="Times New Roman"/>
                <w:color w:val="000000"/>
                <w:sz w:val="8"/>
              </w:rPr>
              <w:t>(8), (10), (11)</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2,385</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MSpark, LLC</w:t>
            </w:r>
          </w:p>
        </w:tc>
        <w:tc>
          <w:tcPr>
            <w:tcW w:w="146" w:type="dxa"/>
            <w:tcBorders/>
            <w:shd w:fill="CCECFF" w:val="clear"/>
            <w:vAlign w:val="center"/>
          </w:tcPr>
          <w:p>
            <w:pPr>
              <w:pStyle w:val="TableContents"/>
              <w:bidi w:val="0"/>
              <w:spacing w:before="0" w:after="283"/>
              <w:jc w:val="righ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262"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Printing and Publishing</w:t>
            </w:r>
          </w:p>
        </w:tc>
        <w:tc>
          <w:tcPr>
            <w:tcW w:w="146" w:type="dxa"/>
            <w:tcBorders/>
            <w:shd w:fill="CCECFF" w:val="clear"/>
            <w:vAlign w:val="center"/>
          </w:tcPr>
          <w:p>
            <w:pPr>
              <w:pStyle w:val="TableContents"/>
              <w:bidi w:val="0"/>
              <w:spacing w:before="0" w:after="283"/>
              <w:jc w:val="center"/>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pPr>
            <w:r>
              <w:rPr/>
              <w:t> </w:t>
            </w:r>
          </w:p>
        </w:tc>
        <w:tc>
          <w:tcPr>
            <w:tcW w:w="46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PennantPark Senior Loan Fund, LLC </w:t>
            </w:r>
            <w:r>
              <w:rPr>
                <w:rFonts w:ascii="Times New Roman" w:hAnsi="Times New Roman"/>
                <w:color w:val="000000"/>
                <w:sz w:val="8"/>
              </w:rPr>
              <w:t>(11)</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58,580,060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62,083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75,290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64,468</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216,068</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Investments—219.4% of Net Assets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1,117,927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1,101,647</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Equivalents—7.7%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right"/>
              <w:rPr/>
            </w:pPr>
            <w:r>
              <w:rPr/>
              <w:t> </w:t>
            </w:r>
          </w:p>
        </w:tc>
        <w:tc>
          <w:tcPr>
            <w:tcW w:w="906"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262"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24,683</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Non-Money Market Cash</w:t>
            </w:r>
          </w:p>
        </w:tc>
        <w:tc>
          <w:tcPr>
            <w:tcW w:w="146" w:type="dxa"/>
            <w:tcBorders/>
            <w:shd w:fill="FFFFFF" w:val="clear"/>
            <w:vAlign w:val="center"/>
          </w:tcPr>
          <w:p>
            <w:pPr>
              <w:pStyle w:val="TableContents"/>
              <w:bidi w:val="0"/>
              <w:spacing w:before="0" w:after="283"/>
              <w:jc w:val="right"/>
              <w:rPr/>
            </w:pPr>
            <w:r>
              <w:rPr/>
              <w:t> </w:t>
            </w:r>
          </w:p>
        </w:tc>
        <w:tc>
          <w:tcPr>
            <w:tcW w:w="9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14,092</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38,784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38,775</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Equivalents—227.1%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1,156,711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1,140,422</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Assets—(127.1%) of Net Assets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(638,235</w:t>
            </w:r>
          </w:p>
        </w:tc>
        <w:tc>
          <w:tcPr>
            <w:tcW w:w="27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Assets—100.0%</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502,187</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3"/>
        </w:rPr>
      </w:pPr>
      <w:r>
        <w:rPr>
          <w:rFonts w:ascii="Times New Roman" w:hAnsi="Times New Roman"/>
          <w:color w:val="000000"/>
          <w:sz w:val="13"/>
        </w:rPr>
        <w:t>(1)</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(2)</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(3)</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Valued based on our accounting policy (See Note 2).</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(4)</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Represents floating rate instruments that accrue interest at a predetermined spread relative to an index, typically the applicable Secured Overnight Financing Rate, or “SOFR”, or Prime rate, or “P, or</w:t>
        <w:br/>
        <w:t>Sterling Overnight Index Average, or “SONIA.” The spread may change based on the type of rate used. The terms in the Schedule of Investments disclose the actual interest rate in effect as of the reporting</w:t>
        <w:br/>
        <w:t>period. SOFR loans are typically indexed to a 30-day, 90-day or 180-day SOFR rates (1M S, 3M S, or 6M S, respectively) at the borrower’s option. SONIA loans are typically indexed daily for GBP loans</w:t>
        <w:br/>
        <w:t>with a quarterly frequency payment. All securities are subject to a SOFR or Prime rate floor where a spread is provided, unless noted. The spread provided includes PIK interest and other fee rates, if any.</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(5)</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The security was not valued using significant unobservable inputs. The value of all other securities was determined using significant unobservable inputs (See Note 5).</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(6)</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Non-income producing securities.</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(7)</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(8)</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Non-U.S. company or principal place of business outside the United States.</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(9)</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Investment is held through our Taxable Subsidiary (See Note 1).</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(10)</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Par / Shares amount is denominated in British Pounds (£) as denoted.</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(11)</w:t>
      </w:r>
    </w:p>
    <w:p>
      <w:pPr>
        <w:pStyle w:val="TextBody"/>
        <w:bidi w:val="0"/>
        <w:spacing w:before="40" w:after="283"/>
        <w:jc w:val="left"/>
        <w:rPr>
          <w:rFonts w:ascii="Times New Roman" w:hAnsi="Times New Roman"/>
          <w:color w:val="000000"/>
          <w:sz w:val="13"/>
        </w:rPr>
      </w:pPr>
      <w:r>
        <w:rPr>
          <w:rFonts w:ascii="Times New Roman" w:hAnsi="Times New Roman"/>
          <w:color w:val="000000"/>
          <w:sz w:val="13"/>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93% of the Company’s total assets and non-qualifying assets represent 7% of the Company’s total assets.</w:t>
      </w:r>
    </w:p>
    <w:p>
      <w:pPr>
        <w:pStyle w:val="TextBody"/>
        <w:bidi w:val="0"/>
        <w:jc w:val="center"/>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sz w:val="20"/>
        </w:rPr>
      </w:pPr>
      <w:bookmarkStart w:id="10" w:name="notes_to_consolidated_financial"/>
      <w:bookmarkEnd w:id="10"/>
      <w:r>
        <w:rPr>
          <w:rFonts w:ascii="Times New Roman" w:hAnsi="Times New Roman"/>
          <w:b/>
          <w:color w:val="000000"/>
          <w:sz w:val="16"/>
        </w:rPr>
        <w:t>NOTES TO CONSOLIDATED FINANCIAL STATEMENTS</w:t>
      </w:r>
      <w:r>
        <w:rPr>
          <w:rFonts w:ascii="Times New Roman" w:hAnsi="Times New Roman"/>
          <w:color w:val="000000"/>
          <w:sz w:val="20"/>
        </w:rPr>
        <w:t xml:space="preserve"> </w:t>
      </w:r>
      <w:r>
        <w:rPr>
          <w:rFonts w:ascii="Times New Roman" w:hAnsi="Times New Roman"/>
          <w:b/>
          <w:color w:val="000000"/>
          <w:sz w:val="16"/>
        </w:rPr>
        <w:t>(Unaudited)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1. ORGANIZATION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have entered into an investment management agreement, (the "Investment Management Agreement"), with PennantPark Investment Advisors, LLC (the "Investment Adviser"), an external adviser that manages our day-to-day operations. We have also entered into an administration agreement, (the "Administration Agreement"), with PennantPark Investment Administrator LLC (the "Administrator"), which provides the administrative services necessary for us to operate. PennantPark Investment, through the Administrator, also provides similar services to SBIC II under a separate administration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On July 31, 2020, we and certain entities and managed accounts of the private credit investment manager of Pantheon Ventures (UK) LLP, or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was deconsolidated from our financial statements. PSLF invests primarily in middle-market and other corporate debt securities consistent with our strategy. PSLF was formed as a Delaware limited liability company. See Note 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April 2021, we issued $150.0</w:t>
      </w:r>
      <w:r>
        <w:rPr>
          <w:rFonts w:ascii="Times New Roman" w:hAnsi="Times New Roman"/>
          <w:color w:val="000000"/>
          <w:sz w:val="20"/>
        </w:rPr>
        <w:t xml:space="preserve"> </w:t>
      </w:r>
      <w:r>
        <w:rPr>
          <w:rFonts w:ascii="Times New Roman" w:hAnsi="Times New Roman"/>
          <w:color w:val="000000"/>
          <w:sz w:val="16"/>
        </w:rPr>
        <w:t>million in aggregate principal amount of our 2026 Notes at a public offering price per note of 99.4%. Interest on the 2026 Notes is</w:t>
      </w:r>
    </w:p>
    <w:p>
      <w:pPr>
        <w:pStyle w:val="TextBody"/>
        <w:bidi w:val="0"/>
        <w:jc w:val="both"/>
        <w:rPr>
          <w:rFonts w:ascii="Times New Roman" w:hAnsi="Times New Roman"/>
          <w:sz w:val="20"/>
        </w:rPr>
      </w:pPr>
      <w:r>
        <w:rPr>
          <w:rFonts w:ascii="Times New Roman" w:hAnsi="Times New Roman"/>
          <w:color w:val="000000"/>
          <w:sz w:val="16"/>
        </w:rPr>
        <w:t>paid semi-annually</w:t>
      </w:r>
      <w:r>
        <w:rPr>
          <w:rFonts w:ascii="Times New Roman" w:hAnsi="Times New Roman"/>
          <w:color w:val="000000"/>
          <w:sz w:val="20"/>
        </w:rPr>
        <w:t xml:space="preserve"> </w:t>
      </w:r>
      <w:r>
        <w:rPr>
          <w:rFonts w:ascii="Times New Roman" w:hAnsi="Times New Roman"/>
          <w:color w:val="000000"/>
          <w:sz w:val="16"/>
        </w:rPr>
        <w:t>on May 1 and November 1 of each year, at a rate of 4.50% per year, commencing November 1, 2021. The 2026 Notes mature on May 1, 2026</w:t>
      </w:r>
      <w:r>
        <w:rPr>
          <w:rFonts w:ascii="Times New Roman" w:hAnsi="Times New Roman"/>
          <w:color w:val="000000"/>
          <w:sz w:val="20"/>
        </w:rPr>
        <w:t xml:space="preserve"> </w:t>
      </w:r>
      <w:r>
        <w:rPr>
          <w:rFonts w:ascii="Times New Roman" w:hAnsi="Times New Roman"/>
          <w:color w:val="000000"/>
          <w:sz w:val="16"/>
        </w:rPr>
        <w:t>and may</w:t>
      </w:r>
    </w:p>
    <w:p>
      <w:pPr>
        <w:pStyle w:val="TextBody"/>
        <w:bidi w:val="0"/>
        <w:jc w:val="both"/>
        <w:rPr>
          <w:rFonts w:ascii="Times New Roman" w:hAnsi="Times New Roman"/>
          <w:color w:val="000000"/>
          <w:sz w:val="16"/>
        </w:rPr>
      </w:pPr>
      <w:r>
        <w:rPr>
          <w:rFonts w:ascii="Times New Roman" w:hAnsi="Times New Roman"/>
          <w:color w:val="000000"/>
          <w:sz w:val="16"/>
        </w:rPr>
        <w:t>be redeemed in whole or in part at our option subject to a make-whole premium if redeemed more than three months prior to maturity. The 2026 Notes are general,</w:t>
      </w:r>
    </w:p>
    <w:p>
      <w:pPr>
        <w:pStyle w:val="TextBody"/>
        <w:bidi w:val="0"/>
        <w:jc w:val="both"/>
        <w:rPr>
          <w:rFonts w:ascii="Times New Roman" w:hAnsi="Times New Roman"/>
          <w:color w:val="000000"/>
          <w:sz w:val="16"/>
        </w:rPr>
      </w:pPr>
      <w:r>
        <w:rPr>
          <w:rFonts w:ascii="Times New Roman" w:hAnsi="Times New Roman"/>
          <w:color w:val="000000"/>
          <w:sz w:val="16"/>
        </w:rPr>
        <w:t>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October 2021, we issued $165.0</w:t>
      </w:r>
      <w:r>
        <w:rPr>
          <w:rFonts w:ascii="Times New Roman" w:hAnsi="Times New Roman"/>
          <w:color w:val="000000"/>
          <w:sz w:val="20"/>
        </w:rPr>
        <w:t xml:space="preserve"> </w:t>
      </w:r>
      <w:r>
        <w:rPr>
          <w:rFonts w:ascii="Times New Roman" w:hAnsi="Times New Roman"/>
          <w:color w:val="000000"/>
          <w:sz w:val="16"/>
        </w:rPr>
        <w:t>million in aggregate principal amount of our 2026 Notes-2 at a public offering price per note of 99.436%. Interest on the 2026</w:t>
      </w:r>
    </w:p>
    <w:p>
      <w:pPr>
        <w:pStyle w:val="TextBody"/>
        <w:bidi w:val="0"/>
        <w:jc w:val="both"/>
        <w:rPr>
          <w:rFonts w:ascii="Times New Roman" w:hAnsi="Times New Roman"/>
          <w:sz w:val="20"/>
        </w:rPr>
      </w:pPr>
      <w:r>
        <w:rPr>
          <w:rFonts w:ascii="Times New Roman" w:hAnsi="Times New Roman"/>
          <w:color w:val="000000"/>
          <w:sz w:val="16"/>
        </w:rPr>
        <w:t>Notes is paid semi-annually</w:t>
      </w:r>
      <w:r>
        <w:rPr>
          <w:rFonts w:ascii="Times New Roman" w:hAnsi="Times New Roman"/>
          <w:color w:val="000000"/>
          <w:sz w:val="20"/>
        </w:rPr>
        <w:t xml:space="preserve"> </w:t>
      </w:r>
      <w:r>
        <w:rPr>
          <w:rFonts w:ascii="Times New Roman" w:hAnsi="Times New Roman"/>
          <w:color w:val="000000"/>
          <w:sz w:val="16"/>
        </w:rPr>
        <w:t>on May 1 and November 1 of each year, at a rate of 4.00% per year, commencing May 1, 2022. The 2026 Notes-2 mature on November 1, 2026</w:t>
      </w:r>
      <w:r>
        <w:rPr>
          <w:rFonts w:ascii="Times New Roman" w:hAnsi="Times New Roman"/>
          <w:color w:val="000000"/>
          <w:sz w:val="20"/>
        </w:rPr>
        <w:t xml:space="preserve"> </w:t>
      </w:r>
      <w:r>
        <w:rPr>
          <w:rFonts w:ascii="Times New Roman" w:hAnsi="Times New Roman"/>
          <w:color w:val="000000"/>
          <w:sz w:val="16"/>
        </w:rPr>
        <w:t>and may be redeemed in whole or in part at our option subject to a make-whole premium if redeemed more than three months prior to maturity. The 2026 Notes-2 are</w:t>
      </w:r>
    </w:p>
    <w:p>
      <w:pPr>
        <w:pStyle w:val="TextBody"/>
        <w:bidi w:val="0"/>
        <w:jc w:val="both"/>
        <w:rPr>
          <w:rFonts w:ascii="Times New Roman" w:hAnsi="Times New Roman"/>
          <w:color w:val="000000"/>
          <w:sz w:val="16"/>
        </w:rPr>
      </w:pPr>
      <w:r>
        <w:rPr>
          <w:rFonts w:ascii="Times New Roman" w:hAnsi="Times New Roman"/>
          <w:color w:val="000000"/>
          <w:sz w:val="16"/>
        </w:rPr>
        <w:t>general, unsecured obligations and rank equal in right of payment with all of our existing and future senior unsecured indebtedness. The 2026 Notes-2 are effectively</w:t>
      </w:r>
    </w:p>
    <w:p>
      <w:pPr>
        <w:pStyle w:val="TextBody"/>
        <w:bidi w:val="0"/>
        <w:jc w:val="both"/>
        <w:rPr>
          <w:rFonts w:ascii="Times New Roman" w:hAnsi="Times New Roman"/>
          <w:color w:val="000000"/>
          <w:sz w:val="16"/>
        </w:rPr>
      </w:pPr>
      <w:r>
        <w:rPr>
          <w:rFonts w:ascii="Times New Roman" w:hAnsi="Times New Roman"/>
          <w:color w:val="000000"/>
          <w:sz w:val="16"/>
        </w:rPr>
        <w:t>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have formed the Taxable Subsidiary, which is subject to tax as a corporation. The Taxable Subsidiary allows us to hold equity securities of certain portfolio companies treated as pass-through entities for federal income tax purposes while facilitating our ability to qualify as a RIC under the Code.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January 2022, we formed PennantPark-TSO Senior Loan Fund II LP, ("PTSF II"), an unconsolidated limited partnership, organized as a Delaware limited partnership. We sold $82.3</w:t>
      </w:r>
      <w:r>
        <w:rPr>
          <w:rFonts w:ascii="Times New Roman" w:hAnsi="Times New Roman"/>
          <w:color w:val="000000"/>
          <w:sz w:val="20"/>
        </w:rPr>
        <w:t xml:space="preserve"> </w:t>
      </w:r>
      <w:r>
        <w:rPr>
          <w:rFonts w:ascii="Times New Roman" w:hAnsi="Times New Roman"/>
          <w:color w:val="000000"/>
          <w:sz w:val="16"/>
        </w:rPr>
        <w:t>million in investments to a wholly-owned subsidiary of PTSF II in exchange for cash in the amount of $75.7</w:t>
      </w:r>
      <w:r>
        <w:rPr>
          <w:rFonts w:ascii="Times New Roman" w:hAnsi="Times New Roman"/>
          <w:color w:val="000000"/>
          <w:sz w:val="20"/>
        </w:rPr>
        <w:t xml:space="preserve"> </w:t>
      </w:r>
      <w:r>
        <w:rPr>
          <w:rFonts w:ascii="Times New Roman" w:hAnsi="Times New Roman"/>
          <w:color w:val="000000"/>
          <w:sz w:val="16"/>
        </w:rPr>
        <w:t>million and an $6.6</w:t>
      </w:r>
      <w:r>
        <w:rPr>
          <w:rFonts w:ascii="Times New Roman" w:hAnsi="Times New Roman"/>
          <w:color w:val="000000"/>
          <w:sz w:val="20"/>
        </w:rPr>
        <w:t xml:space="preserve"> </w:t>
      </w:r>
      <w:r>
        <w:rPr>
          <w:rFonts w:ascii="Times New Roman" w:hAnsi="Times New Roman"/>
          <w:color w:val="000000"/>
          <w:sz w:val="16"/>
        </w:rPr>
        <w:t>million equity interest in PTSF II representing 23.1% of the total outstanding Class A Units of PTSF II. We recognized $0.2</w:t>
      </w:r>
      <w:r>
        <w:rPr>
          <w:rFonts w:ascii="Times New Roman" w:hAnsi="Times New Roman"/>
          <w:color w:val="000000"/>
          <w:sz w:val="20"/>
        </w:rPr>
        <w:t xml:space="preserve"> </w:t>
      </w:r>
      <w:r>
        <w:rPr>
          <w:rFonts w:ascii="Times New Roman" w:hAnsi="Times New Roman"/>
          <w:color w:val="000000"/>
          <w:sz w:val="16"/>
        </w:rPr>
        <w:t>million of realized gain upon the formation of PTSF II. As of December 31, 2023, our capital commitment of $15.0</w:t>
      </w:r>
      <w:r>
        <w:rPr>
          <w:rFonts w:ascii="Times New Roman" w:hAnsi="Times New Roman"/>
          <w:color w:val="000000"/>
          <w:sz w:val="20"/>
        </w:rPr>
        <w:t xml:space="preserve"> </w:t>
      </w:r>
      <w:r>
        <w:rPr>
          <w:rFonts w:ascii="Times New Roman" w:hAnsi="Times New Roman"/>
          <w:color w:val="000000"/>
          <w:sz w:val="16"/>
        </w:rPr>
        <w:t>million is 100% funded and we hold 23.1% of the total outstanding Class A Units of PTSF II and a 4.99% voting interest in the general partner which manages PTSF II.</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2. SIGNIFICANT ACCOUNTING POLICIES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Restatement of Previously Issued Financial Statement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PSLF and PTSF II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December 31, 2022, and the impact of the error correction is reflected on the consolidated statement of cash flows for the three months ended December 31, 2022 as an increase to cash and cash equivalents, beginning of period totaling $2.1</w:t>
      </w:r>
      <w:r>
        <w:rPr>
          <w:rFonts w:ascii="Times New Roman" w:hAnsi="Times New Roman"/>
          <w:color w:val="000000"/>
          <w:sz w:val="20"/>
        </w:rPr>
        <w:t xml:space="preserve"> </w:t>
      </w:r>
      <w:r>
        <w:rPr>
          <w:rFonts w:ascii="Times New Roman" w:hAnsi="Times New Roman"/>
          <w:color w:val="000000"/>
          <w:sz w:val="16"/>
        </w:rPr>
        <w:t>million, an increase to cash and cash equivalents, end of period totaling $2.2</w:t>
      </w:r>
      <w:r>
        <w:rPr>
          <w:rFonts w:ascii="Times New Roman" w:hAnsi="Times New Roman"/>
          <w:color w:val="000000"/>
          <w:sz w:val="20"/>
        </w:rPr>
        <w:t xml:space="preserve"> </w:t>
      </w:r>
      <w:r>
        <w:rPr>
          <w:rFonts w:ascii="Times New Roman" w:hAnsi="Times New Roman"/>
          <w:color w:val="000000"/>
          <w:sz w:val="16"/>
        </w:rPr>
        <w:t>million, and increase in due to affiliates of $0.04</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p>
    <w:p>
      <w:pPr>
        <w:pStyle w:val="TextBody"/>
        <w:bidi w:val="0"/>
        <w:jc w:val="both"/>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There was no impact from the error correction to total net assets and net asset value per share as reported on the consolidated statement of assets and liabilities as of December 31, 2022. In addition, there was no impact from the error correction on net investment income or net increase (decrease) in net assets resulting from operations in total or on a per common share basis as reported on the consolidated statements of operations for the three months ended December 31, 2022. The corrections related to the prior year comparative cash flow statement amounts were reported in the quarter ended December 31, 2023.</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significant accounting policies consistently applied are as follows:</w:t>
      </w:r>
    </w:p>
    <w:p>
      <w:pPr>
        <w:pStyle w:val="TextBody"/>
        <w:bidi w:val="0"/>
        <w:jc w:val="left"/>
        <w:rPr/>
      </w:pPr>
      <w:r>
        <w:rPr/>
        <w:t> </w:t>
      </w:r>
    </w:p>
    <w:p>
      <w:pPr>
        <w:pStyle w:val="TextBody"/>
        <w:bidi w:val="0"/>
        <w:spacing w:before="0" w:after="0"/>
        <w:jc w:val="left"/>
        <w:rPr>
          <w:rFonts w:ascii="Times New Roman" w:hAnsi="Times New Roman"/>
          <w:b/>
          <w:i/>
          <w:color w:val="000000"/>
          <w:sz w:val="16"/>
        </w:rPr>
      </w:pPr>
      <w:r>
        <w:rPr>
          <w:rFonts w:ascii="Times New Roman" w:hAnsi="Times New Roman"/>
          <w:b/>
          <w:i/>
          <w:color w:val="000000"/>
          <w:sz w:val="16"/>
        </w:rPr>
        <w:t>(a)</w:t>
      </w:r>
    </w:p>
    <w:p>
      <w:pPr>
        <w:pStyle w:val="TextBody"/>
        <w:bidi w:val="0"/>
        <w:jc w:val="left"/>
        <w:rPr>
          <w:rFonts w:ascii="Times New Roman" w:hAnsi="Times New Roman"/>
          <w:b/>
          <w:i/>
          <w:color w:val="000000"/>
          <w:sz w:val="16"/>
        </w:rPr>
      </w:pPr>
      <w:r>
        <w:rPr>
          <w:rFonts w:ascii="Times New Roman" w:hAnsi="Times New Roman"/>
          <w:b/>
          <w:i/>
          <w:color w:val="000000"/>
          <w:sz w:val="16"/>
        </w:rPr>
        <w:t>Investment Valuations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Our quarterly valuation process begins with each portfolio company or investment being initially valued by the investment professionals of the Investment Adviser responsible for the portfolio investment;</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 xml:space="preserve">Preliminary valuation conclusions are then documented and discussed with the management of the Investment Adviser;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Our board of directors discusses these valuations and determines the fair value of each investment in our portfolio in good faith, based on the input of our Investment Adviser, the respective independent valuation firms and the audit 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i/>
          <w:color w:val="000000"/>
          <w:sz w:val="16"/>
        </w:rPr>
      </w:pPr>
      <w:r>
        <w:rPr>
          <w:rFonts w:ascii="Times New Roman" w:hAnsi="Times New Roman"/>
          <w:b/>
          <w:i/>
          <w:color w:val="000000"/>
          <w:sz w:val="16"/>
        </w:rPr>
        <w:t>(b)</w:t>
      </w:r>
    </w:p>
    <w:p>
      <w:pPr>
        <w:pStyle w:val="TextBody"/>
        <w:bidi w:val="0"/>
        <w:jc w:val="left"/>
        <w:rPr>
          <w:rFonts w:ascii="Times New Roman" w:hAnsi="Times New Roman"/>
          <w:b/>
          <w:i/>
          <w:color w:val="000000"/>
          <w:sz w:val="16"/>
        </w:rPr>
      </w:pPr>
      <w:r>
        <w:rPr>
          <w:rFonts w:ascii="Times New Roman" w:hAnsi="Times New Roman"/>
          <w:b/>
          <w:i/>
          <w:color w:val="000000"/>
          <w:sz w:val="16"/>
        </w:rPr>
        <w:t>Security Transactions, Revenue Recognition, and Realized/Unrealized Gains or Losses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recurring in nature. Such fees include loan prepayment penalties, structuring fees, amendment fees, and agency fees and are recorded as other investment income when earned.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2023, we had one</w:t>
      </w:r>
      <w:r>
        <w:rPr>
          <w:rFonts w:ascii="Times New Roman" w:hAnsi="Times New Roman"/>
          <w:color w:val="000000"/>
          <w:sz w:val="20"/>
        </w:rPr>
        <w:t xml:space="preserve"> </w:t>
      </w:r>
      <w:r>
        <w:rPr>
          <w:rFonts w:ascii="Times New Roman" w:hAnsi="Times New Roman"/>
          <w:color w:val="000000"/>
          <w:sz w:val="16"/>
        </w:rPr>
        <w:t>portfolio companies on non-accrual, representing</w:t>
      </w:r>
      <w:r>
        <w:rPr>
          <w:rFonts w:ascii="Times New Roman" w:hAnsi="Times New Roman"/>
          <w:color w:val="000000"/>
          <w:sz w:val="20"/>
        </w:rPr>
        <w:t xml:space="preserve"> </w:t>
      </w:r>
      <w:r>
        <w:rPr>
          <w:rFonts w:ascii="Times New Roman" w:hAnsi="Times New Roman"/>
          <w:color w:val="000000"/>
          <w:sz w:val="16"/>
        </w:rPr>
        <w:t>1.0% and zero</w:t>
      </w:r>
      <w:r>
        <w:rPr>
          <w:rFonts w:ascii="Times New Roman" w:hAnsi="Times New Roman"/>
          <w:color w:val="000000"/>
          <w:sz w:val="20"/>
        </w:rPr>
        <w:t xml:space="preserve"> </w:t>
      </w:r>
      <w:r>
        <w:rPr>
          <w:rFonts w:ascii="Times New Roman" w:hAnsi="Times New Roman"/>
          <w:color w:val="000000"/>
          <w:sz w:val="16"/>
        </w:rPr>
        <w:t>percent of overall portfolio on a cost and fair value basis, respectively. As of September 30, 2023, we had one</w:t>
      </w:r>
      <w:r>
        <w:rPr>
          <w:rFonts w:ascii="Times New Roman" w:hAnsi="Times New Roman"/>
          <w:color w:val="000000"/>
          <w:sz w:val="20"/>
        </w:rPr>
        <w:t xml:space="preserve"> </w:t>
      </w:r>
      <w:r>
        <w:rPr>
          <w:rFonts w:ascii="Times New Roman" w:hAnsi="Times New Roman"/>
          <w:color w:val="000000"/>
          <w:sz w:val="16"/>
        </w:rPr>
        <w:t>portfolio company on non-accrual, representing 1.2% and zero</w:t>
      </w:r>
      <w:r>
        <w:rPr>
          <w:rFonts w:ascii="Times New Roman" w:hAnsi="Times New Roman"/>
          <w:color w:val="000000"/>
          <w:sz w:val="20"/>
        </w:rPr>
        <w:t xml:space="preserve"> </w:t>
      </w:r>
      <w:r>
        <w:rPr>
          <w:rFonts w:ascii="Times New Roman" w:hAnsi="Times New Roman"/>
          <w:color w:val="000000"/>
          <w:sz w:val="16"/>
        </w:rPr>
        <w:t>percent of our overall portfolio on a cost and fair value basis, respectively.</w:t>
      </w:r>
    </w:p>
    <w:p>
      <w:pPr>
        <w:pStyle w:val="TextBody"/>
        <w:bidi w:val="0"/>
        <w:jc w:val="left"/>
        <w:rPr/>
      </w:pPr>
      <w:r>
        <w:rPr/>
        <w:t> </w:t>
      </w:r>
    </w:p>
    <w:p>
      <w:pPr>
        <w:pStyle w:val="TextBody"/>
        <w:bidi w:val="0"/>
        <w:spacing w:before="0" w:after="0"/>
        <w:jc w:val="left"/>
        <w:rPr>
          <w:rFonts w:ascii="Times New Roman" w:hAnsi="Times New Roman"/>
          <w:b/>
          <w:i/>
          <w:color w:val="000000"/>
          <w:sz w:val="16"/>
        </w:rPr>
      </w:pPr>
      <w:r>
        <w:rPr>
          <w:rFonts w:ascii="Times New Roman" w:hAnsi="Times New Roman"/>
          <w:b/>
          <w:i/>
          <w:color w:val="000000"/>
          <w:sz w:val="16"/>
        </w:rPr>
        <w:t>(c)</w:t>
      </w:r>
    </w:p>
    <w:p>
      <w:pPr>
        <w:pStyle w:val="TextBody"/>
        <w:bidi w:val="0"/>
        <w:jc w:val="left"/>
        <w:rPr>
          <w:rFonts w:ascii="Times New Roman" w:hAnsi="Times New Roman"/>
          <w:b/>
          <w:i/>
          <w:color w:val="000000"/>
          <w:sz w:val="16"/>
        </w:rPr>
      </w:pPr>
      <w:r>
        <w:rPr>
          <w:rFonts w:ascii="Times New Roman" w:hAnsi="Times New Roman"/>
          <w:b/>
          <w:i/>
          <w:color w:val="000000"/>
          <w:sz w:val="16"/>
        </w:rPr>
        <w:t>Income Taxes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months ended December 31, 2023 and 2022, we recorded a provision for taxes on net investment income of $0.4</w:t>
      </w:r>
      <w:r>
        <w:rPr>
          <w:rFonts w:ascii="Times New Roman" w:hAnsi="Times New Roman"/>
          <w:color w:val="000000"/>
          <w:sz w:val="20"/>
        </w:rPr>
        <w:t xml:space="preserve"> </w:t>
      </w:r>
      <w:r>
        <w:rPr>
          <w:rFonts w:ascii="Times New Roman" w:hAnsi="Times New Roman"/>
          <w:color w:val="000000"/>
          <w:sz w:val="16"/>
        </w:rPr>
        <w:t>million and $2.0</w:t>
      </w:r>
      <w:r>
        <w:rPr>
          <w:rFonts w:ascii="Times New Roman" w:hAnsi="Times New Roman"/>
          <w:color w:val="000000"/>
          <w:sz w:val="20"/>
        </w:rPr>
        <w:t xml:space="preserve"> </w:t>
      </w:r>
      <w:r>
        <w:rPr>
          <w:rFonts w:ascii="Times New Roman" w:hAnsi="Times New Roman"/>
          <w:color w:val="000000"/>
          <w:sz w:val="16"/>
        </w:rPr>
        <w:t>million respectively, which pertains to U.S. federal excise tax.</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 Taxable Subsidiary (PNNT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the Company recognized a provision for taxes of zero, respectively, on net realized gain (loss) on investments by the Taxable Subsidiary. For the three months ended December 31, 2023 and 2022, the Company recognized a provision for taxes of $(0.2) million and $(0.9) million, respectively,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2024 and (ii) the expected tax benefit resulting from the use of loss carryforwards to offset such gains. As of December 31, 2023 and September 30, 2023, the Company recognized a provision for taxes of $0.2</w:t>
      </w:r>
      <w:r>
        <w:rPr>
          <w:rFonts w:ascii="Times New Roman" w:hAnsi="Times New Roman"/>
          <w:color w:val="000000"/>
          <w:sz w:val="20"/>
        </w:rPr>
        <w:t xml:space="preserve"> </w:t>
      </w:r>
      <w:r>
        <w:rPr>
          <w:rFonts w:ascii="Times New Roman" w:hAnsi="Times New Roman"/>
          <w:color w:val="000000"/>
          <w:sz w:val="16"/>
        </w:rPr>
        <w:t>million and $3.4</w:t>
      </w:r>
      <w:r>
        <w:rPr>
          <w:rFonts w:ascii="Times New Roman" w:hAnsi="Times New Roman"/>
          <w:color w:val="000000"/>
          <w:sz w:val="20"/>
        </w:rPr>
        <w:t xml:space="preserve"> </w:t>
      </w:r>
      <w:r>
        <w:rPr>
          <w:rFonts w:ascii="Times New Roman" w:hAnsi="Times New Roman"/>
          <w:color w:val="000000"/>
          <w:sz w:val="16"/>
        </w:rPr>
        <w:t>million, respectively, on net realized and unrealized gains on investments by the Taxable Subsidiary.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During the three months ended December 31, 2023 and 2022, the Company paid zero, respectively, in federal taxes on realized gains on the sale of investments held by the Taxable Subsidiary. The state and local tax liability is zero</w:t>
      </w:r>
      <w:r>
        <w:rPr>
          <w:rFonts w:ascii="Times New Roman" w:hAnsi="Times New Roman"/>
          <w:color w:val="000000"/>
          <w:sz w:val="20"/>
        </w:rPr>
        <w:t xml:space="preserve"> </w:t>
      </w:r>
      <w:r>
        <w:rPr>
          <w:rFonts w:ascii="Times New Roman" w:hAnsi="Times New Roman"/>
          <w:color w:val="000000"/>
          <w:sz w:val="16"/>
        </w:rPr>
        <w:t>as of December 31, 2023 is included under accrued other expenses in the consolidated statement of assets and liabilities.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pStyle w:val="TextBody"/>
        <w:bidi w:val="0"/>
        <w:spacing w:before="160" w:after="283"/>
        <w:jc w:val="both"/>
        <w:rPr>
          <w:rFonts w:ascii="Times New Roman" w:hAnsi="Times New Roman"/>
          <w:sz w:val="20"/>
        </w:rPr>
      </w:pPr>
      <w:r>
        <w:rPr>
          <w:rFonts w:ascii="Times New Roman" w:hAnsi="Times New Roman"/>
          <w:color w:val="000000"/>
          <w:sz w:val="16"/>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(d)</w:t>
      </w:r>
    </w:p>
    <w:p>
      <w:pPr>
        <w:pStyle w:val="TextBody"/>
        <w:bidi w:val="0"/>
        <w:jc w:val="both"/>
        <w:rPr>
          <w:rFonts w:ascii="Times New Roman" w:hAnsi="Times New Roman"/>
          <w:b/>
          <w:i/>
          <w:color w:val="000000"/>
          <w:sz w:val="16"/>
        </w:rPr>
      </w:pPr>
      <w:r>
        <w:rPr>
          <w:rFonts w:ascii="Times New Roman" w:hAnsi="Times New Roman"/>
          <w:b/>
          <w:i/>
          <w:color w:val="000000"/>
          <w:sz w:val="16"/>
        </w:rPr>
        <w:t>Distributions and Capital Transactions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Capital transactions, in connection with our dividend reinvestment plan or through offerings of our common stock, are recorded when issued and offering costs are charged as a reduction of capital upon issuance of our common stock.</w:t>
      </w:r>
    </w:p>
    <w:p>
      <w:pPr>
        <w:pStyle w:val="TextBody"/>
        <w:bidi w:val="0"/>
        <w:jc w:val="both"/>
        <w:rPr/>
      </w:pPr>
      <w:r>
        <w:rPr/>
        <w:t> </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(e)</w:t>
      </w:r>
    </w:p>
    <w:p>
      <w:pPr>
        <w:pStyle w:val="TextBody"/>
        <w:bidi w:val="0"/>
        <w:jc w:val="both"/>
        <w:rPr>
          <w:rFonts w:ascii="Times New Roman" w:hAnsi="Times New Roman"/>
          <w:b/>
          <w:i/>
          <w:color w:val="000000"/>
          <w:sz w:val="16"/>
        </w:rPr>
      </w:pPr>
      <w:r>
        <w:rPr>
          <w:rFonts w:ascii="Times New Roman" w:hAnsi="Times New Roman"/>
          <w:b/>
          <w:i/>
          <w:color w:val="000000"/>
          <w:sz w:val="16"/>
        </w:rPr>
        <w:t>Foreign Currency Translation</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books and records are maintained in U.S. dollars. Any foreign currency amounts are translated into U.S. dollars on the following basis:</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Fair value of investment securities, other assets and liabilities – at the exchange rates prevailing at the end of the applicable period; and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Purchases and sales of investment securities, income and expenses – at the exchange rates prevailing on the respective dates of such transactions.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pStyle w:val="TextBody"/>
        <w:bidi w:val="0"/>
        <w:jc w:val="both"/>
        <w:rPr/>
      </w:pPr>
      <w:r>
        <w:rPr/>
        <w:t> </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(f)</w:t>
      </w:r>
    </w:p>
    <w:p>
      <w:pPr>
        <w:pStyle w:val="TextBody"/>
        <w:bidi w:val="0"/>
        <w:jc w:val="both"/>
        <w:rPr>
          <w:rFonts w:ascii="Times New Roman" w:hAnsi="Times New Roman"/>
          <w:b/>
          <w:i/>
          <w:color w:val="000000"/>
          <w:sz w:val="16"/>
        </w:rPr>
      </w:pPr>
      <w:r>
        <w:rPr>
          <w:rFonts w:ascii="Times New Roman" w:hAnsi="Times New Roman"/>
          <w:b/>
          <w:i/>
          <w:color w:val="000000"/>
          <w:sz w:val="16"/>
        </w:rPr>
        <w:t>Consolidation</w:t>
      </w:r>
    </w:p>
    <w:p>
      <w:pPr>
        <w:pStyle w:val="TextBody"/>
        <w:bidi w:val="0"/>
        <w:spacing w:before="160" w:after="283"/>
        <w:jc w:val="both"/>
        <w:rPr>
          <w:rFonts w:ascii="Times New Roman" w:hAnsi="Times New Roman"/>
          <w:sz w:val="20"/>
        </w:rPr>
      </w:pPr>
      <w:r>
        <w:rPr>
          <w:rFonts w:ascii="Times New Roman" w:hAnsi="Times New Roman"/>
          <w:color w:val="000000"/>
          <w:sz w:val="16"/>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w:t>
      </w:r>
      <w:r>
        <w:rPr>
          <w:rFonts w:ascii="Times New Roman" w:hAnsi="Times New Roman"/>
          <w:color w:val="000000"/>
          <w:sz w:val="20"/>
        </w:rPr>
        <w:t xml:space="preserve"> </w:t>
      </w:r>
      <w:r>
        <w:rPr>
          <w:rFonts w:ascii="Times New Roman" w:hAnsi="Times New Roman"/>
          <w:color w:val="000000"/>
          <w:sz w:val="16"/>
        </w:rPr>
        <w:t>See further description of our investment in PSLF in Note 4.</w:t>
      </w:r>
      <w:r>
        <w:rPr>
          <w:rFonts w:ascii="Times New Roman" w:hAnsi="Times New Roman"/>
          <w:color w:val="000000"/>
          <w:sz w:val="20"/>
        </w:rPr>
        <w:t xml:space="preserve">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(g)</w:t>
      </w:r>
    </w:p>
    <w:p>
      <w:pPr>
        <w:pStyle w:val="TextBody"/>
        <w:bidi w:val="0"/>
        <w:jc w:val="both"/>
        <w:rPr>
          <w:rFonts w:ascii="Times New Roman" w:hAnsi="Times New Roman"/>
          <w:b/>
          <w:i/>
          <w:color w:val="000000"/>
          <w:sz w:val="16"/>
        </w:rPr>
      </w:pPr>
      <w:r>
        <w:rPr>
          <w:rFonts w:ascii="Times New Roman" w:hAnsi="Times New Roman"/>
          <w:b/>
          <w:i/>
          <w:color w:val="000000"/>
          <w:sz w:val="16"/>
        </w:rPr>
        <w:t>Asset Transfers and Servicing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Asset transfers that do not meet ASC Topic 860, Transfers and Servicing, requirements for sale accounting treatment are reflected in the Consolidated Statements of Assets and Liabilities and the Consolidated Schedules of Investments as investments.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(h) Recent Accounting Pronouncements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three months ended December 31, 2023, the effect of which was not material to the consolidated financial statements and the notes thereto.</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3. AGREEMENTS AND RELATED PARTY TRANSACTIONS</w:t>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(a) Investment Management Agreement</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Investment Management Agreement with the Investment Adviser was reapproved by our board of directors, including a majority of our directors who are not interested persons of us or the Investment Adviser, in February 2024.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Base Management Fee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w:t>
      </w:r>
      <w:r>
        <w:rPr>
          <w:rFonts w:ascii="Times New Roman" w:hAnsi="Times New Roman"/>
          <w:color w:val="000000"/>
          <w:sz w:val="20"/>
        </w:rPr>
        <w:t xml:space="preserve"> </w:t>
      </w:r>
      <w:r>
        <w:rPr>
          <w:rFonts w:ascii="Times New Roman" w:hAnsi="Times New Roman"/>
          <w:color w:val="000000"/>
          <w:sz w:val="16"/>
        </w:rPr>
        <w:t>The base management fee is calculated based on the average adjusted gross assets at the end of the two most recently completed calendar quarters, and appropriately adjusted for any share issuances or repurchases during the current calendar quarter.</w:t>
      </w:r>
      <w:r>
        <w:rPr>
          <w:rFonts w:ascii="Times New Roman" w:hAnsi="Times New Roman"/>
          <w:color w:val="000000"/>
          <w:sz w:val="20"/>
        </w:rPr>
        <w:t xml:space="preserve"> </w:t>
      </w:r>
      <w:r>
        <w:rPr>
          <w:rFonts w:ascii="Times New Roman" w:hAnsi="Times New Roman"/>
          <w:color w:val="000000"/>
          <w:sz w:val="16"/>
        </w:rPr>
        <w:t>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2023 and 2022, the Investment Adviser earned base management fees of $4.0</w:t>
      </w:r>
      <w:r>
        <w:rPr>
          <w:rFonts w:ascii="Times New Roman" w:hAnsi="Times New Roman"/>
          <w:color w:val="000000"/>
          <w:sz w:val="20"/>
        </w:rPr>
        <w:t xml:space="preserve"> </w:t>
      </w:r>
      <w:r>
        <w:rPr>
          <w:rFonts w:ascii="Times New Roman" w:hAnsi="Times New Roman"/>
          <w:color w:val="000000"/>
          <w:sz w:val="16"/>
        </w:rPr>
        <w:t>million and $4.6</w:t>
      </w:r>
      <w:r>
        <w:rPr>
          <w:rFonts w:ascii="Times New Roman" w:hAnsi="Times New Roman"/>
          <w:color w:val="000000"/>
          <w:sz w:val="20"/>
        </w:rPr>
        <w:t xml:space="preserve"> </w:t>
      </w:r>
      <w:r>
        <w:rPr>
          <w:rFonts w:ascii="Times New Roman" w:hAnsi="Times New Roman"/>
          <w:color w:val="000000"/>
          <w:sz w:val="16"/>
        </w:rPr>
        <w:t>million, respectively, from us.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Incentive Fee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incentive fee has two parts, as follows:</w:t>
      </w:r>
    </w:p>
    <w:p>
      <w:pPr>
        <w:pStyle w:val="TextBody"/>
        <w:bidi w:val="0"/>
        <w:spacing w:before="160" w:after="283"/>
        <w:jc w:val="both"/>
        <w:rPr>
          <w:rFonts w:ascii="Times New Roman" w:hAnsi="Times New Roman"/>
          <w:sz w:val="20"/>
        </w:rPr>
      </w:pPr>
      <w:r>
        <w:rPr>
          <w:rFonts w:ascii="Times New Roman" w:hAnsi="Times New Roman"/>
          <w:color w:val="000000"/>
          <w:sz w:val="16"/>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w:t>
      </w:r>
      <w:r>
        <w:rPr>
          <w:rFonts w:ascii="Times New Roman" w:hAnsi="Times New Roman"/>
          <w:color w:val="000000"/>
          <w:sz w:val="20"/>
        </w:rPr>
        <w:t xml:space="preserve"> </w:t>
      </w:r>
      <w:r>
        <w:rPr>
          <w:rFonts w:ascii="Times New Roman" w:hAnsi="Times New Roman"/>
          <w:color w:val="000000"/>
          <w:sz w:val="16"/>
        </w:rPr>
        <w:t>These calculations are pro-rated for any share issuances or repurchases during the relevant quarter, if applicable.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For the three months ended December 31, 2023 and 2022, the Investment Adviser earned $3.3</w:t>
      </w:r>
      <w:r>
        <w:rPr>
          <w:rFonts w:ascii="Times New Roman" w:hAnsi="Times New Roman"/>
          <w:color w:val="000000"/>
          <w:sz w:val="20"/>
        </w:rPr>
        <w:t xml:space="preserve"> </w:t>
      </w:r>
      <w:r>
        <w:rPr>
          <w:rFonts w:ascii="Times New Roman" w:hAnsi="Times New Roman"/>
          <w:color w:val="000000"/>
          <w:sz w:val="16"/>
        </w:rPr>
        <w:t>million and $2.2</w:t>
      </w:r>
      <w:r>
        <w:rPr>
          <w:rFonts w:ascii="Times New Roman" w:hAnsi="Times New Roman"/>
          <w:color w:val="000000"/>
          <w:sz w:val="20"/>
        </w:rPr>
        <w:t xml:space="preserve"> </w:t>
      </w:r>
      <w:r>
        <w:rPr>
          <w:rFonts w:ascii="Times New Roman" w:hAnsi="Times New Roman"/>
          <w:color w:val="000000"/>
          <w:sz w:val="16"/>
        </w:rPr>
        <w:t>million, respectively, in incentive fees on net investment income from us.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Times New Roman" w:hAnsi="Times New Roman"/>
          <w:strike/>
          <w:color w:val="000000"/>
          <w:sz w:val="16"/>
        </w:rPr>
        <w:t>,</w:t>
      </w:r>
      <w:r>
        <w:rPr>
          <w:rFonts w:ascii="Times New Roman" w:hAnsi="Times New Roman"/>
          <w:color w:val="000000"/>
          <w:sz w:val="20"/>
        </w:rPr>
        <w:t xml:space="preserve"> </w:t>
      </w:r>
      <w:r>
        <w:rPr>
          <w:rFonts w:ascii="Times New Roman" w:hAnsi="Times New Roman"/>
          <w:color w:val="000000"/>
          <w:sz w:val="16"/>
        </w:rPr>
        <w:t>(20.0%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2023 and 2022, the Investment Adviser did not accrue an incentive fee on capital gains as calculated under the Investment Management Agreement (as described above).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each of the three months ended December 31, 2023, and 2022, the Investment Adviser did not accrue an incentive fee on capital gains as calculated under GAAP.</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(b) Administration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 Administration Agreement with the Administrator was reapproved by our board of directors, including a majority of our directors who are not interested persons of us, in February 2023. Under the Administration Agreement, the Administrator provides administrative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Corporate Counsel and their respective staffs. The amount billed by the Administrator may include credits related to its administrative agreement with PSLF.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2023 and 2022, we recorded $0.1</w:t>
      </w:r>
      <w:r>
        <w:rPr>
          <w:rFonts w:ascii="Times New Roman" w:hAnsi="Times New Roman"/>
          <w:color w:val="000000"/>
          <w:sz w:val="20"/>
        </w:rPr>
        <w:t xml:space="preserve"> </w:t>
      </w:r>
      <w:r>
        <w:rPr>
          <w:rFonts w:ascii="Times New Roman" w:hAnsi="Times New Roman"/>
          <w:color w:val="000000"/>
          <w:sz w:val="16"/>
        </w:rPr>
        <w:t>million and $0.1</w:t>
      </w:r>
      <w:r>
        <w:rPr>
          <w:rFonts w:ascii="Times New Roman" w:hAnsi="Times New Roman"/>
          <w:color w:val="000000"/>
          <w:sz w:val="20"/>
        </w:rPr>
        <w:t xml:space="preserve"> </w:t>
      </w:r>
      <w:r>
        <w:rPr>
          <w:rFonts w:ascii="Times New Roman" w:hAnsi="Times New Roman"/>
          <w:color w:val="000000"/>
          <w:sz w:val="16"/>
        </w:rPr>
        <w:t>million, respectively, for the services described above.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pStyle w:val="TextBody"/>
        <w:bidi w:val="0"/>
        <w:jc w:val="left"/>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(c) Other Related Party Transactions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There were no transactions subject to Rule 17a-7 under the 1940 Act during each of the three months ended December 31, 2023 and 2022.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we sold $50.8</w:t>
      </w:r>
      <w:r>
        <w:rPr>
          <w:rFonts w:ascii="Times New Roman" w:hAnsi="Times New Roman"/>
          <w:color w:val="000000"/>
          <w:sz w:val="20"/>
        </w:rPr>
        <w:t xml:space="preserve"> </w:t>
      </w:r>
      <w:r>
        <w:rPr>
          <w:rFonts w:ascii="Times New Roman" w:hAnsi="Times New Roman"/>
          <w:color w:val="000000"/>
          <w:sz w:val="16"/>
        </w:rPr>
        <w:t>million and zero</w:t>
      </w:r>
      <w:r>
        <w:rPr>
          <w:rFonts w:ascii="Times New Roman" w:hAnsi="Times New Roman"/>
          <w:color w:val="000000"/>
          <w:sz w:val="20"/>
        </w:rPr>
        <w:t xml:space="preserve"> </w:t>
      </w:r>
      <w:r>
        <w:rPr>
          <w:rFonts w:ascii="Times New Roman" w:hAnsi="Times New Roman"/>
          <w:color w:val="000000"/>
          <w:sz w:val="16"/>
        </w:rPr>
        <w:t>in investments to PSLF at fair value, respectively, and recognized zero</w:t>
      </w:r>
      <w:r>
        <w:rPr>
          <w:rFonts w:ascii="Times New Roman" w:hAnsi="Times New Roman"/>
          <w:color w:val="000000"/>
          <w:sz w:val="20"/>
        </w:rPr>
        <w:t xml:space="preserve"> </w:t>
      </w:r>
      <w:r>
        <w:rPr>
          <w:rFonts w:ascii="Times New Roman" w:hAnsi="Times New Roman"/>
          <w:color w:val="000000"/>
          <w:sz w:val="16"/>
        </w:rPr>
        <w:t>of net realized gains, respectively.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we sold zero</w:t>
      </w:r>
      <w:r>
        <w:rPr>
          <w:rFonts w:ascii="Times New Roman" w:hAnsi="Times New Roman"/>
          <w:color w:val="000000"/>
          <w:sz w:val="20"/>
        </w:rPr>
        <w:t xml:space="preserve"> </w:t>
      </w:r>
      <w:r>
        <w:rPr>
          <w:rFonts w:ascii="Times New Roman" w:hAnsi="Times New Roman"/>
          <w:color w:val="000000"/>
          <w:sz w:val="16"/>
        </w:rPr>
        <w:t>in investments to PTSF II at fair value, respectively, and recognized zero</w:t>
      </w:r>
      <w:r>
        <w:rPr>
          <w:rFonts w:ascii="Times New Roman" w:hAnsi="Times New Roman"/>
          <w:color w:val="000000"/>
          <w:sz w:val="20"/>
        </w:rPr>
        <w:t xml:space="preserve"> </w:t>
      </w:r>
      <w:r>
        <w:rPr>
          <w:rFonts w:ascii="Times New Roman" w:hAnsi="Times New Roman"/>
          <w:color w:val="000000"/>
          <w:sz w:val="16"/>
        </w:rPr>
        <w:t>of net realized gains, respectively.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As of December 31, 2023 and September 30, 2023, PNNT had a payable to PSLF and PTSF II of $1.6</w:t>
      </w:r>
      <w:r>
        <w:rPr>
          <w:rFonts w:ascii="Times New Roman" w:hAnsi="Times New Roman"/>
          <w:color w:val="000000"/>
          <w:sz w:val="20"/>
        </w:rPr>
        <w:t xml:space="preserve"> </w:t>
      </w:r>
      <w:r>
        <w:rPr>
          <w:rFonts w:ascii="Times New Roman" w:hAnsi="Times New Roman"/>
          <w:color w:val="000000"/>
          <w:sz w:val="16"/>
        </w:rPr>
        <w:t>million and $4.1</w:t>
      </w:r>
      <w:r>
        <w:rPr>
          <w:rFonts w:ascii="Times New Roman" w:hAnsi="Times New Roman"/>
          <w:color w:val="000000"/>
          <w:sz w:val="20"/>
        </w:rPr>
        <w:t xml:space="preserve"> </w:t>
      </w:r>
      <w:r>
        <w:rPr>
          <w:rFonts w:ascii="Times New Roman" w:hAnsi="Times New Roman"/>
          <w:color w:val="000000"/>
          <w:sz w:val="16"/>
        </w:rPr>
        <w:t>million, respectively, presented as a due to affiliates on the consolidated statement of assets and liabilities. These amounts are related to cash owed to PSLF and PTSF II from PNNT in connection with trades between the funds.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As of December 31, 2023 and September 30, 2023, PNNT had a receivable from Administrator of $0.2</w:t>
      </w:r>
      <w:r>
        <w:rPr>
          <w:rFonts w:ascii="Times New Roman" w:hAnsi="Times New Roman"/>
          <w:color w:val="000000"/>
          <w:sz w:val="20"/>
        </w:rPr>
        <w:t xml:space="preserve"> </w:t>
      </w:r>
      <w:r>
        <w:rPr>
          <w:rFonts w:ascii="Times New Roman" w:hAnsi="Times New Roman"/>
          <w:color w:val="000000"/>
          <w:sz w:val="16"/>
        </w:rPr>
        <w:t>million and zero, respectively, presented as a due from affiliates on the consolidated statement of assets and liabilities. These amounts are related to agency fees collected on behalf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6"/>
        </w:rPr>
        <w:t>4.</w:t>
      </w:r>
      <w:r>
        <w:rPr>
          <w:rFonts w:ascii="Times New Roman" w:hAnsi="Times New Roman"/>
          <w:color w:val="000000"/>
          <w:sz w:val="20"/>
        </w:rPr>
        <w:t xml:space="preserve"> </w:t>
      </w:r>
      <w:r>
        <w:rPr>
          <w:rFonts w:ascii="Times New Roman" w:hAnsi="Times New Roman"/>
          <w:b/>
          <w:color w:val="000000"/>
          <w:sz w:val="16"/>
        </w:rPr>
        <w:t>INVESTMENTS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Purchases of investments, including PIK interest, for the three months ended December 31, 2023 and 2022 totaled $282.0</w:t>
      </w:r>
      <w:r>
        <w:rPr>
          <w:rFonts w:ascii="Times New Roman" w:hAnsi="Times New Roman"/>
          <w:color w:val="000000"/>
          <w:sz w:val="20"/>
        </w:rPr>
        <w:t xml:space="preserve"> </w:t>
      </w:r>
      <w:r>
        <w:rPr>
          <w:rFonts w:ascii="Times New Roman" w:hAnsi="Times New Roman"/>
          <w:color w:val="000000"/>
          <w:sz w:val="16"/>
        </w:rPr>
        <w:t>million and $86.2</w:t>
      </w:r>
      <w:r>
        <w:rPr>
          <w:rFonts w:ascii="Times New Roman" w:hAnsi="Times New Roman"/>
          <w:color w:val="000000"/>
          <w:sz w:val="20"/>
        </w:rPr>
        <w:t xml:space="preserve"> </w:t>
      </w:r>
      <w:r>
        <w:rPr>
          <w:rFonts w:ascii="Times New Roman" w:hAnsi="Times New Roman"/>
          <w:color w:val="000000"/>
          <w:sz w:val="16"/>
        </w:rPr>
        <w:t>million, respectively. Sales and repayments of investments for the three months ended December 31, 2023 and 2022 totaled $170.8</w:t>
      </w:r>
      <w:r>
        <w:rPr>
          <w:rFonts w:ascii="Times New Roman" w:hAnsi="Times New Roman"/>
          <w:color w:val="000000"/>
          <w:sz w:val="20"/>
        </w:rPr>
        <w:t xml:space="preserve"> </w:t>
      </w:r>
      <w:r>
        <w:rPr>
          <w:rFonts w:ascii="Times New Roman" w:hAnsi="Times New Roman"/>
          <w:color w:val="000000"/>
          <w:sz w:val="16"/>
        </w:rPr>
        <w:t>million and $30.6</w:t>
      </w:r>
      <w:r>
        <w:rPr>
          <w:rFonts w:ascii="Times New Roman" w:hAnsi="Times New Roman"/>
          <w:color w:val="000000"/>
          <w:sz w:val="20"/>
        </w:rPr>
        <w:t xml:space="preserve"> </w:t>
      </w:r>
      <w:r>
        <w:rPr>
          <w:rFonts w:ascii="Times New Roman" w:hAnsi="Times New Roman"/>
          <w:color w:val="000000"/>
          <w:sz w:val="16"/>
        </w:rPr>
        <w:t>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Investments and cash and cash equivalents consisted of the following:</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3451"/>
        <w:gridCol w:w="146"/>
        <w:gridCol w:w="196"/>
        <w:gridCol w:w="826"/>
        <w:gridCol w:w="146"/>
        <w:gridCol w:w="146"/>
        <w:gridCol w:w="196"/>
        <w:gridCol w:w="826"/>
        <w:gridCol w:w="146"/>
        <w:gridCol w:w="146"/>
        <w:gridCol w:w="196"/>
        <w:gridCol w:w="826"/>
        <w:gridCol w:w="146"/>
        <w:gridCol w:w="146"/>
        <w:gridCol w:w="196"/>
        <w:gridCol w:w="82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Investment Classification </w:t>
            </w:r>
            <w:r>
              <w:rPr>
                <w:rFonts w:ascii="Times New Roman" w:hAnsi="Times New Roman"/>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687,747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677,702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538,737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527,657</w:t>
            </w:r>
          </w:p>
        </w:tc>
        <w:tc>
          <w:tcPr>
            <w:tcW w:w="191" w:type="dxa"/>
            <w:tcBorders/>
            <w:shd w:fill="CCECFF"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Government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99,751</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80,396</w:t>
            </w:r>
          </w:p>
        </w:tc>
        <w:tc>
          <w:tcPr>
            <w:tcW w:w="191" w:type="dxa"/>
            <w:tcBorders/>
            <w:shd w:fill="CCECFF"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 / corporate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53,897</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 in PSLF</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102,325</w:t>
            </w:r>
          </w:p>
        </w:tc>
        <w:tc>
          <w:tcPr>
            <w:tcW w:w="191" w:type="dxa"/>
            <w:tcBorders/>
            <w:shd w:fill="CCECFF"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175,538</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PSLF</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58,643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62,804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58,643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62,083</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1,101,647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38,784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38,775</w:t>
            </w:r>
          </w:p>
        </w:tc>
        <w:tc>
          <w:tcPr>
            <w:tcW w:w="1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and 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1,156,711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1,140,422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The table below describes investments by industry classification and enumerates the percentage, by fair value, of the total portfolio assets (excluding cash and cash equivalents) in such industries as of:</w:t>
      </w:r>
    </w:p>
    <w:p>
      <w:pPr>
        <w:pStyle w:val="TextBody"/>
        <w:bidi w:val="0"/>
        <w:jc w:val="left"/>
        <w:rPr/>
      </w:pPr>
      <w:r>
        <w:rPr/>
        <w:t> </w:t>
      </w:r>
    </w:p>
    <w:tbl>
      <w:tblPr>
        <w:tblW w:w="7847" w:type="dxa"/>
        <w:jc w:val="left"/>
        <w:tblInd w:w="0" w:type="dxa"/>
        <w:tblLayout w:type="fixed"/>
        <w:tblCellMar>
          <w:top w:w="28" w:type="dxa"/>
          <w:left w:w="28" w:type="dxa"/>
          <w:bottom w:w="28" w:type="dxa"/>
          <w:right w:w="28" w:type="dxa"/>
        </w:tblCellMar>
      </w:tblPr>
      <w:tblGrid>
        <w:gridCol w:w="3361"/>
        <w:gridCol w:w="146"/>
        <w:gridCol w:w="465"/>
        <w:gridCol w:w="1200"/>
        <w:gridCol w:w="146"/>
        <w:gridCol w:w="241"/>
        <w:gridCol w:w="146"/>
        <w:gridCol w:w="477"/>
        <w:gridCol w:w="1233"/>
        <w:gridCol w:w="146"/>
        <w:gridCol w:w="28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December 31, 2023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September 30, 2023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Products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and Defense</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Short-Term U.S. Government Securities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Telecommunications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 Sector</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Environmental Services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Machinery</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Materials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Education</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Home and Office Furnishings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Insurance</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Personal and Non-Durable Consumer Products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w:t>
            </w:r>
          </w:p>
        </w:tc>
        <w:tc>
          <w:tcPr>
            <w:tcW w:w="146" w:type="dxa"/>
            <w:tcBorders/>
            <w:shd w:fill="CCECFF" w:val="clear"/>
            <w:vAlign w:val="center"/>
          </w:tcPr>
          <w:p>
            <w:pPr>
              <w:pStyle w:val="TableContents"/>
              <w:bidi w:val="0"/>
              <w:spacing w:before="0" w:after="283"/>
              <w:jc w:val="left"/>
              <w:rPr/>
            </w:pPr>
            <w:r>
              <w:rPr/>
              <w:t> </w:t>
            </w:r>
          </w:p>
        </w:tc>
        <w:tc>
          <w:tcPr>
            <w:tcW w:w="465" w:type="dxa"/>
            <w:tcBorders/>
            <w:shd w:fill="CCECFF" w:val="clear"/>
            <w:vAlign w:val="center"/>
          </w:tcPr>
          <w:p>
            <w:pPr>
              <w:pStyle w:val="TableContents"/>
              <w:bidi w:val="0"/>
              <w:spacing w:before="0" w:after="283"/>
              <w:jc w:val="left"/>
              <w:rPr/>
            </w:pPr>
            <w:r>
              <w:rPr/>
              <w:t> </w:t>
            </w:r>
          </w:p>
        </w:tc>
        <w:tc>
          <w:tcPr>
            <w:tcW w:w="120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shd w:fill="CCECFF" w:val="clear"/>
            <w:vAlign w:val="center"/>
          </w:tcPr>
          <w:p>
            <w:pPr>
              <w:pStyle w:val="TableContents"/>
              <w:bidi w:val="0"/>
              <w:spacing w:before="0" w:after="283"/>
              <w:jc w:val="left"/>
              <w:rPr/>
            </w:pPr>
            <w:r>
              <w:rPr/>
              <w:t> </w:t>
            </w:r>
          </w:p>
        </w:tc>
        <w:tc>
          <w:tcPr>
            <w:tcW w:w="123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CECFF" w:val="cle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r>
        <w:trPr/>
        <w:tc>
          <w:tcPr>
            <w:tcW w:w="33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CECFF" w:val="clear"/>
            <w:vAlign w:val="center"/>
          </w:tcPr>
          <w:p>
            <w:pPr>
              <w:pStyle w:val="TableContents"/>
              <w:bidi w:val="0"/>
              <w:spacing w:before="0" w:after="283"/>
              <w:jc w:val="left"/>
              <w:rPr/>
            </w:pPr>
            <w:r>
              <w:rPr/>
              <w:t> </w:t>
            </w:r>
          </w:p>
        </w:tc>
        <w:tc>
          <w:tcPr>
            <w:tcW w:w="46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CEC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Excludes investments in PSLF.</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PennantPark Senior Loan Fund, LLC</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In July 2020, we and Pantheon formed PSLF, an unconsolidated joint venture. PSLF invests primarily in middle-market and other corporate debt securities consistent with its strategy. PSLF was formed as a Delaware limited liability company. As of December 31, 2023 and September 30, 2023, PSLF had total assets of $920.7</w:t>
      </w:r>
      <w:r>
        <w:rPr>
          <w:rFonts w:ascii="Times New Roman" w:hAnsi="Times New Roman"/>
          <w:color w:val="000000"/>
          <w:sz w:val="20"/>
        </w:rPr>
        <w:t xml:space="preserve"> </w:t>
      </w:r>
      <w:r>
        <w:rPr>
          <w:rFonts w:ascii="Times New Roman" w:hAnsi="Times New Roman"/>
          <w:color w:val="000000"/>
          <w:sz w:val="16"/>
        </w:rPr>
        <w:t>million and $872.8</w:t>
      </w:r>
      <w:r>
        <w:rPr>
          <w:rFonts w:ascii="Times New Roman" w:hAnsi="Times New Roman"/>
          <w:color w:val="000000"/>
          <w:sz w:val="20"/>
        </w:rPr>
        <w:t xml:space="preserve"> </w:t>
      </w:r>
      <w:r>
        <w:rPr>
          <w:rFonts w:ascii="Times New Roman" w:hAnsi="Times New Roman"/>
          <w:color w:val="000000"/>
          <w:sz w:val="16"/>
        </w:rPr>
        <w:t>million, respectively and its investment portfolio consisted of debt investments in 93</w:t>
      </w:r>
      <w:r>
        <w:rPr>
          <w:rFonts w:ascii="Times New Roman" w:hAnsi="Times New Roman"/>
          <w:color w:val="000000"/>
          <w:sz w:val="20"/>
        </w:rPr>
        <w:t xml:space="preserve"> </w:t>
      </w:r>
      <w:r>
        <w:rPr>
          <w:rFonts w:ascii="Times New Roman" w:hAnsi="Times New Roman"/>
          <w:color w:val="000000"/>
          <w:sz w:val="16"/>
        </w:rPr>
        <w:t>and 90</w:t>
      </w:r>
      <w:r>
        <w:rPr>
          <w:rFonts w:ascii="Times New Roman" w:hAnsi="Times New Roman"/>
          <w:color w:val="000000"/>
          <w:sz w:val="20"/>
        </w:rPr>
        <w:t xml:space="preserve"> </w:t>
      </w:r>
      <w:r>
        <w:rPr>
          <w:rFonts w:ascii="Times New Roman" w:hAnsi="Times New Roman"/>
          <w:color w:val="000000"/>
          <w:sz w:val="16"/>
        </w:rPr>
        <w:t>portfolio companies, respectively. As of the same dates, we and Pantheon had remaining commitments to fund first lien secured debt of $22.4</w:t>
      </w:r>
      <w:r>
        <w:rPr>
          <w:rFonts w:ascii="Times New Roman" w:hAnsi="Times New Roman"/>
          <w:color w:val="000000"/>
          <w:sz w:val="20"/>
        </w:rPr>
        <w:t xml:space="preserve"> </w:t>
      </w:r>
      <w:r>
        <w:rPr>
          <w:rFonts w:ascii="Times New Roman" w:hAnsi="Times New Roman"/>
          <w:color w:val="000000"/>
          <w:sz w:val="16"/>
        </w:rPr>
        <w:t>million and $22.4</w:t>
      </w:r>
      <w:r>
        <w:rPr>
          <w:rFonts w:ascii="Times New Roman" w:hAnsi="Times New Roman"/>
          <w:color w:val="000000"/>
          <w:sz w:val="20"/>
        </w:rPr>
        <w:t xml:space="preserve"> </w:t>
      </w:r>
      <w:r>
        <w:rPr>
          <w:rFonts w:ascii="Times New Roman" w:hAnsi="Times New Roman"/>
          <w:color w:val="000000"/>
          <w:sz w:val="16"/>
        </w:rPr>
        <w:t>million, respectively, and equity interest of $14.5</w:t>
      </w:r>
      <w:r>
        <w:rPr>
          <w:rFonts w:ascii="Times New Roman" w:hAnsi="Times New Roman"/>
          <w:color w:val="000000"/>
          <w:sz w:val="20"/>
        </w:rPr>
        <w:t xml:space="preserve"> </w:t>
      </w:r>
      <w:r>
        <w:rPr>
          <w:rFonts w:ascii="Times New Roman" w:hAnsi="Times New Roman"/>
          <w:color w:val="000000"/>
          <w:sz w:val="16"/>
        </w:rPr>
        <w:t>million and $14.5</w:t>
      </w:r>
      <w:r>
        <w:rPr>
          <w:rFonts w:ascii="Times New Roman" w:hAnsi="Times New Roman"/>
          <w:color w:val="000000"/>
          <w:sz w:val="20"/>
        </w:rPr>
        <w:t xml:space="preserve"> </w:t>
      </w:r>
      <w:r>
        <w:rPr>
          <w:rFonts w:ascii="Times New Roman" w:hAnsi="Times New Roman"/>
          <w:color w:val="000000"/>
          <w:sz w:val="16"/>
        </w:rPr>
        <w:t>million, respectively, in PSLF. As of December 31, 2023, at fair value, the largest investment in a single portfolio company in PSLF was $21.5</w:t>
      </w:r>
      <w:r>
        <w:rPr>
          <w:rFonts w:ascii="Times New Roman" w:hAnsi="Times New Roman"/>
          <w:color w:val="000000"/>
          <w:sz w:val="20"/>
        </w:rPr>
        <w:t xml:space="preserve"> </w:t>
      </w:r>
      <w:r>
        <w:rPr>
          <w:rFonts w:ascii="Times New Roman" w:hAnsi="Times New Roman"/>
          <w:color w:val="000000"/>
          <w:sz w:val="16"/>
        </w:rPr>
        <w:t>million and the five largest investments totaled $99.7</w:t>
      </w:r>
      <w:r>
        <w:rPr>
          <w:rFonts w:ascii="Times New Roman" w:hAnsi="Times New Roman"/>
          <w:color w:val="000000"/>
          <w:sz w:val="20"/>
        </w:rPr>
        <w:t xml:space="preserve"> </w:t>
      </w:r>
      <w:r>
        <w:rPr>
          <w:rFonts w:ascii="Times New Roman" w:hAnsi="Times New Roman"/>
          <w:color w:val="000000"/>
          <w:sz w:val="16"/>
        </w:rPr>
        <w:t>million. As of September 30, 2023, at fair value, the largest investment in a single portfolio company in PSLF was $19.7</w:t>
      </w:r>
      <w:r>
        <w:rPr>
          <w:rFonts w:ascii="Times New Roman" w:hAnsi="Times New Roman"/>
          <w:color w:val="000000"/>
          <w:sz w:val="20"/>
        </w:rPr>
        <w:t xml:space="preserve"> </w:t>
      </w:r>
      <w:r>
        <w:rPr>
          <w:rFonts w:ascii="Times New Roman" w:hAnsi="Times New Roman"/>
          <w:color w:val="000000"/>
          <w:sz w:val="16"/>
        </w:rPr>
        <w:t>million and the five largest investments totaled $97.5</w:t>
      </w:r>
      <w:r>
        <w:rPr>
          <w:rFonts w:ascii="Times New Roman" w:hAnsi="Times New Roman"/>
          <w:color w:val="000000"/>
          <w:sz w:val="20"/>
        </w:rPr>
        <w:t xml:space="preserve"> </w:t>
      </w:r>
      <w:r>
        <w:rPr>
          <w:rFonts w:ascii="Times New Roman" w:hAnsi="Times New Roman"/>
          <w:color w:val="000000"/>
          <w:sz w:val="16"/>
        </w:rPr>
        <w:t>million. PSLF invests in portfolio companies in the same industries in which we may directly invest.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We provide capital to PSLF in the form of subordinated notes and equity interests. As of December 31, 2023 and September 30, 2023, we and Pantheon owned 60.5% and 39.5%, respectively, of each of the outstanding subordinated notes and equity interests of PSLF. As of December 31, 2023 and September 30, 2023, our investment in PSLF consisted of subordinated notes of $102.3</w:t>
      </w:r>
      <w:r>
        <w:rPr>
          <w:rFonts w:ascii="Times New Roman" w:hAnsi="Times New Roman"/>
          <w:color w:val="000000"/>
          <w:sz w:val="20"/>
        </w:rPr>
        <w:t xml:space="preserve"> </w:t>
      </w:r>
      <w:r>
        <w:rPr>
          <w:rFonts w:ascii="Times New Roman" w:hAnsi="Times New Roman"/>
          <w:color w:val="000000"/>
          <w:sz w:val="16"/>
        </w:rPr>
        <w:t>million and $102.3</w:t>
      </w:r>
      <w:r>
        <w:rPr>
          <w:rFonts w:ascii="Times New Roman" w:hAnsi="Times New Roman"/>
          <w:color w:val="000000"/>
          <w:sz w:val="20"/>
        </w:rPr>
        <w:t xml:space="preserve"> </w:t>
      </w:r>
      <w:r>
        <w:rPr>
          <w:rFonts w:ascii="Times New Roman" w:hAnsi="Times New Roman"/>
          <w:color w:val="000000"/>
          <w:sz w:val="16"/>
        </w:rPr>
        <w:t>million, respectively, and equity interests of $58.6</w:t>
      </w:r>
      <w:r>
        <w:rPr>
          <w:rFonts w:ascii="Times New Roman" w:hAnsi="Times New Roman"/>
          <w:color w:val="000000"/>
          <w:sz w:val="20"/>
        </w:rPr>
        <w:t xml:space="preserve"> </w:t>
      </w:r>
      <w:r>
        <w:rPr>
          <w:rFonts w:ascii="Times New Roman" w:hAnsi="Times New Roman"/>
          <w:color w:val="000000"/>
          <w:sz w:val="16"/>
        </w:rPr>
        <w:t>million and $58.6</w:t>
      </w:r>
      <w:r>
        <w:rPr>
          <w:rFonts w:ascii="Times New Roman" w:hAnsi="Times New Roman"/>
          <w:color w:val="000000"/>
          <w:sz w:val="20"/>
        </w:rPr>
        <w:t xml:space="preserve"> </w:t>
      </w:r>
      <w:r>
        <w:rPr>
          <w:rFonts w:ascii="Times New Roman" w:hAnsi="Times New Roman"/>
          <w:color w:val="000000"/>
          <w:sz w:val="16"/>
        </w:rPr>
        <w:t>million, respectively.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Additionally, PSLF, through its wholly-owned subsidiary, or PSLF Subsidiary, has entered into a $325.0</w:t>
      </w:r>
      <w:r>
        <w:rPr>
          <w:rFonts w:ascii="Times New Roman" w:hAnsi="Times New Roman"/>
          <w:color w:val="000000"/>
          <w:sz w:val="20"/>
        </w:rPr>
        <w:t xml:space="preserve"> </w:t>
      </w:r>
      <w:r>
        <w:rPr>
          <w:rFonts w:ascii="Times New Roman" w:hAnsi="Times New Roman"/>
          <w:color w:val="000000"/>
          <w:sz w:val="16"/>
        </w:rPr>
        <w:t>million (increased from $225.0</w:t>
      </w:r>
      <w:r>
        <w:rPr>
          <w:rFonts w:ascii="Times New Roman" w:hAnsi="Times New Roman"/>
          <w:color w:val="000000"/>
          <w:sz w:val="20"/>
        </w:rPr>
        <w:t xml:space="preserve"> </w:t>
      </w:r>
      <w:r>
        <w:rPr>
          <w:rFonts w:ascii="Times New Roman" w:hAnsi="Times New Roman"/>
          <w:color w:val="000000"/>
          <w:sz w:val="16"/>
        </w:rPr>
        <w:t>million on September 2, 2022) senior secured revolving credit facility, or the PSLF Credit Facility, with BNP Paribas, which bears interest at SOFR (or an alternative risk-free interest rate index) plus 260 basis points during the investment period and is subject to leverage and borrowing base restrictions.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March 2022, PSLF completed a $304.0</w:t>
      </w:r>
      <w:r>
        <w:rPr>
          <w:rFonts w:ascii="Times New Roman" w:hAnsi="Times New Roman"/>
          <w:color w:val="000000"/>
          <w:sz w:val="20"/>
        </w:rPr>
        <w:t xml:space="preserve"> </w:t>
      </w:r>
      <w:r>
        <w:rPr>
          <w:rFonts w:ascii="Times New Roman" w:hAnsi="Times New Roman"/>
          <w:color w:val="000000"/>
          <w:sz w:val="16"/>
        </w:rPr>
        <w:t>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On July 26, 2023, CLO VII , LLC ("CLO VII") completed a $300</w:t>
      </w:r>
      <w:r>
        <w:rPr>
          <w:rFonts w:ascii="Times New Roman" w:hAnsi="Times New Roman"/>
          <w:color w:val="000000"/>
          <w:sz w:val="20"/>
        </w:rPr>
        <w:t xml:space="preserve"> </w:t>
      </w:r>
      <w:r>
        <w:rPr>
          <w:rFonts w:ascii="Times New Roman" w:hAnsi="Times New Roman"/>
          <w:color w:val="000000"/>
          <w:sz w:val="16"/>
        </w:rPr>
        <w:t>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w:t>
      </w:r>
      <w:r>
        <w:rPr>
          <w:rFonts w:ascii="Times New Roman" w:hAnsi="Times New Roman"/>
          <w:color w:val="000000"/>
          <w:sz w:val="20"/>
        </w:rPr>
        <w:t xml:space="preserve"> </w:t>
      </w:r>
      <w:r>
        <w:rPr>
          <w:rFonts w:ascii="Times New Roman" w:hAnsi="Times New Roman"/>
          <w:color w:val="000000"/>
          <w:sz w:val="16"/>
        </w:rPr>
        <w:t>million Class A-1a Notes maturing 2035, which bear interest at the three-month SOFR plus 2.7%, (ii) $20.0</w:t>
      </w:r>
      <w:r>
        <w:rPr>
          <w:rFonts w:ascii="Times New Roman" w:hAnsi="Times New Roman"/>
          <w:color w:val="000000"/>
          <w:sz w:val="20"/>
        </w:rPr>
        <w:t xml:space="preserve"> </w:t>
      </w:r>
      <w:r>
        <w:rPr>
          <w:rFonts w:ascii="Times New Roman" w:hAnsi="Times New Roman"/>
          <w:color w:val="000000"/>
          <w:sz w:val="16"/>
        </w:rPr>
        <w:t>million Class A-1b Loans 2035, which bear interest at 6.5%, (iii) $12.0</w:t>
      </w:r>
      <w:r>
        <w:rPr>
          <w:rFonts w:ascii="Times New Roman" w:hAnsi="Times New Roman"/>
          <w:color w:val="000000"/>
          <w:sz w:val="20"/>
        </w:rPr>
        <w:t xml:space="preserve"> </w:t>
      </w:r>
      <w:r>
        <w:rPr>
          <w:rFonts w:ascii="Times New Roman" w:hAnsi="Times New Roman"/>
          <w:color w:val="000000"/>
          <w:sz w:val="16"/>
        </w:rPr>
        <w:t>million Class A-2 Senior Secured Floating Rate Notes due 2035, which bear interest at the three-month SOFR plus 3.2%, (iv) $21.0</w:t>
      </w:r>
      <w:r>
        <w:rPr>
          <w:rFonts w:ascii="Times New Roman" w:hAnsi="Times New Roman"/>
          <w:color w:val="000000"/>
          <w:sz w:val="20"/>
        </w:rPr>
        <w:t xml:space="preserve"> </w:t>
      </w:r>
      <w:r>
        <w:rPr>
          <w:rFonts w:ascii="Times New Roman" w:hAnsi="Times New Roman"/>
          <w:color w:val="000000"/>
          <w:sz w:val="16"/>
        </w:rPr>
        <w:t>million Class B Senior Secured Floating Rate Notes due 2035, which bear interest at the three-month SOFR plus 4.1%, (v) $24.0</w:t>
      </w:r>
      <w:r>
        <w:rPr>
          <w:rFonts w:ascii="Times New Roman" w:hAnsi="Times New Roman"/>
          <w:color w:val="000000"/>
          <w:sz w:val="20"/>
        </w:rPr>
        <w:t xml:space="preserve"> </w:t>
      </w:r>
      <w:r>
        <w:rPr>
          <w:rFonts w:ascii="Times New Roman" w:hAnsi="Times New Roman"/>
          <w:color w:val="000000"/>
          <w:sz w:val="16"/>
        </w:rPr>
        <w:t>million Class C Secured Deferrable Floating Rate Notes due 2035, which bear interest at the three-month SOFR plus 4.7%, (vi) $18.0</w:t>
      </w:r>
      <w:r>
        <w:rPr>
          <w:rFonts w:ascii="Times New Roman" w:hAnsi="Times New Roman"/>
          <w:color w:val="000000"/>
          <w:sz w:val="20"/>
        </w:rPr>
        <w:t xml:space="preserve"> </w:t>
      </w:r>
      <w:r>
        <w:rPr>
          <w:rFonts w:ascii="Times New Roman" w:hAnsi="Times New Roman"/>
          <w:color w:val="000000"/>
          <w:sz w:val="16"/>
        </w:rPr>
        <w:t>million Class D Secured Deferrable Floating Rate Notes due 2035, which bear interest at the three-month SOFR plus 7.0%. As of December 31, 2023 there was $246.0</w:t>
      </w:r>
      <w:r>
        <w:rPr>
          <w:rFonts w:ascii="Times New Roman" w:hAnsi="Times New Roman"/>
          <w:color w:val="000000"/>
          <w:sz w:val="20"/>
        </w:rPr>
        <w:t xml:space="preserve"> </w:t>
      </w:r>
      <w:r>
        <w:rPr>
          <w:rFonts w:ascii="Times New Roman" w:hAnsi="Times New Roman"/>
          <w:color w:val="000000"/>
          <w:sz w:val="16"/>
        </w:rPr>
        <w:t>million of external 2035 Asset-Backed Debt.</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Below is a summary of PSLF’s portfolio at fair value:</w:t>
      </w:r>
    </w:p>
    <w:tbl>
      <w:tblPr>
        <w:tblW w:w="9340" w:type="dxa"/>
        <w:jc w:val="left"/>
        <w:tblInd w:w="0" w:type="dxa"/>
        <w:tblLayout w:type="fixed"/>
        <w:tblCellMar>
          <w:top w:w="28" w:type="dxa"/>
          <w:left w:w="28" w:type="dxa"/>
          <w:bottom w:w="28" w:type="dxa"/>
          <w:right w:w="28" w:type="dxa"/>
        </w:tblCellMar>
      </w:tblPr>
      <w:tblGrid>
        <w:gridCol w:w="4561"/>
        <w:gridCol w:w="146"/>
        <w:gridCol w:w="532"/>
        <w:gridCol w:w="1883"/>
        <w:gridCol w:w="241"/>
        <w:gridCol w:w="146"/>
        <w:gridCol w:w="341"/>
        <w:gridCol w:w="1204"/>
        <w:gridCol w:w="28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thousands)</w:t>
            </w:r>
          </w:p>
        </w:tc>
        <w:tc>
          <w:tcPr>
            <w:tcW w:w="146" w:type="dxa"/>
            <w:tcBorders/>
            <w:shd w:fill="FFFFFF" w:val="cle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 (Unaudited)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8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857,885</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804,187</w:t>
            </w:r>
          </w:p>
        </w:tc>
        <w:tc>
          <w:tcPr>
            <w:tcW w:w="286" w:type="dxa"/>
            <w:tcBorders/>
            <w:shd w:fill="CCECFF"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cost yield on income producing investments</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18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Number of portfolio companies in PSLF</w:t>
            </w:r>
          </w:p>
        </w:tc>
        <w:tc>
          <w:tcPr>
            <w:tcW w:w="146"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left"/>
              <w:rPr/>
            </w:pPr>
            <w:r>
              <w:rPr/>
              <w:t> </w:t>
            </w:r>
          </w:p>
        </w:tc>
        <w:tc>
          <w:tcPr>
            <w:tcW w:w="188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pPr>
            <w:r>
              <w:rPr/>
              <w:t> </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86" w:type="dxa"/>
            <w:tcBorders/>
            <w:shd w:fill="CCECFF"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Largest portfolio company investment at fair value</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19,737</w:t>
            </w:r>
          </w:p>
        </w:tc>
        <w:tc>
          <w:tcPr>
            <w:tcW w:w="286" w:type="dxa"/>
            <w:tcBorders/>
            <w:shd w:fill="FFFFFF" w:val="clear"/>
            <w:vAlign w:val="center"/>
          </w:tcPr>
          <w:p>
            <w:pPr>
              <w:pStyle w:val="TableContents"/>
              <w:bidi w:val="0"/>
              <w:spacing w:before="0" w:after="283"/>
              <w:jc w:val="left"/>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of five largest portfolio company investments at fair value</w:t>
            </w:r>
          </w:p>
        </w:tc>
        <w:tc>
          <w:tcPr>
            <w:tcW w:w="146"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8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99,724</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97,526</w:t>
            </w:r>
          </w:p>
        </w:tc>
        <w:tc>
          <w:tcPr>
            <w:tcW w:w="286"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Below is a listing of PSLF’s individual investments as of December 31, 2023 ($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0"/>
        <w:gridCol w:w="146"/>
        <w:gridCol w:w="766"/>
        <w:gridCol w:w="146"/>
        <w:gridCol w:w="1948"/>
        <w:gridCol w:w="146"/>
        <w:gridCol w:w="201"/>
        <w:gridCol w:w="520"/>
        <w:gridCol w:w="211"/>
        <w:gridCol w:w="146"/>
        <w:gridCol w:w="882"/>
        <w:gridCol w:w="146"/>
        <w:gridCol w:w="146"/>
        <w:gridCol w:w="436"/>
        <w:gridCol w:w="146"/>
        <w:gridCol w:w="146"/>
        <w:gridCol w:w="166"/>
        <w:gridCol w:w="436"/>
        <w:gridCol w:w="146"/>
        <w:gridCol w:w="146"/>
        <w:gridCol w:w="230"/>
        <w:gridCol w:w="605"/>
        <w:gridCol w:w="194"/>
      </w:tblGrid>
      <w:tr>
        <w:trPr/>
        <w:tc>
          <w:tcPr>
            <w:tcW w:w="2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Basis Point</w:t>
              <w:br/>
              <w:t>Spread Above</w:t>
              <w:br/>
              <w:t xml:space="preserve">Index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 - 826.4%</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35" w:type="dxa"/>
            <w:gridSpan w:val="2"/>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14,813</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ACP Falcon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08/01/29</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15,297</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4,851</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Alpine Acquisition Corp II</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Packaging and Glass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14,208</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Amsive Holding Corporation (f/k/a Vision Purchaser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06/10/25</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13,713</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05/23/24</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10,746</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11,639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08/03/29</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21,491</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07/01/29</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14,220</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8,865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19,501</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BlueHalo Financing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10/31/25</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12/04/25</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Purchaser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09/26/29</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838</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17,238</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8,390</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2,556</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10,671</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DRI Holding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3,977</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11/03/25</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14,002</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06/30/24</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Manufacturing / Basic Industries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01/10/29</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6,141</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ETE Intermediate II,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05/29/29</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12,342</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9,579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Fairbanks Morse Defense</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06/17/28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3,511</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Motels, Inns and Gaming</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4,275</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03/16/26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6,658</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1,930</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6,166</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19,470</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15,064</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12/10/24</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14,036</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IG Investments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4,350</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Acquisitionco,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5,468</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12/31/24</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19,687</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11,025</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Infolinks Media Buyco,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19,455</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Inventus Power,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06/30/25</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12,937</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01/31/24</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SOFR+1010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10,952</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16,793</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10/31/25</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4,545</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02/18/27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19,575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12,126</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01/31/30</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6,176</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Magenta Buyer,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2,652</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10,857</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8,282</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2,857</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5,952</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NBH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6,966</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Flood Incorporated</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05/09/29</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Acquisition,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08/31/29</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14,738</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8,447</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 (New Issue)</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4,323</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11,216</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7,080</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2,467</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3,239</w:t>
            </w:r>
          </w:p>
        </w:tc>
        <w:tc>
          <w:tcPr>
            <w:tcW w:w="1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00"/>
        <w:gridCol w:w="146"/>
        <w:gridCol w:w="766"/>
        <w:gridCol w:w="146"/>
        <w:gridCol w:w="1517"/>
        <w:gridCol w:w="146"/>
        <w:gridCol w:w="201"/>
        <w:gridCol w:w="520"/>
        <w:gridCol w:w="211"/>
        <w:gridCol w:w="146"/>
        <w:gridCol w:w="862"/>
        <w:gridCol w:w="146"/>
        <w:gridCol w:w="146"/>
        <w:gridCol w:w="436"/>
        <w:gridCol w:w="146"/>
        <w:gridCol w:w="146"/>
        <w:gridCol w:w="166"/>
        <w:gridCol w:w="496"/>
        <w:gridCol w:w="146"/>
        <w:gridCol w:w="146"/>
        <w:gridCol w:w="204"/>
        <w:gridCol w:w="668"/>
        <w:gridCol w:w="198"/>
      </w:tblGrid>
      <w:tr>
        <w:trPr/>
        <w:tc>
          <w:tcPr>
            <w:tcW w:w="2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Basis Point</w:t>
              <w:br/>
              <w:t>Spread Above</w:t>
              <w:br/>
              <w:t xml:space="preserve">Index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03/31/25</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12,542</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5,589</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04/28/28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4,838</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01/29/26</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9,385</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LLC and Dynata,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12/20/24</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12,701</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Riverpoint Medical,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3,142</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Riverside Assessments,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03/09/25</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10,758</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06/16/29</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3,683</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S101 Holdings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12/29/26</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4,176</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01/03/25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6,643</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12/20/24</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4,806</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06/13/29</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14,294</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12/18/27</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6,370</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Systems Holding Company</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05/03/24</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9,401</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05/17/28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Communications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9,211</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9,477</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12/11/26</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11,978</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Summit Behavioral Healthcare,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3,554</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 (f/k/a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08/16/27</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15,829</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Team Services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2,656</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07/18/25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2,921</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07/27/26</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11,846</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08/31/27</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7,658</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Canada Parent, Inc. and TPC US Parent,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11/24/25</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5,410</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06/06/25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6,219</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04/03/28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10,527</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06/15/26</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3,770</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02/27/27</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19,113</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03/01/24</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19,239</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857,885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- 826.4%</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- 53.0%</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54,996</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 - 879.4%</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918,474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912,881</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 — (779.4)%</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(809,072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Members' Equity—100.0%</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103,809</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Represents floating rate instruments that accrue interest at a predetermined spread relative to an index, typically the applicable Secured Overnight Financing Rate, or “SOFR” or Prime rate or</w:t>
        <w:br/>
        <w:t>“P”. The spread may change based on the type of rate used. The terms in the Schedule of Investments disclose the actual interest rate in effect as of the reporting period. SOFR loans are typically</w:t>
        <w:br/>
        <w:t>indexed to a 30-day, 60-day, 90-day or 180-day SOFR rate (1M S, 2M S, 3M S, or 6M S, respectively), at the borrower’s option. All securities are subject to a SOFR or Prime rate floor where a</w:t>
        <w:br/>
        <w:t>spread is provided, unless noted. The spread provided includes PIK interest and other fee rates, if any.</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(2)</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Valued based on PSLF’s accounting policy.</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2"/>
        </w:rPr>
        <w:br/>
      </w:r>
      <w:r>
        <w:rPr>
          <w:rFonts w:ascii="Times New Roman" w:hAnsi="Times New Roman"/>
          <w:color w:val="000000"/>
          <w:sz w:val="20"/>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Below is a listing of PSLF’s individual investments as of September 30, 2023 ($ in thousands):</w:t>
      </w:r>
    </w:p>
    <w:tbl>
      <w:tblPr>
        <w:tblW w:w="10205" w:type="dxa"/>
        <w:jc w:val="left"/>
        <w:tblInd w:w="0" w:type="dxa"/>
        <w:tblLayout w:type="fixed"/>
        <w:tblCellMar>
          <w:top w:w="28" w:type="dxa"/>
          <w:left w:w="28" w:type="dxa"/>
          <w:bottom w:w="28" w:type="dxa"/>
          <w:right w:w="28" w:type="dxa"/>
        </w:tblCellMar>
      </w:tblPr>
      <w:tblGrid>
        <w:gridCol w:w="2148"/>
        <w:gridCol w:w="146"/>
        <w:gridCol w:w="766"/>
        <w:gridCol w:w="146"/>
        <w:gridCol w:w="1947"/>
        <w:gridCol w:w="146"/>
        <w:gridCol w:w="201"/>
        <w:gridCol w:w="520"/>
        <w:gridCol w:w="211"/>
        <w:gridCol w:w="146"/>
        <w:gridCol w:w="881"/>
        <w:gridCol w:w="146"/>
        <w:gridCol w:w="146"/>
        <w:gridCol w:w="436"/>
        <w:gridCol w:w="146"/>
        <w:gridCol w:w="146"/>
        <w:gridCol w:w="166"/>
        <w:gridCol w:w="436"/>
        <w:gridCol w:w="146"/>
        <w:gridCol w:w="146"/>
        <w:gridCol w:w="230"/>
        <w:gridCol w:w="605"/>
        <w:gridCol w:w="198"/>
      </w:tblGrid>
      <w:tr>
        <w:trPr/>
        <w:tc>
          <w:tcPr>
            <w:tcW w:w="2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Basis Point</w:t>
              <w:br/>
              <w:t>Spread Above</w:t>
              <w:br/>
              <w:t xml:space="preserve">Index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 - 783.7%</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35"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14,850</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Alpine Acquisition Corp II</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Packaging and Glass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14,244</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Amsive Holding Corporation (f/k/a Vision Purchaser Corporation)</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06/10/25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13,749</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14,103</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10,665</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07/31/25</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6,408</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Term Loan B</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3,308</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 Term Loan 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07/31/25</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7,512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 - Unfunded Term Loan (3)</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9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08/03/29</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07/01/29</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13,811</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01/31/28</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17,556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Purchaser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09/26/29</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841</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17,281</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8,500</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DRI Holding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3,993</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Manufacturing / Basic Industries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8,505</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01/10/29</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6,125</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 Rent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01/17/24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ETE Intermediate II,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05/29/29</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12,193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9,555</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Fairbanks Morse Defense</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06/17/28</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Motels, Inns and Gaming</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4,307</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03/16/26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1,935</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19,717</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15,110</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14,036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IG Investments Holdings,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09/22/28</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Acquisitionco,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12/31/24</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19,737</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11,053</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Infolinks Media Buyco,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6,364</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19,504</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12/20/23</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SOFR+800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12,061</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16,666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10/31/24</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02/18/27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19,526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12,096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01/31/30</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7,601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7,202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Magenta Buyer,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2,805</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7,749</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2,884</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5,843</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NBH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7,280</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Flood Incorporated</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05/09/29</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8,020</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8,470</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 (New Issue)</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4,301</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11,244</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7,137</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3,264</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03/31/25</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12,576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4/28/2028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4,800</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1/29/2026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9,458</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LLC and Dynata,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12,591</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Riverpoint Medical,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6/20/2025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3,131</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Riverside Assessments,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3/10/2025</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10,786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6/16/2029</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3,692</w:t>
            </w:r>
          </w:p>
        </w:tc>
        <w:tc>
          <w:tcPr>
            <w:tcW w:w="198"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0"/>
        <w:gridCol w:w="146"/>
        <w:gridCol w:w="766"/>
        <w:gridCol w:w="146"/>
        <w:gridCol w:w="1429"/>
        <w:gridCol w:w="146"/>
        <w:gridCol w:w="201"/>
        <w:gridCol w:w="520"/>
        <w:gridCol w:w="211"/>
        <w:gridCol w:w="146"/>
        <w:gridCol w:w="872"/>
        <w:gridCol w:w="146"/>
        <w:gridCol w:w="146"/>
        <w:gridCol w:w="436"/>
        <w:gridCol w:w="146"/>
        <w:gridCol w:w="146"/>
        <w:gridCol w:w="166"/>
        <w:gridCol w:w="496"/>
        <w:gridCol w:w="146"/>
        <w:gridCol w:w="146"/>
        <w:gridCol w:w="206"/>
        <w:gridCol w:w="673"/>
        <w:gridCol w:w="199"/>
      </w:tblGrid>
      <w:tr>
        <w:trPr/>
        <w:tc>
          <w:tcPr>
            <w:tcW w:w="2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Basis Point</w:t>
              <w:br/>
              <w:t>Spread Above</w:t>
              <w:br/>
              <w:t xml:space="preserve">Index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1/3/2025</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6,825</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4,823</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6/13/2029</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14,405</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Systems Holding Company</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5/3/2024</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11,201</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5/17/2028</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1,272</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7/17/2025</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Communications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3/1/2028</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9,396</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12/11/2026</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11,857</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Summit Behavioral Healthcare,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3,559</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 (f/k/a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15,790</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Team Services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2,627</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7/18/2025</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2,931</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Aegis Technologies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10,929</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7/27/2026</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7,823</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7,628</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Canada Parent, Inc. and TPC US Parent,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11/24/2025</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5,479</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6/6/2025</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7,177</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4/3/2028</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10,391</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6/15/2026</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3,780</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2/27/2026</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11,272</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3/1/2024</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19,042</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9"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810,737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804,187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7" w:type="dxa"/>
            <w:gridSpan w:val="5"/>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- 783.7%</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9"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5057" w:type="dxa"/>
            <w:gridSpan w:val="5"/>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- 57.6%</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9"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59,096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59,096</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59,096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7" w:type="dxa"/>
            <w:gridSpan w:val="5"/>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 - 841.3%</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869,833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863,283</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57" w:type="dxa"/>
            <w:gridSpan w:val="5"/>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 — (741.3)%</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(760,665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7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Members' Equity—100.0%</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102,618</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Represents floating rate instruments that accrue interest at a predetermined spread relative to an index, typically the applicable Secured Overnight Financing Rate, or “SOFR” or Prime rate or</w:t>
        <w:br/>
        <w:t>“P”. The spread may change based on the type of rate used. The terms in the Schedule of Investments disclose the actual interest rate in effect as of the reporting period. SOFR loans are typically</w:t>
        <w:br/>
        <w:t>indexed to a 30-day, 60-day, 90-day or 180-day SOFR rate (1M S, 2M S, 3M S, or 6M S, respectively), at the borrower’s option. All securities are subject to a SOFR or Prime rate floor where a</w:t>
        <w:br/>
        <w:t>spread is provided, unless noted. The spread provided includes PIK interest and other fee rates, if any.</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(2)</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Valued based on PSLF’s accounting policy.</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(3)</w:t>
      </w:r>
    </w:p>
    <w:p>
      <w:pPr>
        <w:pStyle w:val="TextBody"/>
        <w:bidi w:val="0"/>
        <w:spacing w:before="40" w:after="283"/>
        <w:jc w:val="left"/>
        <w:rPr>
          <w:rFonts w:ascii="Times New Roman" w:hAnsi="Times New Roman"/>
          <w:sz w:val="20"/>
        </w:rPr>
      </w:pPr>
      <w:r>
        <w:rPr>
          <w:rFonts w:ascii="Times New Roman" w:hAnsi="Times New Roman"/>
          <w:color w:val="000000"/>
          <w:sz w:val="12"/>
        </w:rPr>
        <w:t>Represents the purchase of a security with delayed settlement or a revolving line of credit that is currently an unfunded investment. This security does not earn a basis point spread above an</w:t>
        <w:br/>
        <w:t>index while it is unfunded.</w:t>
        <w:br/>
      </w:r>
      <w:r>
        <w:rPr>
          <w:rFonts w:ascii="Times New Roman" w:hAnsi="Times New Roman"/>
          <w:color w:val="000000"/>
          <w:sz w:val="20"/>
        </w:rPr>
        <w:t> </w:t>
      </w:r>
    </w:p>
    <w:p>
      <w:pPr>
        <w:pStyle w:val="TextBody"/>
        <w:bidi w:val="0"/>
        <w:spacing w:before="40" w:after="283"/>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Below are the consolidated statements of assets and liabilities for PSLF ($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3"/>
        <w:gridCol w:w="146"/>
        <w:gridCol w:w="494"/>
        <w:gridCol w:w="1748"/>
        <w:gridCol w:w="146"/>
        <w:gridCol w:w="146"/>
        <w:gridCol w:w="324"/>
        <w:gridCol w:w="1145"/>
        <w:gridCol w:w="793"/>
      </w:tblGrid>
      <w:tr>
        <w:trPr/>
        <w:tc>
          <w:tcPr>
            <w:tcW w:w="5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52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 (Unaudited)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vAlign w:val="center"/>
          </w:tcPr>
          <w:p>
            <w:pPr>
              <w:pStyle w:val="TableContents"/>
              <w:bidi w:val="0"/>
              <w:spacing w:before="0" w:after="283"/>
              <w:jc w:val="left"/>
              <w:rPr/>
            </w:pPr>
            <w:r>
              <w:rPr/>
              <w:t> </w:t>
            </w:r>
          </w:p>
        </w:tc>
        <w:tc>
          <w:tcPr>
            <w:tcW w:w="22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9"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jc w:val="righ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Investments at fair value (amortized cost—$863,478</w:t>
            </w:r>
            <w:r>
              <w:rPr>
                <w:rFonts w:ascii="Times New Roman" w:hAnsi="Times New Roman"/>
                <w:color w:val="000000"/>
                <w:sz w:val="20"/>
              </w:rPr>
              <w:t> </w:t>
            </w:r>
            <w:r>
              <w:rPr>
                <w:rFonts w:ascii="Times New Roman" w:hAnsi="Times New Roman"/>
                <w:color w:val="000000"/>
                <w:sz w:val="16"/>
              </w:rPr>
              <w:t>and $810,737, respectively)</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857,885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804,187</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(cost—$54,996</w:t>
            </w:r>
            <w:r>
              <w:rPr>
                <w:rFonts w:ascii="Times New Roman" w:hAnsi="Times New Roman"/>
                <w:color w:val="000000"/>
                <w:sz w:val="20"/>
              </w:rPr>
              <w:t> </w:t>
            </w:r>
            <w:r>
              <w:rPr>
                <w:rFonts w:ascii="Times New Roman" w:hAnsi="Times New Roman"/>
                <w:color w:val="000000"/>
                <w:sz w:val="16"/>
              </w:rPr>
              <w:t>and $59,096, respectively)</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59,096</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5,248</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from affiliate</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3,296</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CECFF" w:val="clear"/>
            <w:vAlign w:val="center"/>
          </w:tcPr>
          <w:p>
            <w:pPr>
              <w:pStyle w:val="TableContents"/>
              <w:bidi w:val="0"/>
              <w:spacing w:before="0" w:after="283"/>
              <w:jc w:val="left"/>
              <w:rPr/>
            </w:pPr>
            <w:r>
              <w:rPr/>
              <w:t> </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63"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872,763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CECFF" w:val="clear"/>
            <w:vAlign w:val="center"/>
          </w:tcPr>
          <w:p>
            <w:pPr>
              <w:pStyle w:val="TableContents"/>
              <w:bidi w:val="0"/>
              <w:spacing w:before="0" w:after="283"/>
              <w:jc w:val="left"/>
              <w:rPr/>
            </w:pPr>
            <w:r>
              <w:rPr/>
              <w:t> </w:t>
            </w:r>
          </w:p>
        </w:tc>
        <w:tc>
          <w:tcPr>
            <w:tcW w:w="224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9" w:type="dxa"/>
            <w:gridSpan w:val="2"/>
            <w:tcBorders/>
            <w:shd w:fill="CCECFF" w:val="clear"/>
            <w:vAlign w:val="center"/>
          </w:tcPr>
          <w:p>
            <w:pPr>
              <w:pStyle w:val="TableContents"/>
              <w:bidi w:val="0"/>
              <w:spacing w:before="0" w:after="283"/>
              <w:jc w:val="right"/>
              <w:rPr/>
            </w:pPr>
            <w:r>
              <w:rPr/>
              <w:t> </w:t>
            </w:r>
          </w:p>
        </w:tc>
        <w:tc>
          <w:tcPr>
            <w:tcW w:w="793" w:type="dxa"/>
            <w:tcBorders/>
            <w:shd w:fill="CCECFF" w:val="clear"/>
            <w:vAlign w:val="center"/>
          </w:tcPr>
          <w:p>
            <w:pPr>
              <w:pStyle w:val="TableContents"/>
              <w:bidi w:val="0"/>
              <w:spacing w:before="0" w:after="283"/>
              <w:jc w:val="righ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2034 Asset-backed debt, net (par—$246,000)</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244,284</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2035 Asset-backed debt, net (par—$246,000)</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243,825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243,727</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payable to members</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169,131</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 payable</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88,600</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credit facility and asset backed debt</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10,421</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payable to members</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notes to members</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investments purchased</w:t>
            </w:r>
          </w:p>
        </w:tc>
        <w:tc>
          <w:tcPr>
            <w:tcW w:w="146" w:type="dxa"/>
            <w:tcBorders/>
            <w:shd w:fill="FFFFFF" w:val="cle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63"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CECFF" w:val="clear"/>
            <w:vAlign w:val="center"/>
          </w:tcPr>
          <w:p>
            <w:pPr>
              <w:pStyle w:val="TableContents"/>
              <w:bidi w:val="0"/>
              <w:spacing w:before="0" w:after="283"/>
              <w:jc w:val="left"/>
              <w:rPr/>
            </w:pPr>
            <w:r>
              <w:rPr/>
              <w:t> </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816,878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770,145</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2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5263"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Members' equity</w:t>
            </w:r>
          </w:p>
        </w:tc>
        <w:tc>
          <w:tcPr>
            <w:tcW w:w="146" w:type="dxa"/>
            <w:tcBorders/>
            <w:shd w:fill="CCECFF" w:val="clear"/>
            <w:vAlign w:val="center"/>
          </w:tcPr>
          <w:p>
            <w:pPr>
              <w:pStyle w:val="TableContents"/>
              <w:bidi w:val="0"/>
              <w:spacing w:before="0" w:after="283"/>
              <w:jc w:val="left"/>
              <w:rPr/>
            </w:pPr>
            <w:r>
              <w:rPr/>
              <w:t> </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103,809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102,618</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63"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liabilities and members' equity</w:t>
            </w:r>
          </w:p>
        </w:tc>
        <w:tc>
          <w:tcPr>
            <w:tcW w:w="146" w:type="dxa"/>
            <w:tcBorders/>
            <w:shd w:fill="FFFFFF" w:val="cle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872,763</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As of December 31, 2023 and September 30, 2023, PSLF had zero and $0.5 million, respectively, of unfunded commitments to fund investments</w:t>
      </w:r>
    </w:p>
    <w:p>
      <w:pPr>
        <w:pStyle w:val="TextBody"/>
        <w:bidi w:val="0"/>
        <w:spacing w:before="40" w:after="283"/>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spacing w:before="40" w:after="283"/>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Below are the consolidated statements of operations for PSLF ($ in thousands):</w:t>
      </w:r>
    </w:p>
    <w:p>
      <w:pPr>
        <w:pStyle w:val="TextBody"/>
        <w:bidi w:val="0"/>
        <w:jc w:val="left"/>
        <w:rPr/>
      </w:pPr>
      <w:r>
        <w:rPr/>
        <w:t> </w:t>
      </w:r>
    </w:p>
    <w:tbl>
      <w:tblPr>
        <w:tblW w:w="8407" w:type="dxa"/>
        <w:jc w:val="left"/>
        <w:tblInd w:w="0" w:type="dxa"/>
        <w:tblLayout w:type="fixed"/>
        <w:tblCellMar>
          <w:top w:w="28" w:type="dxa"/>
          <w:left w:w="28" w:type="dxa"/>
          <w:bottom w:w="28" w:type="dxa"/>
          <w:right w:w="28" w:type="dxa"/>
        </w:tblCellMar>
      </w:tblPr>
      <w:tblGrid>
        <w:gridCol w:w="5086"/>
        <w:gridCol w:w="146"/>
        <w:gridCol w:w="146"/>
        <w:gridCol w:w="274"/>
        <w:gridCol w:w="841"/>
        <w:gridCol w:w="204"/>
        <w:gridCol w:w="204"/>
        <w:gridCol w:w="274"/>
        <w:gridCol w:w="841"/>
        <w:gridCol w:w="3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391" w:type="dxa"/>
            <w:tcBorders/>
            <w:shd w:fill="FFFFFF" w:val="cle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15" w:type="dxa"/>
            <w:gridSpan w:val="2"/>
            <w:tcBorders/>
            <w:shd w:fill="CCECFF" w:val="clear"/>
            <w:vAlign w:val="center"/>
          </w:tcPr>
          <w:p>
            <w:pPr>
              <w:pStyle w:val="TableContents"/>
              <w:bidi w:val="0"/>
              <w:spacing w:before="0" w:after="283"/>
              <w:jc w:val="right"/>
              <w:rPr/>
            </w:pPr>
            <w:r>
              <w:rPr/>
              <w:t> </w:t>
            </w:r>
          </w:p>
        </w:tc>
        <w:tc>
          <w:tcPr>
            <w:tcW w:w="204" w:type="dxa"/>
            <w:tcBorders/>
            <w:shd w:fill="CCEC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1115" w:type="dxa"/>
            <w:gridSpan w:val="2"/>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ind w:left="0" w:right="0" w:firstLine="200"/>
              <w:jc w:val="righ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27,107</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27,247</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Expenses: </w:t>
            </w:r>
            <w:r>
              <w:rPr>
                <w:rFonts w:ascii="Times New Roman" w:hAnsi="Times New Roman"/>
                <w:b/>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15" w:type="dxa"/>
            <w:gridSpan w:val="2"/>
            <w:tcBorders/>
            <w:shd w:fill="CCECFF" w:val="clear"/>
            <w:vAlign w:val="center"/>
          </w:tcPr>
          <w:p>
            <w:pPr>
              <w:pStyle w:val="TableContents"/>
              <w:bidi w:val="0"/>
              <w:spacing w:before="0" w:after="283"/>
              <w:jc w:val="right"/>
              <w:rPr/>
            </w:pPr>
            <w:r>
              <w:rPr/>
              <w:t> </w:t>
            </w:r>
          </w:p>
        </w:tc>
        <w:tc>
          <w:tcPr>
            <w:tcW w:w="204" w:type="dxa"/>
            <w:tcBorders/>
            <w:shd w:fill="CCECFF" w:val="clear"/>
            <w:vAlign w:val="center"/>
          </w:tcPr>
          <w:p>
            <w:pPr>
              <w:pStyle w:val="TableContents"/>
              <w:bidi w:val="0"/>
              <w:spacing w:before="0" w:after="283"/>
              <w:jc w:val="right"/>
              <w:rPr/>
            </w:pPr>
            <w:r>
              <w:rPr/>
              <w:t> </w:t>
            </w:r>
          </w:p>
        </w:tc>
        <w:tc>
          <w:tcPr>
            <w:tcW w:w="204" w:type="dxa"/>
            <w:tcBorders/>
            <w:shd w:fill="CCECFF" w:val="clear"/>
            <w:vAlign w:val="center"/>
          </w:tcPr>
          <w:p>
            <w:pPr>
              <w:pStyle w:val="TableContents"/>
              <w:bidi w:val="0"/>
              <w:spacing w:before="0" w:after="283"/>
              <w:jc w:val="right"/>
              <w:rPr/>
            </w:pPr>
            <w:r>
              <w:rPr/>
              <w:t> </w:t>
            </w:r>
          </w:p>
        </w:tc>
        <w:tc>
          <w:tcPr>
            <w:tcW w:w="1115" w:type="dxa"/>
            <w:gridSpan w:val="2"/>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ind w:left="0" w:right="0" w:firstLine="200"/>
              <w:jc w:val="righ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expense on credit facility and asset-backed debt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12,640</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expense on notes to members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4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5,844</w:t>
            </w:r>
          </w:p>
        </w:tc>
        <w:tc>
          <w:tcPr>
            <w:tcW w:w="204"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left"/>
              <w:rPr/>
            </w:pPr>
            <w:r>
              <w:rPr/>
              <w:t> </w:t>
            </w:r>
          </w:p>
        </w:tc>
        <w:tc>
          <w:tcPr>
            <w:tcW w:w="84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4,723</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Administration fees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7,998</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5,563</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and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0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41" w:type="dxa"/>
            <w:tcBorders/>
            <w:shd w:fill="CCECFF" w:val="clear"/>
            <w:vAlign w:val="center"/>
          </w:tcPr>
          <w:p>
            <w:pPr>
              <w:pStyle w:val="TableContents"/>
              <w:bidi w:val="0"/>
              <w:spacing w:before="0" w:after="283"/>
              <w:jc w:val="right"/>
              <w:rPr>
                <w:color w:val="000000"/>
              </w:rPr>
            </w:pPr>
            <w:r>
              <w:rPr>
                <w:color w:val="000000"/>
              </w:rPr>
              <w:t>—</w:t>
            </w:r>
          </w:p>
        </w:tc>
        <w:tc>
          <w:tcPr>
            <w:tcW w:w="204"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left"/>
              <w:rPr/>
            </w:pPr>
            <w:r>
              <w:rPr/>
              <w:t> </w:t>
            </w:r>
          </w:p>
        </w:tc>
        <w:tc>
          <w:tcPr>
            <w:tcW w:w="84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3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 on investments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members' equity resulting from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color w:val="000000"/>
          <w:sz w:val="11"/>
        </w:rPr>
        <w:t xml:space="preserve">(1) </w:t>
      </w:r>
      <w:r>
        <w:rPr>
          <w:rFonts w:ascii="Times New Roman" w:hAnsi="Times New Roman"/>
          <w:color w:val="000000"/>
          <w:sz w:val="16"/>
        </w:rPr>
        <w:t>No management or incentive fees are payable by PSLF.</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5. FAIR VALUE OF FINANCIAL INSTRUMENTS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ASC 820 classifies the inputs used to measure these fair values into the following hierarchies: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0"/>
        <w:gridCol w:w="9433"/>
        <w:gridCol w:w="192"/>
      </w:tblGrid>
      <w:tr>
        <w:trPr/>
        <w:tc>
          <w:tcPr>
            <w:tcW w:w="580" w:type="dxa"/>
            <w:tcBorders/>
            <w:vAlign w:val="center"/>
          </w:tcPr>
          <w:p>
            <w:pPr>
              <w:pStyle w:val="TableContents"/>
              <w:bidi w:val="0"/>
              <w:spacing w:before="0" w:after="283"/>
              <w:jc w:val="left"/>
              <w:rPr>
                <w:sz w:val="4"/>
                <w:szCs w:val="4"/>
              </w:rPr>
            </w:pPr>
            <w:r>
              <w:rPr>
                <w:sz w:val="4"/>
                <w:szCs w:val="4"/>
              </w:rPr>
            </w:r>
          </w:p>
        </w:tc>
        <w:tc>
          <w:tcPr>
            <w:tcW w:w="94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1:</w:t>
            </w:r>
          </w:p>
        </w:tc>
        <w:tc>
          <w:tcPr>
            <w:tcW w:w="9433"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Inputs that are quoted prices (unadjusted) in active markets for identical assets or liabilities, accessible by us at the measurement date.</w:t>
            </w:r>
          </w:p>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2:</w:t>
            </w:r>
          </w:p>
        </w:tc>
        <w:tc>
          <w:tcPr>
            <w:tcW w:w="9433"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3:</w:t>
            </w:r>
          </w:p>
        </w:tc>
        <w:tc>
          <w:tcPr>
            <w:tcW w:w="9433"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Inputs that are unobservable for an asset or liability because they are based on our own assumptions about how market participants would price the asset or liability.</w:t>
            </w:r>
          </w:p>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160" w:after="283"/>
        <w:jc w:val="both"/>
        <w:rPr>
          <w:rFonts w:ascii="Times New Roman" w:hAnsi="Times New Roman"/>
          <w:color w:val="000000"/>
          <w:sz w:val="16"/>
        </w:rPr>
      </w:pPr>
      <w:r>
        <w:rPr>
          <w:rFonts w:ascii="Times New Roman" w:hAnsi="Times New Roman"/>
          <w:color w:val="000000"/>
          <w:sz w:val="16"/>
        </w:rPr>
        <w:t>A financial instrument’s categorization within the valuation hierarchy is based upon the lowest level of input that is significant to the fair value measurement. Generally, most of our investments and our Truist Credit Facility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pStyle w:val="TextBody"/>
        <w:bidi w:val="0"/>
        <w:jc w:val="both"/>
        <w:rPr>
          <w:rFonts w:ascii="Times New Roman" w:hAnsi="Times New Roman"/>
          <w:color w:val="000000"/>
          <w:sz w:val="16"/>
        </w:rPr>
      </w:pPr>
      <w:r>
        <w:rPr>
          <w:rFonts w:ascii="Times New Roman" w:hAnsi="Times New Roman"/>
          <w:color w:val="000000"/>
          <w:sz w:val="16"/>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 review of fair value hierarchy classifications is conducted on a quarterly basis. Changes in our ability to observe valuation inputs may result in a reclassification for certain financial assets or liabilities.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addition to using the above inputs to value cash equivalents, investments, our 2026 Notes, our 2026 Notes -2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both"/>
        <w:rPr>
          <w:rFonts w:ascii="Times New Roman" w:hAnsi="Times New Roman"/>
          <w:color w:val="000000"/>
          <w:sz w:val="16"/>
        </w:rPr>
      </w:pPr>
      <w:r>
        <w:rPr>
          <w:rFonts w:ascii="Times New Roman" w:hAnsi="Times New Roman"/>
          <w:color w:val="000000"/>
          <w:sz w:val="16"/>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remainder of our investment portfolio and our long-term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Level 3 valuation techniques, unobservable inputs and ranges were categorized as follows for ASC 820 purposes: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99"/>
        <w:gridCol w:w="146"/>
        <w:gridCol w:w="280"/>
        <w:gridCol w:w="1183"/>
        <w:gridCol w:w="146"/>
        <w:gridCol w:w="146"/>
        <w:gridCol w:w="1735"/>
        <w:gridCol w:w="146"/>
        <w:gridCol w:w="2024"/>
        <w:gridCol w:w="146"/>
        <w:gridCol w:w="1754"/>
      </w:tblGrid>
      <w:tr>
        <w:trPr/>
        <w:tc>
          <w:tcPr>
            <w:tcW w:w="2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r>
      <w:tr>
        <w:trPr/>
        <w:tc>
          <w:tcPr>
            <w:tcW w:w="2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Category ($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at </w:t>
              <w:b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(Weighted Average)</w:t>
            </w:r>
            <w:r>
              <w:rPr>
                <w:rFonts w:ascii="Times New Roman" w:hAnsi="Times New Roman"/>
                <w:color w:val="000000"/>
                <w:sz w:val="16"/>
              </w:rPr>
              <w:t> </w:t>
            </w:r>
            <w:r>
              <w:rPr>
                <w:rFonts w:ascii="Times New Roman" w:hAnsi="Times New Roman"/>
                <w:b/>
                <w:color w:val="000000"/>
                <w:sz w:val="11"/>
              </w:rPr>
              <w:t>(1)</w:t>
            </w:r>
          </w:p>
        </w:tc>
      </w:tr>
      <w:tr>
        <w:trPr/>
        <w:tc>
          <w:tcPr>
            <w:tcW w:w="24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FFFFFF" w:val="cle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3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202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Broker/Dealer bids or quotes</w:t>
            </w:r>
          </w:p>
        </w:tc>
        <w:tc>
          <w:tcPr>
            <w:tcW w:w="146"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2499"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CCECFF" w:val="clear"/>
            <w:vAlign w:val="center"/>
          </w:tcPr>
          <w:p>
            <w:pPr>
              <w:pStyle w:val="TableContents"/>
              <w:bidi w:val="0"/>
              <w:spacing w:before="0" w:after="283"/>
              <w:jc w:val="left"/>
              <w:rPr/>
            </w:pPr>
            <w:r>
              <w:rPr/>
              <w:t> </w:t>
            </w:r>
          </w:p>
        </w:tc>
        <w:tc>
          <w:tcPr>
            <w:tcW w:w="280" w:type="dxa"/>
            <w:tcBorders/>
            <w:shd w:fill="CCECFF" w:val="clear"/>
            <w:vAlign w:val="center"/>
          </w:tcPr>
          <w:p>
            <w:pPr>
              <w:pStyle w:val="TableContents"/>
              <w:bidi w:val="0"/>
              <w:spacing w:before="0" w:after="283"/>
              <w:jc w:val="left"/>
              <w:rPr/>
            </w:pPr>
            <w:r>
              <w:rPr/>
              <w:t> </w:t>
            </w:r>
          </w:p>
        </w:tc>
        <w:tc>
          <w:tcPr>
            <w:tcW w:w="118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663,707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35"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CCECFF" w:val="clear"/>
            <w:vAlign w:val="center"/>
          </w:tcPr>
          <w:p>
            <w:pPr>
              <w:pStyle w:val="TableContents"/>
              <w:bidi w:val="0"/>
              <w:spacing w:before="0" w:after="283"/>
              <w:jc w:val="left"/>
              <w:rPr/>
            </w:pPr>
            <w:r>
              <w:rPr/>
              <w:t> </w:t>
            </w:r>
          </w:p>
        </w:tc>
        <w:tc>
          <w:tcPr>
            <w:tcW w:w="202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CCECFF" w:val="clear"/>
            <w:vAlign w:val="center"/>
          </w:tcPr>
          <w:p>
            <w:pPr>
              <w:pStyle w:val="TableContents"/>
              <w:bidi w:val="0"/>
              <w:spacing w:before="0" w:after="283"/>
              <w:jc w:val="left"/>
              <w:rPr/>
            </w:pPr>
            <w:r>
              <w:rPr/>
              <w:t> </w:t>
            </w:r>
          </w:p>
        </w:tc>
        <w:tc>
          <w:tcPr>
            <w:tcW w:w="175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7.0% - 27.1% (11.0%)</w:t>
            </w:r>
          </w:p>
        </w:tc>
      </w:tr>
      <w:tr>
        <w:trPr/>
        <w:tc>
          <w:tcPr>
            <w:tcW w:w="24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202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Broker/Dealer bids or quotes</w:t>
            </w:r>
          </w:p>
        </w:tc>
        <w:tc>
          <w:tcPr>
            <w:tcW w:w="146"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2499"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CCECFF" w:val="clear"/>
            <w:vAlign w:val="center"/>
          </w:tcPr>
          <w:p>
            <w:pPr>
              <w:pStyle w:val="TableContents"/>
              <w:bidi w:val="0"/>
              <w:spacing w:before="0" w:after="283"/>
              <w:jc w:val="left"/>
              <w:rPr/>
            </w:pPr>
            <w:r>
              <w:rPr/>
              <w:t> </w:t>
            </w:r>
          </w:p>
        </w:tc>
        <w:tc>
          <w:tcPr>
            <w:tcW w:w="280" w:type="dxa"/>
            <w:tcBorders/>
            <w:shd w:fill="CCECFF" w:val="clear"/>
            <w:vAlign w:val="center"/>
          </w:tcPr>
          <w:p>
            <w:pPr>
              <w:pStyle w:val="TableContents"/>
              <w:bidi w:val="0"/>
              <w:spacing w:before="0" w:after="283"/>
              <w:jc w:val="left"/>
              <w:rPr/>
            </w:pPr>
            <w:r>
              <w:rPr/>
              <w:t> </w:t>
            </w:r>
          </w:p>
        </w:tc>
        <w:tc>
          <w:tcPr>
            <w:tcW w:w="118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35"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CECFF" w:val="clear"/>
            <w:vAlign w:val="center"/>
          </w:tcPr>
          <w:p>
            <w:pPr>
              <w:pStyle w:val="TableContents"/>
              <w:bidi w:val="0"/>
              <w:spacing w:before="0" w:after="283"/>
              <w:jc w:val="left"/>
              <w:rPr/>
            </w:pPr>
            <w:r>
              <w:rPr/>
              <w:t> </w:t>
            </w:r>
          </w:p>
        </w:tc>
        <w:tc>
          <w:tcPr>
            <w:tcW w:w="202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EBITDA multiple</w:t>
            </w:r>
          </w:p>
        </w:tc>
        <w:tc>
          <w:tcPr>
            <w:tcW w:w="146" w:type="dxa"/>
            <w:tcBorders/>
            <w:shd w:fill="CCECFF" w:val="clear"/>
            <w:vAlign w:val="center"/>
          </w:tcPr>
          <w:p>
            <w:pPr>
              <w:pStyle w:val="TableContents"/>
              <w:bidi w:val="0"/>
              <w:spacing w:before="0" w:after="283"/>
              <w:jc w:val="left"/>
              <w:rPr/>
            </w:pPr>
            <w:r>
              <w:rPr/>
              <w:t> </w:t>
            </w:r>
          </w:p>
        </w:tc>
        <w:tc>
          <w:tcPr>
            <w:tcW w:w="175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6.3x - 7.0x (7.0x)</w:t>
            </w:r>
          </w:p>
        </w:tc>
      </w:tr>
      <w:tr>
        <w:trPr/>
        <w:tc>
          <w:tcPr>
            <w:tcW w:w="24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202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14.0% - 15.4% (14.3%)</w:t>
            </w:r>
          </w:p>
        </w:tc>
      </w:tr>
      <w:tr>
        <w:trPr/>
        <w:tc>
          <w:tcPr>
            <w:tcW w:w="2499"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 / corporate notes</w:t>
            </w:r>
          </w:p>
        </w:tc>
        <w:tc>
          <w:tcPr>
            <w:tcW w:w="146" w:type="dxa"/>
            <w:tcBorders/>
            <w:shd w:fill="CCECFF" w:val="clear"/>
            <w:vAlign w:val="center"/>
          </w:tcPr>
          <w:p>
            <w:pPr>
              <w:pStyle w:val="TableContents"/>
              <w:bidi w:val="0"/>
              <w:spacing w:before="0" w:after="283"/>
              <w:jc w:val="left"/>
              <w:rPr/>
            </w:pPr>
            <w:r>
              <w:rPr/>
              <w:t> </w:t>
            </w:r>
          </w:p>
        </w:tc>
        <w:tc>
          <w:tcPr>
            <w:tcW w:w="280" w:type="dxa"/>
            <w:tcBorders/>
            <w:shd w:fill="CCECFF" w:val="clear"/>
            <w:vAlign w:val="center"/>
          </w:tcPr>
          <w:p>
            <w:pPr>
              <w:pStyle w:val="TableContents"/>
              <w:bidi w:val="0"/>
              <w:spacing w:before="0" w:after="283"/>
              <w:jc w:val="left"/>
              <w:rPr/>
            </w:pPr>
            <w:r>
              <w:rPr/>
              <w:t> </w:t>
            </w:r>
          </w:p>
        </w:tc>
        <w:tc>
          <w:tcPr>
            <w:tcW w:w="118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35"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CCECFF" w:val="clear"/>
            <w:vAlign w:val="center"/>
          </w:tcPr>
          <w:p>
            <w:pPr>
              <w:pStyle w:val="TableContents"/>
              <w:bidi w:val="0"/>
              <w:spacing w:before="0" w:after="283"/>
              <w:jc w:val="left"/>
              <w:rPr/>
            </w:pPr>
            <w:r>
              <w:rPr/>
              <w:t> </w:t>
            </w:r>
          </w:p>
        </w:tc>
        <w:tc>
          <w:tcPr>
            <w:tcW w:w="202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CCECFF" w:val="clear"/>
            <w:vAlign w:val="center"/>
          </w:tcPr>
          <w:p>
            <w:pPr>
              <w:pStyle w:val="TableContents"/>
              <w:bidi w:val="0"/>
              <w:spacing w:before="0" w:after="283"/>
              <w:jc w:val="left"/>
              <w:rPr/>
            </w:pPr>
            <w:r>
              <w:rPr/>
              <w:t> </w:t>
            </w:r>
          </w:p>
        </w:tc>
        <w:tc>
          <w:tcPr>
            <w:tcW w:w="1754"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13.4% - 17.7% (14.5%)</w:t>
            </w:r>
          </w:p>
        </w:tc>
      </w:tr>
      <w:tr>
        <w:trPr/>
        <w:tc>
          <w:tcPr>
            <w:tcW w:w="24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202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0.5x - 17.5x (10.6x)</w:t>
            </w:r>
          </w:p>
        </w:tc>
      </w:tr>
      <w:tr>
        <w:trPr/>
        <w:tc>
          <w:tcPr>
            <w:tcW w:w="2499"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CECFF" w:val="clear"/>
            <w:vAlign w:val="center"/>
          </w:tcPr>
          <w:p>
            <w:pPr>
              <w:pStyle w:val="TableContents"/>
              <w:bidi w:val="0"/>
              <w:spacing w:before="0" w:after="283"/>
              <w:jc w:val="left"/>
              <w:rPr/>
            </w:pPr>
            <w:r>
              <w:rPr/>
              <w:t> </w:t>
            </w:r>
          </w:p>
        </w:tc>
        <w:tc>
          <w:tcPr>
            <w:tcW w:w="2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35"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CECFF" w:val="clear"/>
            <w:vAlign w:val="center"/>
          </w:tcPr>
          <w:p>
            <w:pPr>
              <w:pStyle w:val="TableContents"/>
              <w:bidi w:val="0"/>
              <w:spacing w:before="0" w:after="283"/>
              <w:jc w:val="left"/>
              <w:rPr/>
            </w:pPr>
            <w:r>
              <w:rPr/>
              <w:t> </w:t>
            </w:r>
          </w:p>
        </w:tc>
        <w:tc>
          <w:tcPr>
            <w:tcW w:w="2024" w:type="dxa"/>
            <w:tcBorders/>
            <w:shd w:fill="CCECFF" w:val="cle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DLOM</w:t>
            </w:r>
            <w:r>
              <w:rPr>
                <w:rFonts w:ascii="Times New Roman" w:hAnsi="Times New Roman"/>
                <w:color w:val="000000"/>
                <w:sz w:val="11"/>
              </w:rPr>
              <w:t>(2)</w:t>
            </w:r>
          </w:p>
        </w:tc>
        <w:tc>
          <w:tcPr>
            <w:tcW w:w="146" w:type="dxa"/>
            <w:tcBorders/>
            <w:shd w:fill="CCECFF" w:val="clear"/>
            <w:vAlign w:val="center"/>
          </w:tcPr>
          <w:p>
            <w:pPr>
              <w:pStyle w:val="TableContents"/>
              <w:bidi w:val="0"/>
              <w:spacing w:before="0" w:after="283"/>
              <w:jc w:val="left"/>
              <w:rPr/>
            </w:pPr>
            <w:r>
              <w:rPr/>
              <w:t> </w:t>
            </w:r>
          </w:p>
        </w:tc>
        <w:tc>
          <w:tcPr>
            <w:tcW w:w="1754" w:type="dxa"/>
            <w:tcBorders/>
            <w:shd w:fill="CCECFF" w:val="clear"/>
            <w:vAlign w:val="center"/>
          </w:tcPr>
          <w:p>
            <w:pPr>
              <w:pStyle w:val="TableContents"/>
              <w:bidi w:val="0"/>
              <w:spacing w:before="0" w:after="283"/>
              <w:ind w:left="0" w:right="0" w:firstLine="400"/>
              <w:jc w:val="center"/>
              <w:rPr>
                <w:rFonts w:ascii="Times New Roman" w:hAnsi="Times New Roman"/>
                <w:color w:val="000000"/>
                <w:sz w:val="16"/>
              </w:rPr>
            </w:pPr>
            <w:r>
              <w:rPr>
                <w:rFonts w:ascii="Times New Roman" w:hAnsi="Times New Roman"/>
                <w:color w:val="000000"/>
                <w:sz w:val="16"/>
              </w:rPr>
              <w:t>14.3%</w:t>
            </w:r>
          </w:p>
        </w:tc>
      </w:tr>
      <w:tr>
        <w:trPr/>
        <w:tc>
          <w:tcPr>
            <w:tcW w:w="249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Level 3 investments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center"/>
              <w:rPr/>
            </w:pPr>
            <w:r>
              <w:rPr/>
              <w:t> </w:t>
            </w:r>
          </w:p>
        </w:tc>
      </w:tr>
      <w:tr>
        <w:trPr/>
        <w:tc>
          <w:tcPr>
            <w:tcW w:w="24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Debt Category</w:t>
            </w:r>
            <w:r>
              <w:rPr>
                <w:rFonts w:ascii="Times New Roman" w:hAnsi="Times New Roman"/>
                <w:color w:val="000000"/>
                <w:sz w:val="16"/>
              </w:rPr>
              <w:t> ($ in thousands)</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3"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735"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2024"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54" w:type="dxa"/>
            <w:tcBorders/>
            <w:shd w:fill="CCECFF" w:val="clear"/>
            <w:vAlign w:val="center"/>
          </w:tcPr>
          <w:p>
            <w:pPr>
              <w:pStyle w:val="TableContents"/>
              <w:bidi w:val="0"/>
              <w:spacing w:before="0" w:after="283"/>
              <w:jc w:val="center"/>
              <w:rPr/>
            </w:pPr>
            <w:r>
              <w:rPr/>
              <w:t> </w:t>
            </w:r>
          </w:p>
        </w:tc>
      </w:tr>
      <w:tr>
        <w:trPr/>
        <w:tc>
          <w:tcPr>
            <w:tcW w:w="24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Truist Credit Facility</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202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w:t>
            </w:r>
          </w:p>
        </w:tc>
      </w:tr>
    </w:tbl>
    <w:p>
      <w:pPr>
        <w:pStyle w:val="TextBody"/>
        <w:pBdr>
          <w:bottom w:val="single" w:sz="2" w:space="1" w:color="000000"/>
        </w:pBdr>
        <w:bidi w:val="0"/>
        <w:jc w:val="left"/>
        <w:rPr/>
      </w:pPr>
      <w:r>
        <w:rPr/>
        <w:t> </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The weighted averages disclosed in the table above were weighted by their relative fair value.</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(2)</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DLOM is defined as discount for lack of marketability.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1"/>
        <w:gridCol w:w="146"/>
        <w:gridCol w:w="329"/>
        <w:gridCol w:w="1163"/>
        <w:gridCol w:w="146"/>
        <w:gridCol w:w="146"/>
        <w:gridCol w:w="1733"/>
        <w:gridCol w:w="146"/>
        <w:gridCol w:w="2022"/>
        <w:gridCol w:w="146"/>
        <w:gridCol w:w="1747"/>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2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Asset Category </w:t>
            </w:r>
            <w:r>
              <w:rPr>
                <w:rFonts w:ascii="Times New Roman" w:hAnsi="Times New Roman"/>
                <w:color w:val="000000"/>
                <w:sz w:val="16"/>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at </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xml:space="preserve">(Weighted Average) </w:t>
            </w:r>
            <w:r>
              <w:rPr>
                <w:rFonts w:ascii="Times New Roman" w:hAnsi="Times New Roman"/>
                <w:b/>
                <w:color w:val="000000"/>
                <w:sz w:val="11"/>
              </w:rPr>
              <w:t>(1)</w:t>
            </w:r>
          </w:p>
        </w:tc>
      </w:tr>
      <w:tr>
        <w:trPr/>
        <w:tc>
          <w:tcPr>
            <w:tcW w:w="248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CCECFF" w:val="clear"/>
            <w:vAlign w:val="center"/>
          </w:tcPr>
          <w:p>
            <w:pPr>
              <w:pStyle w:val="TableContents"/>
              <w:bidi w:val="0"/>
              <w:spacing w:before="0" w:after="283"/>
              <w:jc w:val="center"/>
              <w:rPr/>
            </w:pPr>
            <w:r>
              <w:rPr/>
              <w:t> </w:t>
            </w:r>
          </w:p>
        </w:tc>
        <w:tc>
          <w:tcPr>
            <w:tcW w:w="329"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733"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CCECFF" w:val="clear"/>
            <w:vAlign w:val="center"/>
          </w:tcPr>
          <w:p>
            <w:pPr>
              <w:pStyle w:val="TableContents"/>
              <w:bidi w:val="0"/>
              <w:spacing w:before="0" w:after="283"/>
              <w:jc w:val="left"/>
              <w:rPr/>
            </w:pPr>
            <w:r>
              <w:rPr/>
              <w:t> </w:t>
            </w:r>
          </w:p>
        </w:tc>
        <w:tc>
          <w:tcPr>
            <w:tcW w:w="2022"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Broker/Dealer bids or quotes</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202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7.0% – 25.0% (11.4%)</w:t>
            </w:r>
          </w:p>
        </w:tc>
      </w:tr>
      <w:tr>
        <w:trPr/>
        <w:tc>
          <w:tcPr>
            <w:tcW w:w="248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CCECFF" w:val="clear"/>
            <w:vAlign w:val="center"/>
          </w:tcPr>
          <w:p>
            <w:pPr>
              <w:pStyle w:val="TableContents"/>
              <w:bidi w:val="0"/>
              <w:spacing w:before="0" w:after="283"/>
              <w:jc w:val="left"/>
              <w:rPr/>
            </w:pPr>
            <w:r>
              <w:rPr/>
              <w:t> </w:t>
            </w:r>
          </w:p>
        </w:tc>
        <w:tc>
          <w:tcPr>
            <w:tcW w:w="329" w:type="dxa"/>
            <w:tcBorders/>
            <w:shd w:fill="CCECFF" w:val="clear"/>
            <w:vAlign w:val="center"/>
          </w:tcPr>
          <w:p>
            <w:pPr>
              <w:pStyle w:val="TableContents"/>
              <w:bidi w:val="0"/>
              <w:spacing w:before="0" w:after="283"/>
              <w:jc w:val="left"/>
              <w:rPr/>
            </w:pPr>
            <w:r>
              <w:rPr/>
              <w:t> </w:t>
            </w:r>
          </w:p>
        </w:tc>
        <w:tc>
          <w:tcPr>
            <w:tcW w:w="116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33"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CCECFF" w:val="clear"/>
            <w:vAlign w:val="center"/>
          </w:tcPr>
          <w:p>
            <w:pPr>
              <w:pStyle w:val="TableContents"/>
              <w:bidi w:val="0"/>
              <w:spacing w:before="0" w:after="283"/>
              <w:jc w:val="left"/>
              <w:rPr/>
            </w:pPr>
            <w:r>
              <w:rPr/>
              <w:t> </w:t>
            </w:r>
          </w:p>
        </w:tc>
        <w:tc>
          <w:tcPr>
            <w:tcW w:w="2022"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Broker/Dealer bids or quotes</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202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14.2% - 20.8% (15.9%)</w:t>
            </w:r>
          </w:p>
        </w:tc>
      </w:tr>
      <w:tr>
        <w:trPr/>
        <w:tc>
          <w:tcPr>
            <w:tcW w:w="248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 / corporate notes</w:t>
            </w:r>
          </w:p>
        </w:tc>
        <w:tc>
          <w:tcPr>
            <w:tcW w:w="146" w:type="dxa"/>
            <w:tcBorders/>
            <w:shd w:fill="CCECFF" w:val="clear"/>
            <w:vAlign w:val="center"/>
          </w:tcPr>
          <w:p>
            <w:pPr>
              <w:pStyle w:val="TableContents"/>
              <w:bidi w:val="0"/>
              <w:spacing w:before="0" w:after="283"/>
              <w:jc w:val="left"/>
              <w:rPr/>
            </w:pPr>
            <w:r>
              <w:rPr/>
              <w:t> </w:t>
            </w:r>
          </w:p>
        </w:tc>
        <w:tc>
          <w:tcPr>
            <w:tcW w:w="329" w:type="dxa"/>
            <w:tcBorders/>
            <w:shd w:fill="CCECFF" w:val="clear"/>
            <w:vAlign w:val="center"/>
          </w:tcPr>
          <w:p>
            <w:pPr>
              <w:pStyle w:val="TableContents"/>
              <w:bidi w:val="0"/>
              <w:spacing w:before="0" w:after="283"/>
              <w:jc w:val="left"/>
              <w:rPr/>
            </w:pPr>
            <w:r>
              <w:rPr/>
              <w:t> </w:t>
            </w:r>
          </w:p>
        </w:tc>
        <w:tc>
          <w:tcPr>
            <w:tcW w:w="116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33"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CCECFF" w:val="clear"/>
            <w:vAlign w:val="center"/>
          </w:tcPr>
          <w:p>
            <w:pPr>
              <w:pStyle w:val="TableContents"/>
              <w:bidi w:val="0"/>
              <w:spacing w:before="0" w:after="283"/>
              <w:jc w:val="left"/>
              <w:rPr/>
            </w:pPr>
            <w:r>
              <w:rPr/>
              <w:t> </w:t>
            </w:r>
          </w:p>
        </w:tc>
        <w:tc>
          <w:tcPr>
            <w:tcW w:w="2022"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13.4% - 18.8% (14.3%)</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202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0.5x - 17.7x (10.9x)</w:t>
            </w:r>
          </w:p>
        </w:tc>
      </w:tr>
      <w:tr>
        <w:trPr/>
        <w:tc>
          <w:tcPr>
            <w:tcW w:w="248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CECFF" w:val="clear"/>
            <w:vAlign w:val="center"/>
          </w:tcPr>
          <w:p>
            <w:pPr>
              <w:pStyle w:val="TableContents"/>
              <w:bidi w:val="0"/>
              <w:spacing w:before="0" w:after="283"/>
              <w:jc w:val="left"/>
              <w:rPr/>
            </w:pPr>
            <w:r>
              <w:rPr/>
              <w:t> </w:t>
            </w:r>
          </w:p>
        </w:tc>
        <w:tc>
          <w:tcPr>
            <w:tcW w:w="3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33"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CECFF" w:val="clear"/>
            <w:vAlign w:val="center"/>
          </w:tcPr>
          <w:p>
            <w:pPr>
              <w:pStyle w:val="TableContents"/>
              <w:bidi w:val="0"/>
              <w:spacing w:before="0" w:after="283"/>
              <w:jc w:val="left"/>
              <w:rPr/>
            </w:pPr>
            <w:r>
              <w:rPr/>
              <w:t> </w:t>
            </w:r>
          </w:p>
        </w:tc>
        <w:tc>
          <w:tcPr>
            <w:tcW w:w="2022" w:type="dxa"/>
            <w:tcBorders/>
            <w:shd w:fill="CCECFF" w:val="cle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DLOM</w:t>
            </w:r>
            <w:r>
              <w:rPr>
                <w:rFonts w:ascii="Times New Roman" w:hAnsi="Times New Roman"/>
                <w:color w:val="000000"/>
                <w:sz w:val="11"/>
              </w:rPr>
              <w:t>(2)</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27.9%</w:t>
            </w:r>
          </w:p>
        </w:tc>
      </w:tr>
      <w:tr>
        <w:trPr/>
        <w:tc>
          <w:tcPr>
            <w:tcW w:w="2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Level 3 investments</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pPr>
            <w:r>
              <w:rPr/>
              <w:t> </w:t>
            </w:r>
          </w:p>
        </w:tc>
      </w:tr>
      <w:tr>
        <w:trPr/>
        <w:tc>
          <w:tcPr>
            <w:tcW w:w="24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Debt Category </w:t>
            </w:r>
            <w:r>
              <w:rPr>
                <w:rFonts w:ascii="Times New Roman" w:hAnsi="Times New Roman"/>
                <w:color w:val="000000"/>
                <w:sz w:val="16"/>
              </w:rPr>
              <w:t>($ in thousands)</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733"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2022"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7" w:type="dxa"/>
            <w:tcBorders/>
            <w:shd w:fill="CCEC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Truist Credit Facility</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Comparable</w:t>
            </w:r>
          </w:p>
        </w:tc>
        <w:tc>
          <w:tcPr>
            <w:tcW w:w="146" w:type="dxa"/>
            <w:tcBorders/>
            <w:shd w:fill="FFFFFF" w:val="clear"/>
            <w:vAlign w:val="center"/>
          </w:tcPr>
          <w:p>
            <w:pPr>
              <w:pStyle w:val="TableContents"/>
              <w:bidi w:val="0"/>
              <w:spacing w:before="0" w:after="283"/>
              <w:jc w:val="left"/>
              <w:rPr/>
            </w:pPr>
            <w:r>
              <w:rPr/>
              <w:t> </w:t>
            </w:r>
          </w:p>
        </w:tc>
        <w:tc>
          <w:tcPr>
            <w:tcW w:w="2022"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Market yield</w:t>
            </w:r>
          </w:p>
        </w:tc>
        <w:tc>
          <w:tcPr>
            <w:tcW w:w="146"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w:t>
            </w:r>
          </w:p>
        </w:tc>
      </w:tr>
    </w:tbl>
    <w:p>
      <w:pPr>
        <w:pStyle w:val="TextBody"/>
        <w:pBdr>
          <w:bottom w:val="single" w:sz="2" w:space="1" w:color="000000"/>
        </w:pBdr>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1.</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The weighted averages disclosed in the table above were weighted by their relative fair value.</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2.</w:t>
      </w:r>
    </w:p>
    <w:p>
      <w:pPr>
        <w:pStyle w:val="TextBody"/>
        <w:bidi w:val="0"/>
        <w:jc w:val="left"/>
        <w:rPr>
          <w:rFonts w:ascii="Times New Roman" w:hAnsi="Times New Roman"/>
          <w:color w:val="000000"/>
          <w:sz w:val="12"/>
        </w:rPr>
      </w:pPr>
      <w:r>
        <w:rPr>
          <w:rFonts w:ascii="Times New Roman" w:hAnsi="Times New Roman"/>
          <w:color w:val="000000"/>
          <w:sz w:val="12"/>
        </w:rPr>
        <w:t>DLOM is defined as discount for lack of marketability.</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investments, cash and cash equivalents, Truist Credit Facility, 2026 Notes and 2026 Notes-2 were categorized as follows in the fair value hierarchy: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7"/>
        <w:gridCol w:w="146"/>
        <w:gridCol w:w="196"/>
        <w:gridCol w:w="826"/>
        <w:gridCol w:w="146"/>
        <w:gridCol w:w="146"/>
        <w:gridCol w:w="196"/>
        <w:gridCol w:w="601"/>
        <w:gridCol w:w="146"/>
        <w:gridCol w:w="146"/>
        <w:gridCol w:w="196"/>
        <w:gridCol w:w="691"/>
        <w:gridCol w:w="146"/>
        <w:gridCol w:w="146"/>
        <w:gridCol w:w="196"/>
        <w:gridCol w:w="826"/>
        <w:gridCol w:w="146"/>
        <w:gridCol w:w="146"/>
        <w:gridCol w:w="425"/>
        <w:gridCol w:w="1308"/>
        <w:gridCol w:w="593"/>
      </w:tblGrid>
      <w:tr>
        <w:trPr/>
        <w:tc>
          <w:tcPr>
            <w:tcW w:w="2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8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9"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at </w:t>
              <w:br/>
              <w:t>December 31, 2023</w:t>
            </w:r>
          </w:p>
        </w:tc>
        <w:tc>
          <w:tcPr>
            <w:tcW w:w="593" w:type="dxa"/>
            <w:tcBorders/>
            <w:shd w:fill="FFFFFF" w:val="clear"/>
            <w:vAlign w:val="center"/>
          </w:tcPr>
          <w:p>
            <w:pPr>
              <w:pStyle w:val="TableContents"/>
              <w:bidi w:val="0"/>
              <w:spacing w:before="0" w:after="283"/>
              <w:jc w:val="center"/>
              <w:rPr/>
            </w:pPr>
            <w:r>
              <w:rPr/>
              <w:t> </w:t>
            </w:r>
          </w:p>
        </w:tc>
      </w:tr>
      <w:tr>
        <w:trPr/>
        <w:tc>
          <w:tcPr>
            <w:tcW w:w="2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 Asset Value</w:t>
            </w:r>
            <w:r>
              <w:rPr>
                <w:rFonts w:ascii="Times New Roman" w:hAnsi="Times New Roman"/>
                <w:color w:val="000000"/>
                <w:sz w:val="16"/>
              </w:rPr>
              <w:t> </w:t>
            </w:r>
            <w:r>
              <w:rPr>
                <w:rFonts w:ascii="Times New Roman" w:hAnsi="Times New Roman"/>
                <w:b/>
                <w:color w:val="000000"/>
                <w:sz w:val="11"/>
              </w:rPr>
              <w:t>(1)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08"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2837"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U.S. Government Securities</w:t>
            </w:r>
            <w:r>
              <w:rPr>
                <w:rFonts w:ascii="Times New Roman" w:hAnsi="Times New Roman"/>
                <w:color w:val="000000"/>
                <w:sz w:val="11"/>
              </w:rPr>
              <w:t>(3)</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25" w:type="dxa"/>
            <w:tcBorders/>
            <w:shd w:fill="CCECFF" w:val="clear"/>
            <w:vAlign w:val="center"/>
          </w:tcPr>
          <w:p>
            <w:pPr>
              <w:pStyle w:val="TableContents"/>
              <w:bidi w:val="0"/>
              <w:spacing w:before="0" w:after="283"/>
              <w:jc w:val="left"/>
              <w:rPr/>
            </w:pPr>
            <w:r>
              <w:rPr/>
              <w:t> </w:t>
            </w:r>
          </w:p>
        </w:tc>
        <w:tc>
          <w:tcPr>
            <w:tcW w:w="1308" w:type="dxa"/>
            <w:tcBorders/>
            <w:shd w:fill="CCECFF" w:val="clear"/>
            <w:vAlign w:val="center"/>
          </w:tcPr>
          <w:p>
            <w:pPr>
              <w:pStyle w:val="TableContents"/>
              <w:bidi w:val="0"/>
              <w:spacing w:before="0" w:after="283"/>
              <w:jc w:val="right"/>
              <w:rPr>
                <w:color w:val="000000"/>
              </w:rPr>
            </w:pPr>
            <w:r>
              <w:rPr>
                <w:color w:val="000000"/>
              </w:rPr>
              <w:t>—</w:t>
            </w:r>
          </w:p>
        </w:tc>
        <w:tc>
          <w:tcPr>
            <w:tcW w:w="593" w:type="dxa"/>
            <w:tcBorders/>
            <w:shd w:fill="CCECFF" w:val="clear"/>
            <w:vAlign w:val="center"/>
          </w:tcPr>
          <w:p>
            <w:pPr>
              <w:pStyle w:val="TableContents"/>
              <w:bidi w:val="0"/>
              <w:spacing w:before="0" w:after="283"/>
              <w:jc w:val="left"/>
              <w:rPr/>
            </w:pPr>
            <w:r>
              <w:rPr/>
              <w:t> </w:t>
            </w:r>
          </w:p>
        </w:tc>
      </w:tr>
      <w:tr>
        <w:trPr/>
        <w:tc>
          <w:tcPr>
            <w:tcW w:w="283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75,448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1,210,758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1,085,464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25" w:type="dxa"/>
            <w:tcBorders/>
            <w:shd w:fill="CCECFF" w:val="clear"/>
            <w:vAlign w:val="center"/>
          </w:tcPr>
          <w:p>
            <w:pPr>
              <w:pStyle w:val="TableContents"/>
              <w:bidi w:val="0"/>
              <w:spacing w:before="0" w:after="283"/>
              <w:jc w:val="left"/>
              <w:rPr/>
            </w:pPr>
            <w:r>
              <w:rPr/>
              <w:t> </w:t>
            </w:r>
          </w:p>
        </w:tc>
        <w:tc>
          <w:tcPr>
            <w:tcW w:w="130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75,448</w:t>
            </w:r>
          </w:p>
        </w:tc>
        <w:tc>
          <w:tcPr>
            <w:tcW w:w="593" w:type="dxa"/>
            <w:tcBorders/>
            <w:shd w:fill="CCECFF" w:val="clear"/>
            <w:vAlign w:val="center"/>
          </w:tcPr>
          <w:p>
            <w:pPr>
              <w:pStyle w:val="TableContents"/>
              <w:bidi w:val="0"/>
              <w:spacing w:before="0" w:after="283"/>
              <w:jc w:val="left"/>
              <w:rPr/>
            </w:pPr>
            <w:r>
              <w:rPr/>
              <w:t> </w:t>
            </w:r>
          </w:p>
        </w:tc>
      </w:tr>
      <w:tr>
        <w:trPr/>
        <w:tc>
          <w:tcPr>
            <w:tcW w:w="283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investments and cash and cash equivalents</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1,247,651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49,846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1,085,464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0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75,448</w:t>
            </w:r>
          </w:p>
        </w:tc>
        <w:tc>
          <w:tcPr>
            <w:tcW w:w="5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83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Truist Credit Facility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08"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2837"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2026 Notes</w:t>
            </w:r>
            <w:r>
              <w:rPr>
                <w:rFonts w:ascii="Times New Roman" w:hAnsi="Times New Roman"/>
                <w:color w:val="000000"/>
                <w:sz w:val="11"/>
              </w:rPr>
              <w:t>(2)</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25" w:type="dxa"/>
            <w:tcBorders/>
            <w:shd w:fill="CCECFF" w:val="clear"/>
            <w:vAlign w:val="center"/>
          </w:tcPr>
          <w:p>
            <w:pPr>
              <w:pStyle w:val="TableContents"/>
              <w:bidi w:val="0"/>
              <w:spacing w:before="0" w:after="283"/>
              <w:jc w:val="left"/>
              <w:rPr/>
            </w:pPr>
            <w:r>
              <w:rPr/>
              <w:t> </w:t>
            </w:r>
          </w:p>
        </w:tc>
        <w:tc>
          <w:tcPr>
            <w:tcW w:w="1308" w:type="dxa"/>
            <w:tcBorders/>
            <w:shd w:fill="CCECFF" w:val="clear"/>
            <w:vAlign w:val="center"/>
          </w:tcPr>
          <w:p>
            <w:pPr>
              <w:pStyle w:val="TableContents"/>
              <w:bidi w:val="0"/>
              <w:spacing w:before="0" w:after="283"/>
              <w:jc w:val="right"/>
              <w:rPr>
                <w:color w:val="000000"/>
              </w:rPr>
            </w:pPr>
            <w:r>
              <w:rPr>
                <w:color w:val="000000"/>
              </w:rPr>
              <w:t>—</w:t>
            </w:r>
          </w:p>
        </w:tc>
        <w:tc>
          <w:tcPr>
            <w:tcW w:w="593" w:type="dxa"/>
            <w:tcBorders/>
            <w:shd w:fill="CCECFF" w:val="clear"/>
            <w:vAlign w:val="center"/>
          </w:tcPr>
          <w:p>
            <w:pPr>
              <w:pStyle w:val="TableContents"/>
              <w:bidi w:val="0"/>
              <w:spacing w:before="0" w:after="283"/>
              <w:jc w:val="left"/>
              <w:rPr/>
            </w:pPr>
            <w:r>
              <w:rPr/>
              <w:t> </w:t>
            </w:r>
          </w:p>
        </w:tc>
      </w:tr>
      <w:tr>
        <w:trPr/>
        <w:tc>
          <w:tcPr>
            <w:tcW w:w="2837"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2026 Notes-2</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debt</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695,350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310,334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385,016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0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(1)</w:t>
      </w:r>
    </w:p>
    <w:p>
      <w:pPr>
        <w:pStyle w:val="TextBody"/>
        <w:bidi w:val="0"/>
        <w:spacing w:before="0" w:after="0"/>
        <w:jc w:val="left"/>
        <w:rPr>
          <w:rFonts w:ascii="Times New Roman" w:hAnsi="Times New Roman"/>
          <w:color w:val="000000"/>
          <w:sz w:val="13"/>
        </w:rPr>
      </w:pPr>
      <w:r>
        <w:rPr>
          <w:rFonts w:ascii="Times New Roman" w:hAnsi="Times New Roman"/>
          <w:color w:val="000000"/>
          <w:sz w:val="13"/>
        </w:rPr>
        <w:t>In accordance with ASC Subtopic 820-10, Fair Value Measurements and Disclosures, or ASC 820-10, our equity investment in PSLF and PTSF II are measured using the net asset value per share (or its equivalent) as a practical expedient for fair value, and thus has not been classified in the fair value hierarchy.</w:t>
      </w:r>
    </w:p>
    <w:p>
      <w:pPr>
        <w:pStyle w:val="TextBody"/>
        <w:bidi w:val="0"/>
        <w:spacing w:before="20" w:after="283"/>
        <w:jc w:val="left"/>
        <w:rPr>
          <w:rFonts w:ascii="Times New Roman" w:hAnsi="Times New Roman"/>
          <w:color w:val="000000"/>
          <w:sz w:val="13"/>
        </w:rPr>
      </w:pPr>
      <w:r>
        <w:rPr>
          <w:rFonts w:ascii="Times New Roman" w:hAnsi="Times New Roman"/>
          <w:color w:val="000000"/>
          <w:sz w:val="13"/>
        </w:rPr>
        <w:t>(2)</w:t>
      </w:r>
    </w:p>
    <w:p>
      <w:pPr>
        <w:pStyle w:val="TextBody"/>
        <w:bidi w:val="0"/>
        <w:spacing w:before="20" w:after="283"/>
        <w:jc w:val="left"/>
        <w:rPr>
          <w:rFonts w:ascii="Times New Roman" w:hAnsi="Times New Roman"/>
          <w:color w:val="000000"/>
          <w:sz w:val="13"/>
        </w:rPr>
      </w:pPr>
      <w:r>
        <w:rPr>
          <w:rFonts w:ascii="Times New Roman" w:hAnsi="Times New Roman"/>
          <w:color w:val="000000"/>
          <w:sz w:val="13"/>
        </w:rPr>
        <w:t>We elected not to apply ASC 825-10 to the 2026 Notes and the 2026 Notes-2, and thus the balance reported in the Consolidated Statement of Assets and Liabilities represents the carrying value.</w:t>
      </w:r>
    </w:p>
    <w:p>
      <w:pPr>
        <w:pStyle w:val="TextBody"/>
        <w:bidi w:val="0"/>
        <w:spacing w:before="20" w:after="283"/>
        <w:jc w:val="left"/>
        <w:rPr>
          <w:rFonts w:ascii="Times New Roman" w:hAnsi="Times New Roman"/>
          <w:color w:val="000000"/>
          <w:sz w:val="13"/>
        </w:rPr>
      </w:pPr>
      <w:r>
        <w:rPr>
          <w:rFonts w:ascii="Times New Roman" w:hAnsi="Times New Roman"/>
          <w:color w:val="000000"/>
          <w:sz w:val="13"/>
        </w:rPr>
        <w:t>(3)</w:t>
      </w:r>
    </w:p>
    <w:p>
      <w:pPr>
        <w:pStyle w:val="TextBody"/>
        <w:bidi w:val="0"/>
        <w:spacing w:before="20" w:after="283"/>
        <w:jc w:val="left"/>
        <w:rPr>
          <w:rFonts w:ascii="Times New Roman" w:hAnsi="Times New Roman"/>
          <w:color w:val="000000"/>
          <w:sz w:val="13"/>
        </w:rPr>
      </w:pPr>
      <w:r>
        <w:rPr>
          <w:rFonts w:ascii="Times New Roman" w:hAnsi="Times New Roman"/>
          <w:color w:val="000000"/>
          <w:sz w:val="13"/>
        </w:rPr>
        <w:t>Our U.S. Treasury Bills are classified as Level 2, as they were valued by the pricing service who utilize broker-supplied prices.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1"/>
        <w:gridCol w:w="146"/>
        <w:gridCol w:w="196"/>
        <w:gridCol w:w="826"/>
        <w:gridCol w:w="146"/>
        <w:gridCol w:w="146"/>
        <w:gridCol w:w="196"/>
        <w:gridCol w:w="601"/>
        <w:gridCol w:w="146"/>
        <w:gridCol w:w="146"/>
        <w:gridCol w:w="196"/>
        <w:gridCol w:w="691"/>
        <w:gridCol w:w="146"/>
        <w:gridCol w:w="146"/>
        <w:gridCol w:w="196"/>
        <w:gridCol w:w="691"/>
        <w:gridCol w:w="146"/>
        <w:gridCol w:w="146"/>
        <w:gridCol w:w="438"/>
        <w:gridCol w:w="1347"/>
        <w:gridCol w:w="592"/>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4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September 30, 2023</w:t>
            </w:r>
          </w:p>
        </w:tc>
        <w:tc>
          <w:tcPr>
            <w:tcW w:w="592" w:type="dxa"/>
            <w:tcBorders/>
            <w:shd w:fill="FFFFFF" w:val="clear"/>
            <w:vAlign w:val="center"/>
          </w:tcPr>
          <w:p>
            <w:pPr>
              <w:pStyle w:val="TableContents"/>
              <w:bidi w:val="0"/>
              <w:spacing w:before="0" w:after="283"/>
              <w:jc w:val="center"/>
              <w:rPr/>
            </w:pPr>
            <w:r>
              <w:rPr/>
              <w:t> </w:t>
            </w:r>
          </w:p>
        </w:tc>
      </w:tr>
      <w:tr>
        <w:trPr/>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 Asset Value</w:t>
            </w:r>
            <w:r>
              <w:rPr>
                <w:rFonts w:ascii="Times New Roman" w:hAnsi="Times New Roman"/>
                <w:color w:val="000000"/>
                <w:sz w:val="16"/>
              </w:rPr>
              <w:t> </w:t>
            </w:r>
            <w:r>
              <w:rPr>
                <w:rFonts w:ascii="Times New Roman" w:hAnsi="Times New Roman"/>
                <w:b/>
                <w:color w:val="000000"/>
                <w:sz w:val="11"/>
              </w:rPr>
              <w:t>(1)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764,275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764,275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47" w:type="dxa"/>
            <w:tcBorders/>
            <w:shd w:fill="CCECFF" w:val="clear"/>
            <w:vAlign w:val="center"/>
          </w:tcPr>
          <w:p>
            <w:pPr>
              <w:pStyle w:val="TableContents"/>
              <w:bidi w:val="0"/>
              <w:spacing w:before="0" w:after="283"/>
              <w:jc w:val="right"/>
              <w:rPr>
                <w:color w:val="000000"/>
              </w:rPr>
            </w:pPr>
            <w:r>
              <w:rPr>
                <w:color w:val="000000"/>
              </w:rPr>
              <w:t>—</w:t>
            </w:r>
          </w:p>
        </w:tc>
        <w:tc>
          <w:tcPr>
            <w:tcW w:w="592" w:type="dxa"/>
            <w:tcBorders/>
            <w:shd w:fill="CCEC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U.S. Government Securities</w:t>
            </w: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color w:val="000000"/>
              </w:rPr>
            </w:pPr>
            <w:r>
              <w:rPr>
                <w:color w:val="000000"/>
              </w:rPr>
              <w:t>—</w:t>
            </w:r>
          </w:p>
        </w:tc>
        <w:tc>
          <w:tcPr>
            <w:tcW w:w="592" w:type="dxa"/>
            <w:tcBorders/>
            <w:shd w:fill="FFFFFF" w:val="clear"/>
            <w:vAlign w:val="center"/>
          </w:tcPr>
          <w:p>
            <w:pPr>
              <w:pStyle w:val="TableContents"/>
              <w:bidi w:val="0"/>
              <w:spacing w:before="0" w:after="283"/>
              <w:jc w:val="left"/>
              <w:rPr/>
            </w:pPr>
            <w:r>
              <w:rPr/>
              <w:t> </w:t>
            </w:r>
          </w:p>
        </w:tc>
      </w:tr>
      <w:tr>
        <w:trPr/>
        <w:tc>
          <w:tcPr>
            <w:tcW w:w="2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investments</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237,621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163,053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74,568</w:t>
            </w:r>
          </w:p>
        </w:tc>
        <w:tc>
          <w:tcPr>
            <w:tcW w:w="59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74,568</w:t>
            </w:r>
          </w:p>
        </w:tc>
        <w:tc>
          <w:tcPr>
            <w:tcW w:w="592" w:type="dxa"/>
            <w:tcBorders/>
            <w:shd w:fill="FFFFFF" w:val="clear"/>
            <w:vAlign w:val="center"/>
          </w:tcPr>
          <w:p>
            <w:pPr>
              <w:pStyle w:val="TableContents"/>
              <w:bidi w:val="0"/>
              <w:spacing w:before="0" w:after="283"/>
              <w:jc w:val="left"/>
              <w:rPr/>
            </w:pPr>
            <w:r>
              <w:rPr/>
              <w:t> </w:t>
            </w:r>
          </w:p>
        </w:tc>
      </w:tr>
      <w:tr>
        <w:trPr/>
        <w:tc>
          <w:tcPr>
            <w:tcW w:w="2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38,775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38,775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investments and 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74,568</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Truist Credit Facility</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47" w:type="dxa"/>
            <w:tcBorders/>
            <w:shd w:fill="CCECFF" w:val="clear"/>
            <w:vAlign w:val="center"/>
          </w:tcPr>
          <w:p>
            <w:pPr>
              <w:pStyle w:val="TableContents"/>
              <w:bidi w:val="0"/>
              <w:spacing w:before="0" w:after="283"/>
              <w:jc w:val="right"/>
              <w:rPr>
                <w:color w:val="000000"/>
              </w:rPr>
            </w:pPr>
            <w:r>
              <w:rPr>
                <w:color w:val="000000"/>
              </w:rPr>
              <w:t>—</w:t>
            </w:r>
          </w:p>
        </w:tc>
        <w:tc>
          <w:tcPr>
            <w:tcW w:w="592" w:type="dxa"/>
            <w:tcBorders/>
            <w:shd w:fill="CCEC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2026 Notes</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color w:val="000000"/>
              </w:rPr>
            </w:pPr>
            <w:r>
              <w:rPr>
                <w:color w:val="000000"/>
              </w:rPr>
              <w:t>—</w:t>
            </w:r>
          </w:p>
        </w:tc>
        <w:tc>
          <w:tcPr>
            <w:tcW w:w="592" w:type="dxa"/>
            <w:tcBorders/>
            <w:shd w:fill="FFFFFF" w:val="clear"/>
            <w:vAlign w:val="center"/>
          </w:tcPr>
          <w:p>
            <w:pPr>
              <w:pStyle w:val="TableContents"/>
              <w:bidi w:val="0"/>
              <w:spacing w:before="0" w:after="283"/>
              <w:jc w:val="left"/>
              <w:rPr/>
            </w:pPr>
            <w:r>
              <w:rPr/>
              <w:t> </w:t>
            </w:r>
          </w:p>
        </w:tc>
      </w:tr>
      <w:tr>
        <w:trPr/>
        <w:tc>
          <w:tcPr>
            <w:tcW w:w="292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2026 Notes-2</w:t>
            </w:r>
            <w:r>
              <w:rPr>
                <w:rFonts w:ascii="Times New Roman" w:hAnsi="Times New Roman"/>
                <w:color w:val="000000"/>
                <w:sz w:val="11"/>
              </w:rPr>
              <w:t>(2)</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162,226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162,226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debt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(1)</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pStyle w:val="TextBody"/>
        <w:bidi w:val="0"/>
        <w:spacing w:before="20" w:after="283"/>
        <w:jc w:val="left"/>
        <w:rPr>
          <w:rFonts w:ascii="Times New Roman" w:hAnsi="Times New Roman"/>
          <w:color w:val="000000"/>
          <w:sz w:val="12"/>
        </w:rPr>
      </w:pPr>
      <w:r>
        <w:rPr>
          <w:rFonts w:ascii="Times New Roman" w:hAnsi="Times New Roman"/>
          <w:color w:val="000000"/>
          <w:sz w:val="12"/>
        </w:rPr>
        <w:t>(2)</w:t>
      </w:r>
    </w:p>
    <w:p>
      <w:pPr>
        <w:pStyle w:val="TextBody"/>
        <w:bidi w:val="0"/>
        <w:spacing w:before="20" w:after="283"/>
        <w:jc w:val="left"/>
        <w:rPr>
          <w:rFonts w:ascii="Times New Roman" w:hAnsi="Times New Roman"/>
          <w:color w:val="000000"/>
          <w:sz w:val="12"/>
        </w:rPr>
      </w:pPr>
      <w:r>
        <w:rPr>
          <w:rFonts w:ascii="Times New Roman" w:hAnsi="Times New Roman"/>
          <w:color w:val="000000"/>
          <w:sz w:val="12"/>
        </w:rPr>
        <w:t>We elected not to apply ASC 825-10 to the SBA debentures and the 2026 Notes and thus the balance reported in the Consolidated Statement of Assets and Liabilities represents the carrying value. As of September 30, 2023, the carrying value of the SBA debentures approximates the fair value.</w:t>
      </w:r>
    </w:p>
    <w:p>
      <w:pPr>
        <w:pStyle w:val="TextBody"/>
        <w:bidi w:val="0"/>
        <w:spacing w:before="20" w:after="283"/>
        <w:jc w:val="left"/>
        <w:rPr>
          <w:rFonts w:ascii="Times New Roman" w:hAnsi="Times New Roman"/>
          <w:color w:val="000000"/>
          <w:sz w:val="12"/>
        </w:rPr>
      </w:pPr>
      <w:r>
        <w:rPr>
          <w:rFonts w:ascii="Times New Roman" w:hAnsi="Times New Roman"/>
          <w:color w:val="000000"/>
          <w:sz w:val="12"/>
        </w:rPr>
        <w:t>(3)</w:t>
      </w:r>
    </w:p>
    <w:p>
      <w:pPr>
        <w:pStyle w:val="TextBody"/>
        <w:bidi w:val="0"/>
        <w:spacing w:before="20" w:after="283"/>
        <w:jc w:val="left"/>
        <w:rPr>
          <w:rFonts w:ascii="Times New Roman" w:hAnsi="Times New Roman"/>
          <w:color w:val="000000"/>
          <w:sz w:val="12"/>
        </w:rPr>
      </w:pPr>
      <w:r>
        <w:rPr>
          <w:rFonts w:ascii="Times New Roman" w:hAnsi="Times New Roman"/>
          <w:color w:val="000000"/>
          <w:sz w:val="12"/>
        </w:rPr>
        <w:t>Our U.S. Treasury Bills are classified as Level 2, as they were valued by the pricing service who utilize broker-supplied prices.</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The tables below show a reconciliation of the beginning and ending balances for investments measured at fair value using significant unobservable inputs (Level 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20"/>
        <w:gridCol w:w="146"/>
        <w:gridCol w:w="218"/>
        <w:gridCol w:w="773"/>
        <w:gridCol w:w="166"/>
        <w:gridCol w:w="146"/>
        <w:gridCol w:w="218"/>
        <w:gridCol w:w="773"/>
        <w:gridCol w:w="166"/>
        <w:gridCol w:w="146"/>
        <w:gridCol w:w="196"/>
        <w:gridCol w:w="826"/>
        <w:gridCol w:w="611"/>
      </w:tblGrid>
      <w:tr>
        <w:trPr/>
        <w:tc>
          <w:tcPr>
            <w:tcW w:w="5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 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Debt</w:t>
              <w:br/>
              <w:t>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balance</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764,275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163,053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927,328</w:t>
            </w:r>
          </w:p>
        </w:tc>
        <w:tc>
          <w:tcPr>
            <w:tcW w:w="611" w:type="dxa"/>
            <w:tcBorders/>
            <w:shd w:fill="CCECFF" w:val="clear"/>
            <w:vAlign w:val="center"/>
          </w:tcPr>
          <w:p>
            <w:pPr>
              <w:pStyle w:val="TableContents"/>
              <w:bidi w:val="0"/>
              <w:spacing w:before="0" w:after="283"/>
              <w:ind w:left="0" w:right="0" w:firstLine="400"/>
              <w:jc w:val="left"/>
              <w:rPr/>
            </w:pPr>
            <w:r>
              <w:rPr/>
              <w:t> </w:t>
            </w:r>
          </w:p>
        </w:tc>
      </w:tr>
      <w:tr>
        <w:trPr/>
        <w:tc>
          <w:tcPr>
            <w:tcW w:w="58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20"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(6,208</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(5,890</w:t>
            </w:r>
          </w:p>
        </w:tc>
        <w:tc>
          <w:tcPr>
            <w:tcW w:w="611" w:type="dxa"/>
            <w:tcBorders/>
            <w:shd w:fill="CCEC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Purchases, PIK interest, net discount accretion and non-cash exchanges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232,406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20"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Sales, repayments and non-cash exchanges</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(68,214</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(70,938</w:t>
            </w:r>
          </w:p>
        </w:tc>
        <w:tc>
          <w:tcPr>
            <w:tcW w:w="611" w:type="dxa"/>
            <w:tcBorders/>
            <w:shd w:fill="CCEC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Transfers in/out of Level 3</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balance</w:t>
            </w:r>
          </w:p>
        </w:tc>
        <w:tc>
          <w:tcPr>
            <w:tcW w:w="146" w:type="dxa"/>
            <w:tcBorders/>
            <w:shd w:fill="CCECFF" w:val="clear"/>
            <w:vAlign w:val="center"/>
          </w:tcPr>
          <w:p>
            <w:pPr>
              <w:pStyle w:val="TableContents"/>
              <w:bidi w:val="0"/>
              <w:spacing w:before="0" w:after="283"/>
              <w:jc w:val="left"/>
              <w:rPr/>
            </w:pPr>
            <w:r>
              <w:rPr/>
              <w:t> </w:t>
            </w:r>
          </w:p>
        </w:tc>
        <w:tc>
          <w:tcPr>
            <w:tcW w:w="2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907,208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178,256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1,085,464</w:t>
            </w:r>
          </w:p>
        </w:tc>
        <w:tc>
          <w:tcPr>
            <w:tcW w:w="6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reported within the net change in</w:t>
              <w:br/>
              <w:t>   unrealized appreciation on investments in our consolidated statements of operations</w:t>
              <w:br/>
              <w:t>   attributable to our Level 3 assets still held at the reporting date</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20"/>
        <w:gridCol w:w="146"/>
        <w:gridCol w:w="218"/>
        <w:gridCol w:w="773"/>
        <w:gridCol w:w="166"/>
        <w:gridCol w:w="146"/>
        <w:gridCol w:w="218"/>
        <w:gridCol w:w="773"/>
        <w:gridCol w:w="166"/>
        <w:gridCol w:w="146"/>
        <w:gridCol w:w="196"/>
        <w:gridCol w:w="826"/>
        <w:gridCol w:w="611"/>
      </w:tblGrid>
      <w:tr>
        <w:trPr/>
        <w:tc>
          <w:tcPr>
            <w:tcW w:w="5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 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Debt</w:t>
              <w:br/>
              <w:t>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balance</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902,165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257,162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1,159,327</w:t>
            </w:r>
          </w:p>
        </w:tc>
        <w:tc>
          <w:tcPr>
            <w:tcW w:w="611" w:type="dxa"/>
            <w:tcBorders/>
            <w:shd w:fill="CCECFF" w:val="clear"/>
            <w:vAlign w:val="center"/>
          </w:tcPr>
          <w:p>
            <w:pPr>
              <w:pStyle w:val="TableContents"/>
              <w:bidi w:val="0"/>
              <w:spacing w:before="0" w:after="283"/>
              <w:ind w:left="0" w:right="0" w:firstLine="400"/>
              <w:jc w:val="left"/>
              <w:rPr/>
            </w:pPr>
            <w:r>
              <w:rPr/>
              <w:t> </w:t>
            </w:r>
          </w:p>
        </w:tc>
      </w:tr>
      <w:tr>
        <w:trPr/>
        <w:tc>
          <w:tcPr>
            <w:tcW w:w="58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20"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(83,427</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(89,312</w:t>
            </w:r>
          </w:p>
        </w:tc>
        <w:tc>
          <w:tcPr>
            <w:tcW w:w="611" w:type="dxa"/>
            <w:tcBorders/>
            <w:shd w:fill="CCEC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Purchases, PIK interest, net discount accretion and non-cash exchanges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83,269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20"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Sales, repayments and non-cash exchanges</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(24,590</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7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(6,030</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8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(30,620</w:t>
            </w:r>
          </w:p>
        </w:tc>
        <w:tc>
          <w:tcPr>
            <w:tcW w:w="611" w:type="dxa"/>
            <w:tcBorders/>
            <w:shd w:fill="CCEC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2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Transfers in/out of Level 3</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balance</w:t>
            </w:r>
          </w:p>
        </w:tc>
        <w:tc>
          <w:tcPr>
            <w:tcW w:w="146" w:type="dxa"/>
            <w:tcBorders/>
            <w:shd w:fill="CCECFF" w:val="clear"/>
            <w:vAlign w:val="center"/>
          </w:tcPr>
          <w:p>
            <w:pPr>
              <w:pStyle w:val="TableContents"/>
              <w:bidi w:val="0"/>
              <w:spacing w:before="0" w:after="283"/>
              <w:jc w:val="left"/>
              <w:rPr/>
            </w:pPr>
            <w:r>
              <w:rPr/>
              <w:t> </w:t>
            </w:r>
          </w:p>
        </w:tc>
        <w:tc>
          <w:tcPr>
            <w:tcW w:w="2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940,622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186,108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1,126,730</w:t>
            </w:r>
          </w:p>
        </w:tc>
        <w:tc>
          <w:tcPr>
            <w:tcW w:w="6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8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reported within the net change in</w:t>
              <w:br/>
              <w:t>   unrealized appreciation on investments in our consolidated statements of operations</w:t>
              <w:br/>
              <w:t>   attributable to our Level 3 assets still held at the reporting date</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The table below shows a reconciliation of the beginning and ending balances for liabilities measured at fair value using significant unobservable inputs (Level 3):</w:t>
      </w:r>
    </w:p>
    <w:p>
      <w:pPr>
        <w:pStyle w:val="TextBody"/>
        <w:bidi w:val="0"/>
        <w:jc w:val="left"/>
        <w:rPr/>
      </w:pPr>
      <w:r>
        <w:rPr/>
        <w:t> </w:t>
      </w:r>
    </w:p>
    <w:tbl>
      <w:tblPr>
        <w:tblW w:w="8969" w:type="dxa"/>
        <w:jc w:val="left"/>
        <w:tblInd w:w="0" w:type="dxa"/>
        <w:tblLayout w:type="fixed"/>
        <w:tblCellMar>
          <w:top w:w="28" w:type="dxa"/>
          <w:left w:w="28" w:type="dxa"/>
          <w:bottom w:w="28" w:type="dxa"/>
          <w:right w:w="28" w:type="dxa"/>
        </w:tblCellMar>
      </w:tblPr>
      <w:tblGrid>
        <w:gridCol w:w="5621"/>
        <w:gridCol w:w="146"/>
        <w:gridCol w:w="243"/>
        <w:gridCol w:w="859"/>
        <w:gridCol w:w="206"/>
        <w:gridCol w:w="181"/>
        <w:gridCol w:w="243"/>
        <w:gridCol w:w="859"/>
        <w:gridCol w:w="611"/>
      </w:tblGrid>
      <w:tr>
        <w:trPr/>
        <w:tc>
          <w:tcPr>
            <w:tcW w:w="5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Long-Term Credit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1" w:type="dxa"/>
            <w:tcBorders/>
            <w:shd w:fill="CCEC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Beginning balance (cost – $212,420</w:t>
            </w:r>
            <w:r>
              <w:rPr>
                <w:rFonts w:ascii="Times New Roman" w:hAnsi="Times New Roman"/>
                <w:color w:val="000000"/>
                <w:sz w:val="20"/>
              </w:rPr>
              <w:t> </w:t>
            </w:r>
            <w:r>
              <w:rPr>
                <w:rFonts w:ascii="Times New Roman" w:hAnsi="Times New Roman"/>
                <w:color w:val="000000"/>
                <w:sz w:val="16"/>
              </w:rPr>
              <w:t>and $385,920, respectively)</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206,940</w:t>
            </w:r>
          </w:p>
        </w:tc>
        <w:tc>
          <w:tcPr>
            <w:tcW w:w="20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376,687</w:t>
            </w:r>
          </w:p>
        </w:tc>
        <w:tc>
          <w:tcPr>
            <w:tcW w:w="611" w:type="dxa"/>
            <w:tcBorders/>
            <w:shd w:fill="CCECFF" w:val="clear"/>
            <w:vAlign w:val="center"/>
          </w:tcPr>
          <w:p>
            <w:pPr>
              <w:pStyle w:val="TableContents"/>
              <w:bidi w:val="0"/>
              <w:spacing w:before="0" w:after="283"/>
              <w:ind w:left="0" w:right="0" w:firstLine="400"/>
              <w:jc w:val="left"/>
              <w:rPr/>
            </w:pPr>
            <w:r>
              <w:rPr/>
              <w:t> </w:t>
            </w:r>
          </w:p>
        </w:tc>
      </w:tr>
      <w:tr>
        <w:trPr/>
        <w:tc>
          <w:tcPr>
            <w:tcW w:w="56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appreciation (depreciation) included in earnings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(4,379</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21" w:type="dxa"/>
            <w:tcBorders/>
            <w:shd w:fill="CCECFF" w:val="clear"/>
            <w:vAlign w:val="center"/>
          </w:tcPr>
          <w:p>
            <w:pPr>
              <w:pStyle w:val="TableContents"/>
              <w:bidi w:val="0"/>
              <w:spacing w:before="0" w:after="283"/>
              <w:ind w:left="400" w:right="0" w:firstLine="400"/>
              <w:jc w:val="left"/>
              <w:rPr>
                <w:rFonts w:ascii="Times New Roman" w:hAnsi="Times New Roman"/>
                <w:sz w:val="16"/>
              </w:rPr>
            </w:pPr>
            <w:r>
              <w:rPr>
                <w:rFonts w:ascii="Times New Roman" w:hAnsi="Times New Roman"/>
                <w:color w:val="000000"/>
                <w:sz w:val="16"/>
              </w:rPr>
              <w:t xml:space="preserve">Borrowings </w:t>
            </w:r>
            <w:r>
              <w:rPr>
                <w:rFonts w:ascii="Times New Roman" w:hAnsi="Times New Roman"/>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pPr>
            <w:r>
              <w:rPr/>
              <w:t> </w:t>
            </w:r>
          </w:p>
        </w:tc>
        <w:tc>
          <w:tcPr>
            <w:tcW w:w="85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228,036</w:t>
            </w:r>
          </w:p>
        </w:tc>
        <w:tc>
          <w:tcPr>
            <w:tcW w:w="20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243" w:type="dxa"/>
            <w:tcBorders/>
            <w:shd w:fill="CCECFF" w:val="clear"/>
            <w:vAlign w:val="center"/>
          </w:tcPr>
          <w:p>
            <w:pPr>
              <w:pStyle w:val="TableContents"/>
              <w:bidi w:val="0"/>
              <w:spacing w:before="0" w:after="283"/>
              <w:jc w:val="left"/>
              <w:rPr/>
            </w:pPr>
            <w:r>
              <w:rPr/>
              <w:t> </w:t>
            </w:r>
          </w:p>
        </w:tc>
        <w:tc>
          <w:tcPr>
            <w:tcW w:w="859"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44,000</w:t>
            </w:r>
          </w:p>
        </w:tc>
        <w:tc>
          <w:tcPr>
            <w:tcW w:w="611" w:type="dxa"/>
            <w:tcBorders/>
            <w:shd w:fill="CCECFF" w:val="clear"/>
            <w:vAlign w:val="center"/>
          </w:tcPr>
          <w:p>
            <w:pPr>
              <w:pStyle w:val="TableContents"/>
              <w:bidi w:val="0"/>
              <w:spacing w:before="0" w:after="283"/>
              <w:ind w:left="0" w:right="0" w:firstLine="400"/>
              <w:jc w:val="left"/>
              <w:rPr/>
            </w:pPr>
            <w:r>
              <w:rPr/>
              <w:t> </w:t>
            </w:r>
          </w:p>
        </w:tc>
      </w:tr>
      <w:tr>
        <w:trPr/>
        <w:tc>
          <w:tcPr>
            <w:tcW w:w="5621" w:type="dxa"/>
            <w:tcBorders/>
            <w:shd w:fill="FFFFFF" w:val="clear"/>
            <w:vAlign w:val="center"/>
          </w:tcPr>
          <w:p>
            <w:pPr>
              <w:pStyle w:val="TableContents"/>
              <w:bidi w:val="0"/>
              <w:spacing w:before="0" w:after="283"/>
              <w:ind w:left="400" w:right="0" w:firstLine="400"/>
              <w:jc w:val="left"/>
              <w:rPr>
                <w:rFonts w:ascii="Times New Roman" w:hAnsi="Times New Roman"/>
                <w:sz w:val="16"/>
              </w:rPr>
            </w:pPr>
            <w:r>
              <w:rPr>
                <w:rFonts w:ascii="Times New Roman" w:hAnsi="Times New Roman"/>
                <w:color w:val="000000"/>
                <w:sz w:val="16"/>
              </w:rPr>
              <w:t xml:space="preserve">Repayments </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(52,000</w:t>
            </w:r>
          </w:p>
        </w:tc>
        <w:tc>
          <w:tcPr>
            <w:tcW w:w="2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21"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Transfers in and/or out of Level 3</w:t>
            </w:r>
          </w:p>
        </w:tc>
        <w:tc>
          <w:tcPr>
            <w:tcW w:w="146" w:type="dxa"/>
            <w:tcBorders/>
            <w:shd w:fill="CCECFF" w:val="clear"/>
            <w:vAlign w:val="center"/>
          </w:tcPr>
          <w:p>
            <w:pPr>
              <w:pStyle w:val="TableContents"/>
              <w:bidi w:val="0"/>
              <w:spacing w:before="0" w:after="283"/>
              <w:jc w:val="left"/>
              <w:rPr/>
            </w:pPr>
            <w:r>
              <w:rPr/>
              <w:t> </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6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Ending balance (cost – $388,456</w:t>
            </w:r>
            <w:r>
              <w:rPr>
                <w:rFonts w:ascii="Times New Roman" w:hAnsi="Times New Roman"/>
                <w:color w:val="000000"/>
                <w:sz w:val="20"/>
              </w:rPr>
              <w:t> </w:t>
            </w:r>
            <w:r>
              <w:rPr>
                <w:rFonts w:ascii="Times New Roman" w:hAnsi="Times New Roman"/>
                <w:color w:val="000000"/>
                <w:sz w:val="16"/>
              </w:rPr>
              <w:t>and $380,920, respectively)</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385,016</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21" w:type="dxa"/>
            <w:tcBorders/>
            <w:shd w:fill="CCEC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Temporary draws outstanding, at cost</w:t>
            </w:r>
          </w:p>
        </w:tc>
        <w:tc>
          <w:tcPr>
            <w:tcW w:w="146" w:type="dxa"/>
            <w:tcBorders/>
            <w:shd w:fill="CCECFF" w:val="clear"/>
            <w:vAlign w:val="center"/>
          </w:tcPr>
          <w:p>
            <w:pPr>
              <w:pStyle w:val="TableContents"/>
              <w:bidi w:val="0"/>
              <w:spacing w:before="0" w:after="283"/>
              <w:jc w:val="left"/>
              <w:rPr/>
            </w:pPr>
            <w:r>
              <w:rPr/>
              <w:t> </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6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Ending balance (cost – $388,456</w:t>
            </w:r>
            <w:r>
              <w:rPr>
                <w:rFonts w:ascii="Times New Roman" w:hAnsi="Times New Roman"/>
                <w:color w:val="000000"/>
                <w:sz w:val="20"/>
              </w:rPr>
              <w:t> </w:t>
            </w:r>
            <w:r>
              <w:rPr>
                <w:rFonts w:ascii="Times New Roman" w:hAnsi="Times New Roman"/>
                <w:color w:val="000000"/>
                <w:sz w:val="16"/>
              </w:rPr>
              <w:t>and $380,920, respectively)</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385,016</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Excludes temporary draws.</w:t>
      </w:r>
    </w:p>
    <w:p>
      <w:pPr>
        <w:pStyle w:val="TextBody"/>
        <w:bidi w:val="0"/>
        <w:jc w:val="left"/>
        <w:rPr>
          <w:rFonts w:ascii="Times New Roman" w:hAnsi="Times New Roman"/>
          <w:color w:val="000000"/>
          <w:sz w:val="16"/>
        </w:rPr>
      </w:pPr>
      <w:r>
        <w:rPr>
          <w:rFonts w:ascii="Times New Roman" w:hAnsi="Times New Roman"/>
          <w:color w:val="000000"/>
          <w:sz w:val="16"/>
        </w:rPr>
        <w:t>As of December 31, 2023, we had outstanding non-U.S. dollar borrowings on our Credit Facility. Net change in fair value on foreign currency translation on outstanding borrowings is listed below ($ in thousands):</w:t>
      </w:r>
    </w:p>
    <w:p>
      <w:pPr>
        <w:pStyle w:val="TextBody"/>
        <w:bidi w:val="0"/>
        <w:jc w:val="left"/>
        <w:rPr/>
      </w:pPr>
      <w:r>
        <w:rPr/>
        <w:t> </w:t>
      </w:r>
    </w:p>
    <w:tbl>
      <w:tblPr>
        <w:tblW w:w="9661" w:type="dxa"/>
        <w:jc w:val="left"/>
        <w:tblInd w:w="0" w:type="dxa"/>
        <w:tblLayout w:type="fixed"/>
        <w:tblCellMar>
          <w:top w:w="28" w:type="dxa"/>
          <w:left w:w="28" w:type="dxa"/>
          <w:bottom w:w="28" w:type="dxa"/>
          <w:right w:w="28" w:type="dxa"/>
        </w:tblCellMar>
      </w:tblPr>
      <w:tblGrid>
        <w:gridCol w:w="1426"/>
        <w:gridCol w:w="146"/>
        <w:gridCol w:w="357"/>
        <w:gridCol w:w="1098"/>
        <w:gridCol w:w="146"/>
        <w:gridCol w:w="146"/>
        <w:gridCol w:w="308"/>
        <w:gridCol w:w="952"/>
        <w:gridCol w:w="146"/>
        <w:gridCol w:w="146"/>
        <w:gridCol w:w="284"/>
        <w:gridCol w:w="871"/>
        <w:gridCol w:w="146"/>
        <w:gridCol w:w="146"/>
        <w:gridCol w:w="1321"/>
        <w:gridCol w:w="146"/>
        <w:gridCol w:w="425"/>
        <w:gridCol w:w="1240"/>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Borrowed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Borrowing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British Pound</w:t>
            </w:r>
          </w:p>
        </w:tc>
        <w:tc>
          <w:tcPr>
            <w:tcW w:w="146" w:type="dxa"/>
            <w:tcBorders/>
            <w:shd w:fill="CCECFF" w:val="clear"/>
            <w:vAlign w:val="center"/>
          </w:tcPr>
          <w:p>
            <w:pPr>
              <w:pStyle w:val="TableContents"/>
              <w:bidi w:val="0"/>
              <w:spacing w:before="0" w:after="283"/>
              <w:jc w:val="left"/>
              <w:rPr/>
            </w:pPr>
            <w:r>
              <w:rPr/>
              <w:t> </w:t>
            </w:r>
          </w:p>
        </w:tc>
        <w:tc>
          <w:tcPr>
            <w:tcW w:w="3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321"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27, 2024</w:t>
            </w:r>
          </w:p>
        </w:tc>
        <w:tc>
          <w:tcPr>
            <w:tcW w:w="146" w:type="dxa"/>
            <w:tcBorders/>
            <w:shd w:fill="CCECFF" w:val="clear"/>
            <w:vAlign w:val="center"/>
          </w:tcPr>
          <w:p>
            <w:pPr>
              <w:pStyle w:val="TableContents"/>
              <w:bidi w:val="0"/>
              <w:spacing w:before="0" w:after="283"/>
              <w:jc w:val="left"/>
              <w:rPr/>
            </w:pPr>
            <w:r>
              <w:rPr/>
              <w:t> </w:t>
            </w:r>
          </w:p>
        </w:tc>
        <w:tc>
          <w:tcPr>
            <w:tcW w:w="42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(3,527</w:t>
            </w:r>
          </w:p>
        </w:tc>
        <w:tc>
          <w:tcPr>
            <w:tcW w:w="21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Canadian dollar</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16, 2024</w:t>
            </w:r>
          </w:p>
        </w:tc>
        <w:tc>
          <w:tcPr>
            <w:tcW w:w="146"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As of September 30, 2023, we had outstanding non-U.S. dollar borrowings on our Truist Credit Facility. Net change in fair value on foreign currency translation on outstanding borrowings is listed below ($ in thousands):</w:t>
      </w:r>
    </w:p>
    <w:p>
      <w:pPr>
        <w:pStyle w:val="TextBody"/>
        <w:bidi w:val="0"/>
        <w:jc w:val="left"/>
        <w:rPr/>
      </w:pPr>
      <w:r>
        <w:rPr/>
        <w:t> </w:t>
      </w:r>
    </w:p>
    <w:tbl>
      <w:tblPr>
        <w:tblW w:w="9826" w:type="dxa"/>
        <w:jc w:val="left"/>
        <w:tblInd w:w="0" w:type="dxa"/>
        <w:tblLayout w:type="fixed"/>
        <w:tblCellMar>
          <w:top w:w="28" w:type="dxa"/>
          <w:left w:w="28" w:type="dxa"/>
          <w:bottom w:w="28" w:type="dxa"/>
          <w:right w:w="28" w:type="dxa"/>
        </w:tblCellMar>
      </w:tblPr>
      <w:tblGrid>
        <w:gridCol w:w="1426"/>
        <w:gridCol w:w="146"/>
        <w:gridCol w:w="357"/>
        <w:gridCol w:w="1098"/>
        <w:gridCol w:w="146"/>
        <w:gridCol w:w="146"/>
        <w:gridCol w:w="308"/>
        <w:gridCol w:w="952"/>
        <w:gridCol w:w="146"/>
        <w:gridCol w:w="146"/>
        <w:gridCol w:w="284"/>
        <w:gridCol w:w="871"/>
        <w:gridCol w:w="146"/>
        <w:gridCol w:w="146"/>
        <w:gridCol w:w="1486"/>
        <w:gridCol w:w="146"/>
        <w:gridCol w:w="425"/>
        <w:gridCol w:w="1240"/>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Borrowed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Borrowing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Reset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British Pound</w:t>
            </w:r>
          </w:p>
        </w:tc>
        <w:tc>
          <w:tcPr>
            <w:tcW w:w="146" w:type="dxa"/>
            <w:tcBorders/>
            <w:shd w:fill="CCECFF" w:val="clear"/>
            <w:vAlign w:val="center"/>
          </w:tcPr>
          <w:p>
            <w:pPr>
              <w:pStyle w:val="TableContents"/>
              <w:bidi w:val="0"/>
              <w:spacing w:before="0" w:after="283"/>
              <w:jc w:val="left"/>
              <w:rPr/>
            </w:pPr>
            <w:r>
              <w:rPr/>
              <w:t> </w:t>
            </w:r>
          </w:p>
        </w:tc>
        <w:tc>
          <w:tcPr>
            <w:tcW w:w="357"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2"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4"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86"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28, 2023</w:t>
            </w:r>
          </w:p>
        </w:tc>
        <w:tc>
          <w:tcPr>
            <w:tcW w:w="146" w:type="dxa"/>
            <w:tcBorders/>
            <w:shd w:fill="CCECFF" w:val="clear"/>
            <w:vAlign w:val="center"/>
          </w:tcPr>
          <w:p>
            <w:pPr>
              <w:pStyle w:val="TableContents"/>
              <w:bidi w:val="0"/>
              <w:spacing w:before="0" w:after="283"/>
              <w:jc w:val="left"/>
              <w:rPr/>
            </w:pPr>
            <w:r>
              <w:rPr/>
              <w:t> </w:t>
            </w:r>
          </w:p>
        </w:tc>
        <w:tc>
          <w:tcPr>
            <w:tcW w:w="42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0"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(5,480</w:t>
            </w:r>
          </w:p>
        </w:tc>
        <w:tc>
          <w:tcPr>
            <w:tcW w:w="21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during the three months ended December 31, 2023 and 2022.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Truist Credit Facility is reported in our Consolidated Statements of Operations. We did not elect to apply ASC 825-10 to any other financial assets or liabilities, including the, 2026 Notes, and 2026 Notes-2.</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the Truist Credit Facility had a net change in unrealized (appreciation) depreciation of $(2.0) million and $4.4</w:t>
      </w:r>
      <w:r>
        <w:rPr>
          <w:rFonts w:ascii="Times New Roman" w:hAnsi="Times New Roman"/>
          <w:color w:val="000000"/>
          <w:sz w:val="20"/>
        </w:rPr>
        <w:t xml:space="preserve"> </w:t>
      </w:r>
      <w:r>
        <w:rPr>
          <w:rFonts w:ascii="Times New Roman" w:hAnsi="Times New Roman"/>
          <w:color w:val="000000"/>
          <w:sz w:val="16"/>
        </w:rPr>
        <w:t>million, respectively. As of December 31, 2023 and September 30, 2023, the net unrealized depreciation on the Truist Credit Facility totaled $3.4</w:t>
      </w:r>
      <w:r>
        <w:rPr>
          <w:rFonts w:ascii="Times New Roman" w:hAnsi="Times New Roman"/>
          <w:color w:val="000000"/>
          <w:sz w:val="20"/>
        </w:rPr>
        <w:t xml:space="preserve"> </w:t>
      </w:r>
      <w:r>
        <w:rPr>
          <w:rFonts w:ascii="Times New Roman" w:hAnsi="Times New Roman"/>
          <w:color w:val="000000"/>
          <w:sz w:val="16"/>
        </w:rPr>
        <w:t>million and $5.5</w:t>
      </w:r>
      <w:r>
        <w:rPr>
          <w:rFonts w:ascii="Times New Roman" w:hAnsi="Times New Roman"/>
          <w:color w:val="000000"/>
          <w:sz w:val="20"/>
        </w:rPr>
        <w:t xml:space="preserve"> </w:t>
      </w:r>
      <w:r>
        <w:rPr>
          <w:rFonts w:ascii="Times New Roman" w:hAnsi="Times New Roman"/>
          <w:color w:val="000000"/>
          <w:sz w:val="16"/>
        </w:rPr>
        <w:t>million, respectively. We use an independent valuation service to measure the fair value of our Truist Credit Facility in a manner consistent with the valuation process that our board of directors uses to value our investments.</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6. TRANSACTIONS WITH AFFILIATED COMPANIES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2023 were as follows ($ in thousands):</w:t>
      </w:r>
    </w:p>
    <w:p>
      <w:pPr>
        <w:pStyle w:val="TextBody"/>
        <w:bidi w:val="0"/>
        <w:jc w:val="left"/>
        <w:rPr/>
      </w:pPr>
      <w:r>
        <w:rPr/>
        <w:t> </w:t>
      </w:r>
    </w:p>
    <w:tbl>
      <w:tblPr>
        <w:tblW w:w="10281" w:type="dxa"/>
        <w:jc w:val="left"/>
        <w:tblInd w:w="0" w:type="dxa"/>
        <w:tblLayout w:type="fixed"/>
        <w:tblCellMar>
          <w:top w:w="28" w:type="dxa"/>
          <w:left w:w="28" w:type="dxa"/>
          <w:bottom w:w="28" w:type="dxa"/>
          <w:right w:w="28" w:type="dxa"/>
        </w:tblCellMar>
      </w:tblPr>
      <w:tblGrid>
        <w:gridCol w:w="1141"/>
        <w:gridCol w:w="146"/>
        <w:gridCol w:w="181"/>
        <w:gridCol w:w="586"/>
        <w:gridCol w:w="146"/>
        <w:gridCol w:w="146"/>
        <w:gridCol w:w="188"/>
        <w:gridCol w:w="533"/>
        <w:gridCol w:w="146"/>
        <w:gridCol w:w="146"/>
        <w:gridCol w:w="263"/>
        <w:gridCol w:w="503"/>
        <w:gridCol w:w="146"/>
        <w:gridCol w:w="146"/>
        <w:gridCol w:w="239"/>
        <w:gridCol w:w="677"/>
        <w:gridCol w:w="151"/>
        <w:gridCol w:w="146"/>
        <w:gridCol w:w="181"/>
        <w:gridCol w:w="586"/>
        <w:gridCol w:w="146"/>
        <w:gridCol w:w="146"/>
        <w:gridCol w:w="181"/>
        <w:gridCol w:w="436"/>
        <w:gridCol w:w="146"/>
        <w:gridCol w:w="146"/>
        <w:gridCol w:w="185"/>
        <w:gridCol w:w="356"/>
        <w:gridCol w:w="146"/>
        <w:gridCol w:w="146"/>
        <w:gridCol w:w="189"/>
        <w:gridCol w:w="457"/>
        <w:gridCol w:w="146"/>
        <w:gridCol w:w="146"/>
        <w:gridCol w:w="200"/>
        <w:gridCol w:w="416"/>
        <w:gridCol w:w="29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of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Gross</w:t>
              <w:br/>
              <w:t>Additions</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Reductions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Change in</w:t>
              <w:br/>
              <w:t>Appreciation /</w:t>
              <w:br/>
              <w:t>(Depreciation)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PIK</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Realized</w:t>
              <w:br/>
              <w:t>Gains</w:t>
              <w:br/>
              <w:t>(Losses)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CEC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Controlled Affiliates</w:t>
            </w:r>
          </w:p>
        </w:tc>
        <w:tc>
          <w:tcPr>
            <w:tcW w:w="146" w:type="dxa"/>
            <w:tcBorders/>
            <w:shd w:fill="CCECFF" w:val="clear"/>
            <w:vAlign w:val="center"/>
          </w:tcPr>
          <w:p>
            <w:pPr>
              <w:pStyle w:val="TableContents"/>
              <w:bidi w:val="0"/>
              <w:spacing w:before="0" w:after="283"/>
              <w:jc w:val="left"/>
              <w:rPr/>
            </w:pPr>
            <w:r>
              <w:rPr/>
              <w:t> </w:t>
            </w:r>
          </w:p>
        </w:tc>
        <w:tc>
          <w:tcPr>
            <w:tcW w:w="76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6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916" w:type="dxa"/>
            <w:gridSpan w:val="2"/>
            <w:tcBorders/>
            <w:shd w:fill="CCECFF" w:val="clear"/>
            <w:vAlign w:val="center"/>
          </w:tcPr>
          <w:p>
            <w:pPr>
              <w:pStyle w:val="TableContents"/>
              <w:bidi w:val="0"/>
              <w:spacing w:before="0" w:after="283"/>
              <w:jc w:val="right"/>
              <w:rPr/>
            </w:pPr>
            <w:r>
              <w:rPr/>
              <w:t> </w:t>
            </w:r>
          </w:p>
        </w:tc>
        <w:tc>
          <w:tcPr>
            <w:tcW w:w="15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6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1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16" w:type="dxa"/>
            <w:gridSpan w:val="2"/>
            <w:tcBorders/>
            <w:shd w:fill="CCECFF" w:val="clear"/>
            <w:vAlign w:val="center"/>
          </w:tcPr>
          <w:p>
            <w:pPr>
              <w:pStyle w:val="TableContents"/>
              <w:bidi w:val="0"/>
              <w:spacing w:before="0" w:after="283"/>
              <w:jc w:val="right"/>
              <w:rPr/>
            </w:pPr>
            <w:r>
              <w:rPr/>
              <w:t> </w:t>
            </w:r>
          </w:p>
        </w:tc>
        <w:tc>
          <w:tcPr>
            <w:tcW w:w="296" w:type="dxa"/>
            <w:tcBorders/>
            <w:shd w:fill="CCECFF" w:val="clear"/>
            <w:vAlign w:val="center"/>
          </w:tcPr>
          <w:p>
            <w:pPr>
              <w:pStyle w:val="TableContents"/>
              <w:bidi w:val="0"/>
              <w:spacing w:before="0" w:after="283"/>
              <w:jc w:val="right"/>
              <w:rPr/>
            </w:pPr>
            <w:r>
              <w:rPr/>
              <w:t> </w:t>
            </w:r>
          </w:p>
        </w:tc>
      </w:tr>
      <w:tr>
        <w:trPr/>
        <w:tc>
          <w:tcPr>
            <w:tcW w:w="11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AKW Holdings Limited</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jc w:val="left"/>
              <w:rPr/>
            </w:pPr>
            <w:r>
              <w:rPr/>
              <w:t> </w:t>
            </w:r>
          </w:p>
        </w:tc>
      </w:tr>
      <w:tr>
        <w:trPr/>
        <w:tc>
          <w:tcPr>
            <w:tcW w:w="1141" w:type="dxa"/>
            <w:tcBorders/>
            <w:shd w:fill="CCEC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JF Intermediate, LLC (MidOcean JF Holdings Corp.) </w:t>
            </w:r>
            <w:r>
              <w:rPr>
                <w:rFonts w:ascii="Times New Roman" w:hAnsi="Times New Roman"/>
                <w:color w:val="000000"/>
                <w:sz w:val="9"/>
              </w:rPr>
              <w:t>(2)</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8"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50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9"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10,020</w:t>
            </w:r>
          </w:p>
        </w:tc>
        <w:tc>
          <w:tcPr>
            <w:tcW w:w="15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3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16" w:type="dxa"/>
            <w:tcBorders/>
            <w:shd w:fill="CCECFF" w:val="clear"/>
            <w:vAlign w:val="center"/>
          </w:tcPr>
          <w:p>
            <w:pPr>
              <w:pStyle w:val="TableContents"/>
              <w:bidi w:val="0"/>
              <w:spacing w:before="0" w:after="283"/>
              <w:jc w:val="right"/>
              <w:rPr>
                <w:color w:val="000000"/>
              </w:rPr>
            </w:pPr>
            <w:r>
              <w:rPr>
                <w:color w:val="000000"/>
              </w:rPr>
              <w:t>—</w:t>
            </w:r>
          </w:p>
        </w:tc>
        <w:tc>
          <w:tcPr>
            <w:tcW w:w="296" w:type="dxa"/>
            <w:tcBorders/>
            <w:shd w:fill="CCECFF" w:val="clear"/>
            <w:vAlign w:val="center"/>
          </w:tcPr>
          <w:p>
            <w:pPr>
              <w:pStyle w:val="TableContents"/>
              <w:bidi w:val="0"/>
              <w:spacing w:before="0" w:after="283"/>
              <w:jc w:val="left"/>
              <w:rPr/>
            </w:pPr>
            <w:r>
              <w:rPr/>
              <w:t> </w:t>
            </w:r>
          </w:p>
        </w:tc>
      </w:tr>
      <w:tr>
        <w:trPr/>
        <w:tc>
          <w:tcPr>
            <w:tcW w:w="11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Mailsouth Inc.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jc w:val="left"/>
              <w:rPr/>
            </w:pPr>
            <w:r>
              <w:rPr/>
              <w:t> </w:t>
            </w:r>
          </w:p>
        </w:tc>
      </w:tr>
      <w:tr>
        <w:trPr/>
        <w:tc>
          <w:tcPr>
            <w:tcW w:w="1141" w:type="dxa"/>
            <w:tcBorders/>
            <w:shd w:fill="CCEC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PennantPark Senior Loan Fund, LLC </w:t>
            </w:r>
            <w:r>
              <w:rPr>
                <w:rFonts w:ascii="Times New Roman" w:hAnsi="Times New Roman"/>
                <w:color w:val="000000"/>
                <w:sz w:val="9"/>
              </w:rPr>
              <w:t>(3)</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164,408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8" w:type="dxa"/>
            <w:tcBorders/>
            <w:shd w:fill="CCECFF" w:val="clear"/>
            <w:vAlign w:val="center"/>
          </w:tcPr>
          <w:p>
            <w:pPr>
              <w:pStyle w:val="TableContents"/>
              <w:bidi w:val="0"/>
              <w:spacing w:before="0" w:after="283"/>
              <w:jc w:val="left"/>
              <w:rPr/>
            </w:pPr>
            <w:r>
              <w:rPr/>
              <w:t> </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pPr>
            <w:r>
              <w:rPr/>
              <w:t> </w:t>
            </w:r>
          </w:p>
        </w:tc>
        <w:tc>
          <w:tcPr>
            <w:tcW w:w="50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9"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720</w:t>
            </w:r>
          </w:p>
        </w:tc>
        <w:tc>
          <w:tcPr>
            <w:tcW w:w="15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165,128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pPr>
            <w:r>
              <w:rPr/>
              <w:t> </w:t>
            </w:r>
          </w:p>
        </w:tc>
        <w:tc>
          <w:tcPr>
            <w:tcW w:w="3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pPr>
            <w:r>
              <w:rPr/>
              <w:t> </w:t>
            </w:r>
          </w:p>
        </w:tc>
        <w:tc>
          <w:tcPr>
            <w:tcW w:w="416" w:type="dxa"/>
            <w:tcBorders/>
            <w:shd w:fill="CCECFF" w:val="clear"/>
            <w:vAlign w:val="center"/>
          </w:tcPr>
          <w:p>
            <w:pPr>
              <w:pStyle w:val="TableContents"/>
              <w:bidi w:val="0"/>
              <w:spacing w:before="0" w:after="283"/>
              <w:jc w:val="right"/>
              <w:rPr>
                <w:color w:val="000000"/>
              </w:rPr>
            </w:pPr>
            <w:r>
              <w:rPr>
                <w:color w:val="000000"/>
              </w:rPr>
              <w:t>—</w:t>
            </w:r>
          </w:p>
        </w:tc>
        <w:tc>
          <w:tcPr>
            <w:tcW w:w="296" w:type="dxa"/>
            <w:tcBorders/>
            <w:shd w:fill="CCECFF" w:val="clear"/>
            <w:vAlign w:val="center"/>
          </w:tcPr>
          <w:p>
            <w:pPr>
              <w:pStyle w:val="TableContents"/>
              <w:bidi w:val="0"/>
              <w:spacing w:before="0" w:after="283"/>
              <w:jc w:val="left"/>
              <w:rPr/>
            </w:pPr>
            <w:r>
              <w:rPr/>
              <w:t> </w:t>
            </w:r>
          </w:p>
        </w:tc>
      </w:tr>
      <w:tr>
        <w:trPr/>
        <w:tc>
          <w:tcPr>
            <w:tcW w:w="11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RAM Energy LLC </w:t>
            </w:r>
            <w:r>
              <w:rPr>
                <w:rFonts w:ascii="Times New Roman" w:hAnsi="Times New Roman"/>
                <w:color w:val="000000"/>
                <w:sz w:val="9"/>
              </w:rPr>
              <w:t>(4)</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141" w:type="dxa"/>
            <w:tcBorders/>
            <w:shd w:fill="CCEC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Total Controlled Affiliates</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224,827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52,337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13,520</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290,684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Non-Controlled Affiliates</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gridSpan w:val="2"/>
            <w:tcBorders/>
            <w:shd w:fill="FFFFFF" w:val="clear"/>
            <w:vAlign w:val="center"/>
          </w:tcPr>
          <w:p>
            <w:pPr>
              <w:pStyle w:val="TableContents"/>
              <w:bidi w:val="0"/>
              <w:spacing w:before="0" w:after="283"/>
              <w:jc w:val="right"/>
              <w:rPr/>
            </w:pPr>
            <w:r>
              <w:rPr/>
              <w:t> </w:t>
            </w:r>
          </w:p>
        </w:tc>
        <w:tc>
          <w:tcPr>
            <w:tcW w:w="296" w:type="dxa"/>
            <w:tcBorders/>
            <w:shd w:fill="FFFFFF" w:val="clear"/>
            <w:vAlign w:val="center"/>
          </w:tcPr>
          <w:p>
            <w:pPr>
              <w:pStyle w:val="TableContents"/>
              <w:bidi w:val="0"/>
              <w:spacing w:before="0" w:after="283"/>
              <w:jc w:val="right"/>
              <w:rPr/>
            </w:pPr>
            <w:r>
              <w:rPr/>
              <w:t> </w:t>
            </w:r>
          </w:p>
        </w:tc>
      </w:tr>
      <w:tr>
        <w:trPr/>
        <w:tc>
          <w:tcPr>
            <w:tcW w:w="1141"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Cascade Environmental Holdings, LLC</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8"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63"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9"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(2,462</w:t>
            </w:r>
          </w:p>
        </w:tc>
        <w:tc>
          <w:tcPr>
            <w:tcW w:w="151"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C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shd w:fill="CCEC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shd w:fill="CCECFF" w:val="clear"/>
            <w:vAlign w:val="center"/>
          </w:tcPr>
          <w:p>
            <w:pPr>
              <w:pStyle w:val="TableContents"/>
              <w:bidi w:val="0"/>
              <w:spacing w:before="0" w:after="283"/>
              <w:jc w:val="right"/>
              <w:rPr>
                <w:color w:val="000000"/>
              </w:rPr>
            </w:pPr>
            <w:r>
              <w:rPr>
                <w:color w:val="000000"/>
              </w:rPr>
              <w:t>—</w:t>
            </w:r>
          </w:p>
        </w:tc>
        <w:tc>
          <w:tcPr>
            <w:tcW w:w="296" w:type="dxa"/>
            <w:tcBorders/>
            <w:shd w:fill="CCECFF" w:val="clear"/>
            <w:vAlign w:val="center"/>
          </w:tcPr>
          <w:p>
            <w:pPr>
              <w:pStyle w:val="TableContents"/>
              <w:bidi w:val="0"/>
              <w:spacing w:before="0" w:after="283"/>
              <w:jc w:val="left"/>
              <w:rPr/>
            </w:pPr>
            <w:r>
              <w:rPr/>
              <w:t> </w:t>
            </w:r>
          </w:p>
        </w:tc>
      </w:tr>
      <w:tr>
        <w:trPr/>
        <w:tc>
          <w:tcPr>
            <w:tcW w:w="11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Walker Edison Furniture Company LLC</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41" w:type="dxa"/>
            <w:tcBorders/>
            <w:shd w:fill="CCEC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4"/>
              </w:rPr>
              <w:t>Total Non-Controlled Affiliates</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46,012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(6,196</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40,829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Controlled and</w:t>
              <w:br/>
              <w:t>   Non-Controlled Affiliates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270,839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b/>
          <w:color w:val="000000"/>
          <w:sz w:val="12"/>
        </w:rPr>
      </w:pPr>
      <w:r>
        <w:rPr>
          <w:rFonts w:ascii="Times New Roman" w:hAnsi="Times New Roman"/>
          <w:b/>
          <w:color w:val="000000"/>
          <w:sz w:val="12"/>
        </w:rPr>
        <w:t>(1)</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Includes PIK.</w:t>
      </w:r>
    </w:p>
    <w:p>
      <w:pPr>
        <w:pStyle w:val="TextBody"/>
        <w:bidi w:val="0"/>
        <w:spacing w:before="0" w:after="0"/>
        <w:jc w:val="left"/>
        <w:rPr>
          <w:rFonts w:ascii="Times New Roman" w:hAnsi="Times New Roman"/>
          <w:b/>
          <w:color w:val="000000"/>
          <w:sz w:val="12"/>
        </w:rPr>
      </w:pPr>
      <w:r>
        <w:rPr>
          <w:rFonts w:ascii="Times New Roman" w:hAnsi="Times New Roman"/>
          <w:b/>
          <w:color w:val="000000"/>
          <w:sz w:val="12"/>
        </w:rPr>
        <w:t>(2)</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JF Intermediate, LLC became a controlled affiliate during the quarter end December 31, 2023.</w:t>
      </w:r>
    </w:p>
    <w:p>
      <w:pPr>
        <w:pStyle w:val="TextBody"/>
        <w:bidi w:val="0"/>
        <w:spacing w:before="0" w:after="0"/>
        <w:jc w:val="left"/>
        <w:rPr>
          <w:rFonts w:ascii="Times New Roman" w:hAnsi="Times New Roman"/>
          <w:b/>
          <w:color w:val="000000"/>
          <w:sz w:val="12"/>
        </w:rPr>
      </w:pPr>
      <w:r>
        <w:rPr>
          <w:rFonts w:ascii="Times New Roman" w:hAnsi="Times New Roman"/>
          <w:b/>
          <w:color w:val="000000"/>
          <w:sz w:val="12"/>
        </w:rPr>
        <w:t>(3)</w:t>
      </w:r>
    </w:p>
    <w:p>
      <w:pPr>
        <w:pStyle w:val="TextBody"/>
        <w:bidi w:val="0"/>
        <w:spacing w:before="0" w:after="0"/>
        <w:jc w:val="left"/>
        <w:rPr>
          <w:rFonts w:ascii="Times New Roman" w:hAnsi="Times New Roman"/>
          <w:sz w:val="16"/>
        </w:rPr>
      </w:pPr>
      <w:r>
        <w:rPr>
          <w:rFonts w:ascii="Times New Roman" w:hAnsi="Times New Roman"/>
          <w:color w:val="000000"/>
          <w:sz w:val="12"/>
        </w:rPr>
        <w:t xml:space="preserve">We </w:t>
      </w:r>
      <w:r>
        <w:rPr>
          <w:rFonts w:ascii="Times New Roman" w:hAnsi="Times New Roman"/>
          <w:color w:val="000000"/>
          <w:sz w:val="13"/>
        </w:rPr>
        <w:t>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r>
        <w:rPr>
          <w:rFonts w:ascii="Times New Roman" w:hAnsi="Times New Roman"/>
          <w:color w:val="000000"/>
          <w:sz w:val="12"/>
        </w:rPr>
        <w:t>.</w:t>
      </w:r>
    </w:p>
    <w:p>
      <w:pPr>
        <w:pStyle w:val="TextBody"/>
        <w:bidi w:val="0"/>
        <w:spacing w:before="0" w:after="0"/>
        <w:jc w:val="left"/>
        <w:rPr>
          <w:rFonts w:ascii="Times New Roman" w:hAnsi="Times New Roman"/>
          <w:b/>
          <w:color w:val="000000"/>
          <w:sz w:val="12"/>
        </w:rPr>
      </w:pPr>
      <w:r>
        <w:rPr>
          <w:rFonts w:ascii="Times New Roman" w:hAnsi="Times New Roman"/>
          <w:b/>
          <w:color w:val="000000"/>
          <w:sz w:val="12"/>
        </w:rPr>
        <w:t>(4)</w:t>
      </w:r>
    </w:p>
    <w:p>
      <w:pPr>
        <w:pStyle w:val="TextBody"/>
        <w:bidi w:val="0"/>
        <w:jc w:val="left"/>
        <w:rPr>
          <w:rFonts w:ascii="Times New Roman" w:hAnsi="Times New Roman"/>
          <w:color w:val="000000"/>
          <w:sz w:val="12"/>
        </w:rPr>
      </w:pPr>
      <w:r>
        <w:rPr>
          <w:rFonts w:ascii="Times New Roman" w:hAnsi="Times New Roman"/>
          <w:color w:val="000000"/>
          <w:sz w:val="12"/>
        </w:rPr>
        <w:t>RAM Energy LLC was fully realized in January 2023, during the quarter ended December 31, 2023 there was realized loss due to reduction of the escrow receivable.</w:t>
      </w:r>
    </w:p>
    <w:p>
      <w:pPr>
        <w:pStyle w:val="TextBody"/>
        <w:bidi w:val="0"/>
        <w:jc w:val="left"/>
        <w:rPr/>
      </w:pPr>
      <w:r>
        <w:rPr/>
        <w:t> </w:t>
      </w:r>
    </w:p>
    <w:p>
      <w:pPr>
        <w:pStyle w:val="TextBody"/>
        <w:bidi w:val="0"/>
        <w:jc w:val="left"/>
        <w:rPr>
          <w:rFonts w:ascii="Times New Roman" w:hAnsi="Times New Roman"/>
          <w:b/>
          <w:color w:val="000000"/>
          <w:sz w:val="16"/>
        </w:rPr>
      </w:pPr>
      <w:bookmarkStart w:id="11" w:name="note_7"/>
      <w:bookmarkEnd w:id="11"/>
      <w:r>
        <w:rPr>
          <w:rFonts w:ascii="Times New Roman" w:hAnsi="Times New Roman"/>
          <w:b/>
          <w:color w:val="000000"/>
          <w:sz w:val="16"/>
        </w:rPr>
        <w:t>7. CHANGE IN NET ASSETS FROM OPERATIONS PER COMMON SHARE</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The following information sets forth the computation of basic and diluted per share net increase in net assets resulting from operations ($ in thousands, except per share data):</w:t>
      </w:r>
    </w:p>
    <w:p>
      <w:pPr>
        <w:pStyle w:val="TextBody"/>
        <w:bidi w:val="0"/>
        <w:jc w:val="left"/>
        <w:rPr/>
      </w:pPr>
      <w:r>
        <w:rPr/>
        <w:t> </w:t>
      </w:r>
    </w:p>
    <w:tbl>
      <w:tblPr>
        <w:tblW w:w="9236" w:type="dxa"/>
        <w:jc w:val="left"/>
        <w:tblInd w:w="0" w:type="dxa"/>
        <w:tblLayout w:type="fixed"/>
        <w:tblCellMar>
          <w:top w:w="28" w:type="dxa"/>
          <w:left w:w="28" w:type="dxa"/>
          <w:bottom w:w="28" w:type="dxa"/>
          <w:right w:w="28" w:type="dxa"/>
        </w:tblCellMar>
      </w:tblPr>
      <w:tblGrid>
        <w:gridCol w:w="6241"/>
        <w:gridCol w:w="146"/>
        <w:gridCol w:w="205"/>
        <w:gridCol w:w="961"/>
        <w:gridCol w:w="153"/>
        <w:gridCol w:w="153"/>
        <w:gridCol w:w="205"/>
        <w:gridCol w:w="961"/>
        <w:gridCol w:w="21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Numerator for net increase (decrease) in net assets resulting from operations</w:t>
            </w:r>
          </w:p>
        </w:tc>
        <w:tc>
          <w:tcPr>
            <w:tcW w:w="146" w:type="dxa"/>
            <w:tcBorders/>
            <w:shd w:fill="CCECFF" w:val="clear"/>
            <w:vAlign w:val="center"/>
          </w:tcPr>
          <w:p>
            <w:pPr>
              <w:pStyle w:val="TableContents"/>
              <w:bidi w:val="0"/>
              <w:spacing w:before="0" w:after="283"/>
              <w:jc w:val="left"/>
              <w:rPr/>
            </w:pPr>
            <w:r>
              <w:rPr/>
              <w:t> </w:t>
            </w:r>
          </w:p>
        </w:tc>
        <w:tc>
          <w:tcPr>
            <w:tcW w:w="20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10,653</w:t>
            </w:r>
          </w:p>
        </w:tc>
        <w:tc>
          <w:tcPr>
            <w:tcW w:w="153"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20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(71,894</w:t>
            </w:r>
          </w:p>
        </w:tc>
        <w:tc>
          <w:tcPr>
            <w:tcW w:w="21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Denominator for basic and diluted weighted average shares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65,224,500</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65,224,500</w:t>
            </w:r>
          </w:p>
        </w:tc>
        <w:tc>
          <w:tcPr>
            <w:tcW w:w="211" w:type="dxa"/>
            <w:tcBorders/>
            <w:shd w:fill="FFFFFF" w:val="clear"/>
            <w:vAlign w:val="center"/>
          </w:tcPr>
          <w:p>
            <w:pPr>
              <w:pStyle w:val="TableContents"/>
              <w:bidi w:val="0"/>
              <w:spacing w:before="0" w:after="283"/>
              <w:jc w:val="left"/>
              <w:rPr/>
            </w:pPr>
            <w:r>
              <w:rPr/>
              <w:t> </w:t>
            </w:r>
          </w:p>
        </w:tc>
      </w:tr>
      <w:tr>
        <w:trPr/>
        <w:tc>
          <w:tcPr>
            <w:tcW w:w="62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Basic and diluted net increase (decrease) in net assets per share resulting from operations</w:t>
            </w:r>
          </w:p>
        </w:tc>
        <w:tc>
          <w:tcPr>
            <w:tcW w:w="146" w:type="dxa"/>
            <w:tcBorders/>
            <w:shd w:fill="CCECFF" w:val="clear"/>
            <w:vAlign w:val="center"/>
          </w:tcPr>
          <w:p>
            <w:pPr>
              <w:pStyle w:val="TableContents"/>
              <w:bidi w:val="0"/>
              <w:spacing w:before="0" w:after="283"/>
              <w:jc w:val="left"/>
              <w:rPr/>
            </w:pPr>
            <w:r>
              <w:rPr/>
              <w:t> </w:t>
            </w:r>
          </w:p>
        </w:tc>
        <w:tc>
          <w:tcPr>
            <w:tcW w:w="20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53" w:type="dxa"/>
            <w:tcBorders/>
            <w:shd w:fill="CCECFF" w:val="clear"/>
            <w:vAlign w:val="center"/>
          </w:tcPr>
          <w:p>
            <w:pPr>
              <w:pStyle w:val="TableContents"/>
              <w:bidi w:val="0"/>
              <w:spacing w:before="0" w:after="283"/>
              <w:jc w:val="left"/>
              <w:rPr/>
            </w:pPr>
            <w:r>
              <w:rPr/>
              <w:t> </w:t>
            </w:r>
          </w:p>
        </w:tc>
        <w:tc>
          <w:tcPr>
            <w:tcW w:w="153" w:type="dxa"/>
            <w:tcBorders/>
            <w:shd w:fill="CCECFF" w:val="clear"/>
            <w:vAlign w:val="center"/>
          </w:tcPr>
          <w:p>
            <w:pPr>
              <w:pStyle w:val="TableContents"/>
              <w:bidi w:val="0"/>
              <w:spacing w:before="0" w:after="283"/>
              <w:jc w:val="left"/>
              <w:rPr/>
            </w:pPr>
            <w:r>
              <w:rPr/>
              <w:t> </w:t>
            </w:r>
          </w:p>
        </w:tc>
        <w:tc>
          <w:tcPr>
            <w:tcW w:w="205"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8. CASH AND CASH EQUIVALENTS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Cash equivalents represent cash in money market funds pending investment in longer-term portfolio holdings and for other general corporate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2023 and September 30, 2023, cash and cash equivalents consisted of money market funds, and non-money market in the amounts of $36.9</w:t>
      </w:r>
      <w:r>
        <w:rPr>
          <w:rFonts w:ascii="Times New Roman" w:hAnsi="Times New Roman"/>
          <w:color w:val="000000"/>
          <w:sz w:val="20"/>
        </w:rPr>
        <w:t xml:space="preserve"> </w:t>
      </w:r>
      <w:r>
        <w:rPr>
          <w:rFonts w:ascii="Times New Roman" w:hAnsi="Times New Roman"/>
          <w:color w:val="000000"/>
          <w:sz w:val="16"/>
        </w:rPr>
        <w:t>million and $38.8</w:t>
      </w:r>
      <w:r>
        <w:rPr>
          <w:rFonts w:ascii="Times New Roman" w:hAnsi="Times New Roman"/>
          <w:color w:val="000000"/>
          <w:sz w:val="20"/>
        </w:rPr>
        <w:t xml:space="preserve"> </w:t>
      </w:r>
      <w:r>
        <w:rPr>
          <w:rFonts w:ascii="Times New Roman" w:hAnsi="Times New Roman"/>
          <w:color w:val="000000"/>
          <w:sz w:val="16"/>
        </w:rPr>
        <w:t>million at fair value, respectively.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9. FINANCIAL HIGHLIGHTS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Below are the financial highlights ($ in thousands, except share and per share data):</w:t>
      </w:r>
      <w:r>
        <w:rPr>
          <w:rFonts w:ascii="Times New Roman" w:hAnsi="Times New Roman"/>
          <w:color w:val="000000"/>
          <w:sz w:val="20"/>
        </w:rPr>
        <w:t xml:space="preserve"> </w:t>
      </w:r>
    </w:p>
    <w:tbl>
      <w:tblPr>
        <w:tblW w:w="7601" w:type="dxa"/>
        <w:jc w:val="left"/>
        <w:tblInd w:w="0" w:type="dxa"/>
        <w:tblLayout w:type="fixed"/>
        <w:tblCellMar>
          <w:top w:w="28" w:type="dxa"/>
          <w:left w:w="28" w:type="dxa"/>
          <w:bottom w:w="28" w:type="dxa"/>
          <w:right w:w="28" w:type="dxa"/>
        </w:tblCellMar>
      </w:tblPr>
      <w:tblGrid>
        <w:gridCol w:w="4531"/>
        <w:gridCol w:w="146"/>
        <w:gridCol w:w="198"/>
        <w:gridCol w:w="926"/>
        <w:gridCol w:w="243"/>
        <w:gridCol w:w="147"/>
        <w:gridCol w:w="198"/>
        <w:gridCol w:w="926"/>
        <w:gridCol w:w="28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86" w:type="dxa"/>
            <w:tcBorders/>
            <w:shd w:fill="FFFFFF" w:val="clear"/>
            <w:vAlign w:val="center"/>
          </w:tcPr>
          <w:p>
            <w:pPr>
              <w:pStyle w:val="TableContents"/>
              <w:bidi w:val="0"/>
              <w:spacing w:before="0" w:after="283"/>
              <w:jc w:val="center"/>
              <w:rPr/>
            </w:pPr>
            <w:r>
              <w:rPr/>
              <w:t> </w:t>
            </w:r>
          </w:p>
        </w:tc>
      </w:tr>
      <w:tr>
        <w:trPr/>
        <w:tc>
          <w:tcPr>
            <w:tcW w:w="4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Share Data:</w:t>
            </w:r>
          </w:p>
        </w:tc>
        <w:tc>
          <w:tcPr>
            <w:tcW w:w="146" w:type="dxa"/>
            <w:tcBorders/>
            <w:shd w:fill="CCECFF" w:val="clear"/>
            <w:vAlign w:val="center"/>
          </w:tcPr>
          <w:p>
            <w:pPr>
              <w:pStyle w:val="TableContents"/>
              <w:bidi w:val="0"/>
              <w:spacing w:before="0" w:after="283"/>
              <w:jc w:val="left"/>
              <w:rPr/>
            </w:pPr>
            <w:r>
              <w:rPr/>
              <w:t> </w:t>
            </w:r>
          </w:p>
        </w:tc>
        <w:tc>
          <w:tcPr>
            <w:tcW w:w="1124" w:type="dxa"/>
            <w:gridSpan w:val="2"/>
            <w:tcBorders/>
            <w:shd w:fill="CCECFF" w:val="clear"/>
            <w:vAlign w:val="center"/>
          </w:tcPr>
          <w:p>
            <w:pPr>
              <w:pStyle w:val="TableContents"/>
              <w:bidi w:val="0"/>
              <w:spacing w:before="0" w:after="283"/>
              <w:jc w:val="right"/>
              <w:rPr/>
            </w:pPr>
            <w:r>
              <w:rPr/>
              <w:t> </w:t>
            </w:r>
          </w:p>
        </w:tc>
        <w:tc>
          <w:tcPr>
            <w:tcW w:w="243" w:type="dxa"/>
            <w:tcBorders/>
            <w:shd w:fill="CCECFF" w:val="clear"/>
            <w:vAlign w:val="center"/>
          </w:tcPr>
          <w:p>
            <w:pPr>
              <w:pStyle w:val="TableContents"/>
              <w:bidi w:val="0"/>
              <w:spacing w:before="0" w:after="283"/>
              <w:jc w:val="right"/>
              <w:rPr/>
            </w:pPr>
            <w:r>
              <w:rPr/>
              <w:t> </w:t>
            </w:r>
          </w:p>
        </w:tc>
        <w:tc>
          <w:tcPr>
            <w:tcW w:w="147" w:type="dxa"/>
            <w:tcBorders/>
            <w:shd w:fill="CCECFF" w:val="clear"/>
            <w:vAlign w:val="center"/>
          </w:tcPr>
          <w:p>
            <w:pPr>
              <w:pStyle w:val="TableContents"/>
              <w:bidi w:val="0"/>
              <w:spacing w:before="0" w:after="283"/>
              <w:jc w:val="left"/>
              <w:rPr/>
            </w:pPr>
            <w:r>
              <w:rPr/>
              <w:t> </w:t>
            </w:r>
          </w:p>
        </w:tc>
        <w:tc>
          <w:tcPr>
            <w:tcW w:w="1124" w:type="dxa"/>
            <w:gridSpan w:val="2"/>
            <w:tcBorders/>
            <w:shd w:fill="CCECFF" w:val="clear"/>
            <w:vAlign w:val="center"/>
          </w:tcPr>
          <w:p>
            <w:pPr>
              <w:pStyle w:val="TableContents"/>
              <w:bidi w:val="0"/>
              <w:spacing w:before="0" w:after="283"/>
              <w:jc w:val="right"/>
              <w:rPr/>
            </w:pPr>
            <w:r>
              <w:rPr/>
              <w:t> </w:t>
            </w:r>
          </w:p>
        </w:tc>
        <w:tc>
          <w:tcPr>
            <w:tcW w:w="286" w:type="dxa"/>
            <w:tcBorders/>
            <w:shd w:fill="CCECFF" w:val="clear"/>
            <w:vAlign w:val="center"/>
          </w:tcPr>
          <w:p>
            <w:pPr>
              <w:pStyle w:val="TableContents"/>
              <w:bidi w:val="0"/>
              <w:spacing w:before="0" w:after="283"/>
              <w:jc w:val="righ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beginning of period</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24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286" w:type="dxa"/>
            <w:tcBorders/>
            <w:shd w:fill="FFFFFF" w:val="clear"/>
            <w:vAlign w:val="center"/>
          </w:tcPr>
          <w:p>
            <w:pPr>
              <w:pStyle w:val="TableContents"/>
              <w:bidi w:val="0"/>
              <w:spacing w:before="0" w:after="283"/>
              <w:jc w:val="lef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investment income </w:t>
            </w:r>
            <w:r>
              <w:rPr>
                <w:rFonts w:ascii="Times New Roman" w:hAnsi="Times New Roman"/>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43" w:type="dxa"/>
            <w:tcBorders/>
            <w:shd w:fill="CCECFF" w:val="cle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286" w:type="dxa"/>
            <w:tcBorders/>
            <w:shd w:fill="CCECFF"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change in realized and unrealized gain (loss) </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increase (decrease) in net assets resulting from operations </w:t>
            </w:r>
            <w:r>
              <w:rPr>
                <w:rFonts w:ascii="Times New Roman" w:hAnsi="Times New Roman"/>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243" w:type="dxa"/>
            <w:tcBorders/>
            <w:shd w:fill="CCECFF" w:val="cle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Distributions to stockholders </w:t>
            </w:r>
            <w:r>
              <w:rPr>
                <w:rFonts w:ascii="Times New Roman" w:hAnsi="Times New Roman"/>
                <w:color w:val="000000"/>
                <w:sz w:val="11"/>
              </w:rPr>
              <w:t>(1), (2)</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(0.21</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(0.17</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Repurchase of common stock </w:t>
            </w:r>
            <w:r>
              <w:rPr>
                <w:rFonts w:ascii="Times New Roman" w:hAnsi="Times New Roman"/>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end of period</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 share market value, end of period</w:t>
            </w:r>
          </w:p>
        </w:tc>
        <w:tc>
          <w:tcPr>
            <w:tcW w:w="146" w:type="dxa"/>
            <w:tcBorders/>
            <w:shd w:fill="CCECFF" w:val="clear"/>
            <w:vAlign w:val="center"/>
          </w:tcPr>
          <w:p>
            <w:pPr>
              <w:pStyle w:val="TableContents"/>
              <w:bidi w:val="0"/>
              <w:spacing w:before="0" w:after="283"/>
              <w:jc w:val="left"/>
              <w:rPr/>
            </w:pPr>
            <w:r>
              <w:rPr/>
              <w:t> </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w:t>
            </w:r>
          </w:p>
        </w:tc>
        <w:tc>
          <w:tcPr>
            <w:tcW w:w="2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2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Total return</w:t>
            </w:r>
            <w:r>
              <w:rPr>
                <w:rFonts w:ascii="Times New Roman" w:hAnsi="Times New Roman"/>
                <w:color w:val="000000"/>
                <w:sz w:val="11"/>
              </w:rPr>
              <w:t>* (3)</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outstanding at end of period</w:t>
            </w:r>
          </w:p>
        </w:tc>
        <w:tc>
          <w:tcPr>
            <w:tcW w:w="146"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65,224,500</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65,224,500</w:t>
            </w:r>
          </w:p>
        </w:tc>
        <w:tc>
          <w:tcPr>
            <w:tcW w:w="2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Ratios</w:t>
            </w:r>
            <w:r>
              <w:rPr>
                <w:rFonts w:ascii="Times New Roman" w:hAnsi="Times New Roman"/>
                <w:b/>
                <w:color w:val="000000"/>
                <w:sz w:val="14"/>
              </w:rPr>
              <w:t>**</w:t>
            </w:r>
            <w:r>
              <w:rPr>
                <w:rFonts w:ascii="Times New Roman" w:hAnsi="Times New Roman"/>
                <w:color w:val="000000"/>
                <w:sz w:val="16"/>
              </w:rPr>
              <w:t> </w:t>
            </w:r>
            <w:r>
              <w:rPr>
                <w:rFonts w:ascii="Times New Roman" w:hAnsi="Times New Roman"/>
                <w:b/>
                <w:color w:val="000000"/>
                <w:sz w:val="16"/>
              </w:rPr>
              <w:t>/ Supplemental Data:</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Ratio of operating expenses to average net assets </w:t>
            </w:r>
            <w:r>
              <w:rPr>
                <w:rFonts w:ascii="Times New Roman" w:hAnsi="Times New Roman"/>
                <w:color w:val="000000"/>
                <w:sz w:val="11"/>
              </w:rPr>
              <w:t>(4)</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2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Ratio of debt related expenses to average net assets </w:t>
            </w:r>
            <w:r>
              <w:rPr>
                <w:rFonts w:ascii="Times New Roman" w:hAnsi="Times New Roman"/>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Ratio of total expenses to average net assets </w:t>
            </w:r>
            <w:r>
              <w:rPr>
                <w:rFonts w:ascii="Times New Roman" w:hAnsi="Times New Roman"/>
                <w:color w:val="000000"/>
                <w:sz w:val="11"/>
              </w:rPr>
              <w:t>(5)</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14.91</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w:t>
            </w:r>
          </w:p>
        </w:tc>
        <w:tc>
          <w:tcPr>
            <w:tcW w:w="2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Ratio of net investment income to average net assets </w:t>
            </w:r>
            <w:r>
              <w:rPr>
                <w:rFonts w:ascii="Times New Roman" w:hAnsi="Times New Roman"/>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2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3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499,142</w:t>
            </w:r>
          </w:p>
        </w:tc>
        <w:tc>
          <w:tcPr>
            <w:tcW w:w="2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502,909</w:t>
            </w:r>
          </w:p>
        </w:tc>
        <w:tc>
          <w:tcPr>
            <w:tcW w:w="2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debt outstanding</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597,756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694,152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Weighted average debt per share </w:t>
            </w:r>
            <w:r>
              <w:rPr>
                <w:rFonts w:ascii="Times New Roman" w:hAnsi="Times New Roman"/>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w:t>
            </w:r>
          </w:p>
        </w:tc>
        <w:tc>
          <w:tcPr>
            <w:tcW w:w="243" w:type="dxa"/>
            <w:tcBorders/>
            <w:shd w:fill="CCECFF" w:val="clear"/>
            <w:vAlign w:val="center"/>
          </w:tcPr>
          <w:p>
            <w:pPr>
              <w:pStyle w:val="TableContents"/>
              <w:bidi w:val="0"/>
              <w:spacing w:before="0" w:after="283"/>
              <w:jc w:val="left"/>
              <w:rPr/>
            </w:pPr>
            <w:r>
              <w:rPr/>
              <w:t> </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w:t>
            </w:r>
          </w:p>
        </w:tc>
        <w:tc>
          <w:tcPr>
            <w:tcW w:w="286" w:type="dxa"/>
            <w:tcBorders/>
            <w:shd w:fill="CCECFF"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Asset coverage per unit </w:t>
            </w:r>
            <w:r>
              <w:rPr>
                <w:rFonts w:ascii="Times New Roman" w:hAnsi="Times New Roman"/>
                <w:color w:val="000000"/>
                <w:sz w:val="11"/>
              </w:rPr>
              <w:t>(6)</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w:t>
            </w:r>
          </w:p>
        </w:tc>
        <w:tc>
          <w:tcPr>
            <w:tcW w:w="24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w:t>
            </w:r>
          </w:p>
        </w:tc>
        <w:tc>
          <w:tcPr>
            <w:tcW w:w="286" w:type="dxa"/>
            <w:tcBorders/>
            <w:shd w:fill="FFFFFF" w:val="clear"/>
            <w:vAlign w:val="center"/>
          </w:tcPr>
          <w:p>
            <w:pPr>
              <w:pStyle w:val="TableContents"/>
              <w:bidi w:val="0"/>
              <w:spacing w:before="0" w:after="283"/>
              <w:jc w:val="left"/>
              <w:rPr/>
            </w:pPr>
            <w:r>
              <w:rPr/>
              <w:t> </w:t>
            </w:r>
          </w:p>
        </w:tc>
      </w:tr>
      <w:tr>
        <w:trPr/>
        <w:tc>
          <w:tcPr>
            <w:tcW w:w="4531"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Portfolio turnover ratio</w:t>
            </w:r>
            <w:r>
              <w:rPr>
                <w:rFonts w:ascii="Times New Roman" w:hAnsi="Times New Roman"/>
                <w:color w:val="000000"/>
                <w:sz w:val="11"/>
              </w:rPr>
              <w:t>* (7)</w:t>
            </w:r>
          </w:p>
        </w:tc>
        <w:tc>
          <w:tcPr>
            <w:tcW w:w="146"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24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c>
          <w:tcPr>
            <w:tcW w:w="926"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2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rFonts w:ascii="Times New Roman" w:hAnsi="Times New Roman"/>
          <w:sz w:val="20"/>
        </w:rPr>
      </w:pPr>
      <w:r>
        <w:rPr>
          <w:rFonts w:ascii="Times New Roman" w:hAnsi="Times New Roman"/>
          <w:b/>
          <w:color w:val="000000"/>
          <w:sz w:val="12"/>
        </w:rPr>
        <w:t xml:space="preserve">* </w:t>
      </w:r>
      <w:r>
        <w:rPr>
          <w:rFonts w:ascii="Times New Roman" w:hAnsi="Times New Roman"/>
          <w:color w:val="000000"/>
          <w:sz w:val="12"/>
        </w:rPr>
        <w:t>Not annualized for periods less than one year.</w:t>
      </w:r>
    </w:p>
    <w:p>
      <w:pPr>
        <w:pStyle w:val="TextBody"/>
        <w:bidi w:val="0"/>
        <w:jc w:val="left"/>
        <w:rPr>
          <w:rFonts w:ascii="Times New Roman" w:hAnsi="Times New Roman"/>
          <w:color w:val="000000"/>
          <w:sz w:val="12"/>
        </w:rPr>
      </w:pPr>
      <w:r>
        <w:rPr>
          <w:rFonts w:ascii="Times New Roman" w:hAnsi="Times New Roman"/>
          <w:color w:val="000000"/>
          <w:sz w:val="12"/>
        </w:rPr>
        <w:t>**Re-occurring investment income and expenses included in these ratios are annualized for periods less than one year.</w:t>
      </w:r>
    </w:p>
    <w:p>
      <w:pPr>
        <w:pStyle w:val="TextBody"/>
        <w:bidi w:val="0"/>
        <w:jc w:val="left"/>
        <w:rPr>
          <w:rFonts w:ascii="Times New Roman" w:hAnsi="Times New Roman"/>
          <w:color w:val="000000"/>
          <w:sz w:val="12"/>
        </w:rPr>
      </w:pPr>
      <w:r>
        <w:rPr>
          <w:rFonts w:ascii="Times New Roman" w:hAnsi="Times New Roman"/>
          <w:color w:val="000000"/>
          <w:sz w:val="12"/>
        </w:rPr>
        <w:t>***The expense and investment income ratios do not reflect the Company's proportionate share of income and expenses of PSLF and PTSF II.</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(1)</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Based on the weighted average shares outstanding for the respective periods.</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(2)</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The tax status of distributions is calculated in accordance with income tax regulations, which may differ from amounts determined under GAAP, and reported on Form 1099-DIV each calendar year.</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(3)</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Based on the change in market price per share during the periods and assumes distributions, if any, are reinvested.</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(4)</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Excludes debt-related costs.</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(5)</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Includes interest and expenses on debt (annualized) as well as Credit Facility amendment, debt issuance costs and excludes debt extinguishment cost, if any, (not annualized).</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(6)</w:t>
      </w:r>
    </w:p>
    <w:p>
      <w:pPr>
        <w:pStyle w:val="TextBody"/>
        <w:bidi w:val="0"/>
        <w:spacing w:before="0" w:after="0"/>
        <w:jc w:val="left"/>
        <w:rPr>
          <w:rFonts w:ascii="Times New Roman" w:hAnsi="Times New Roman"/>
          <w:sz w:val="16"/>
        </w:rPr>
      </w:pPr>
      <w:r>
        <w:rPr>
          <w:rFonts w:ascii="Times New Roman" w:hAnsi="Times New Roman"/>
          <w:color w:val="000000"/>
          <w:sz w:val="12"/>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w:t>
      </w:r>
      <w:r>
        <w:rPr>
          <w:rFonts w:ascii="Times New Roman" w:hAnsi="Times New Roman"/>
          <w:color w:val="000000"/>
          <w:sz w:val="16"/>
        </w:rPr>
        <w:t xml:space="preserve"> </w:t>
      </w:r>
      <w:r>
        <w:rPr>
          <w:rFonts w:ascii="Times New Roman" w:hAnsi="Times New Roman"/>
          <w:color w:val="000000"/>
          <w:sz w:val="12"/>
        </w:rPr>
        <w:t>to determine the asset coverage per unit. These amounts exclude SBA debentures from our asset coverage per unit computation pursuant to exemptive relief received from the SEC in June 2011.</w:t>
      </w:r>
    </w:p>
    <w:p>
      <w:pPr>
        <w:pStyle w:val="TextBody"/>
        <w:bidi w:val="0"/>
        <w:spacing w:before="0" w:after="0"/>
        <w:jc w:val="left"/>
        <w:rPr>
          <w:rFonts w:ascii="Times New Roman" w:hAnsi="Times New Roman"/>
          <w:color w:val="000000"/>
          <w:sz w:val="12"/>
        </w:rPr>
      </w:pPr>
      <w:r>
        <w:rPr>
          <w:rFonts w:ascii="Times New Roman" w:hAnsi="Times New Roman"/>
          <w:color w:val="000000"/>
          <w:sz w:val="12"/>
        </w:rPr>
        <w:t>(7)</w:t>
      </w:r>
    </w:p>
    <w:p>
      <w:pPr>
        <w:pStyle w:val="TextBody"/>
        <w:bidi w:val="0"/>
        <w:jc w:val="left"/>
        <w:rPr>
          <w:rFonts w:ascii="Times New Roman" w:hAnsi="Times New Roman"/>
          <w:color w:val="000000"/>
          <w:sz w:val="12"/>
        </w:rPr>
      </w:pPr>
      <w:r>
        <w:rPr>
          <w:rFonts w:ascii="Times New Roman" w:hAnsi="Times New Roman"/>
          <w:color w:val="000000"/>
          <w:sz w:val="12"/>
        </w:rPr>
        <w:t>Excludes short-term U.S. Government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6"/>
        </w:rPr>
        <w:t>10.</w:t>
      </w:r>
      <w:r>
        <w:rPr>
          <w:rFonts w:ascii="Times New Roman" w:hAnsi="Times New Roman"/>
          <w:color w:val="000000"/>
          <w:sz w:val="20"/>
        </w:rPr>
        <w:t xml:space="preserve"> </w:t>
      </w:r>
      <w:r>
        <w:rPr>
          <w:rFonts w:ascii="Times New Roman" w:hAnsi="Times New Roman"/>
          <w:b/>
          <w:color w:val="000000"/>
          <w:sz w:val="16"/>
        </w:rPr>
        <w:t>DEBT</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annualized weighted average cost of debt for the three months ended December 31, 2023 and 2022, inclusive of the fee on the undrawn commitment and amendment costs on the Truist Credit Facility and amortized upfront fees on SBA debentures, 2026 Notes and 2026 Notes-2, was 6.4% and 5.5%, respectively. As of December 31, 2023, in accordance with the 1940 Act, with certain limited exceptions, we are only allowed to borrow amounts such that we are in compliance with a 150% asset coverage ratio after such borrowing.</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December 31, 2023 and September 30, 2023, our asset coverage ratio, as computed in accordance with the 1940 Act, was 171% and 195%, respectively.</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Truist Credit Facility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As of December 31, 2023, we had the multi-currency Truist Credit Facility for up to $475.0</w:t>
      </w:r>
      <w:r>
        <w:rPr>
          <w:rFonts w:ascii="Times New Roman" w:hAnsi="Times New Roman"/>
          <w:color w:val="000000"/>
          <w:sz w:val="20"/>
        </w:rPr>
        <w:t xml:space="preserve"> </w:t>
      </w:r>
      <w:r>
        <w:rPr>
          <w:rFonts w:ascii="Times New Roman" w:hAnsi="Times New Roman"/>
          <w:color w:val="000000"/>
          <w:sz w:val="16"/>
        </w:rPr>
        <w:t>million (decreased from $500.0</w:t>
      </w:r>
      <w:r>
        <w:rPr>
          <w:rFonts w:ascii="Times New Roman" w:hAnsi="Times New Roman"/>
          <w:color w:val="000000"/>
          <w:sz w:val="20"/>
        </w:rPr>
        <w:t xml:space="preserve"> </w:t>
      </w:r>
      <w:r>
        <w:rPr>
          <w:rFonts w:ascii="Times New Roman" w:hAnsi="Times New Roman"/>
          <w:color w:val="000000"/>
          <w:sz w:val="16"/>
        </w:rPr>
        <w:t>million in September 2023), which may be further increased up to $750.0</w:t>
      </w:r>
      <w:r>
        <w:rPr>
          <w:rFonts w:ascii="Times New Roman" w:hAnsi="Times New Roman"/>
          <w:color w:val="000000"/>
          <w:sz w:val="20"/>
        </w:rPr>
        <w:t xml:space="preserve"> </w:t>
      </w:r>
      <w:r>
        <w:rPr>
          <w:rFonts w:ascii="Times New Roman" w:hAnsi="Times New Roman"/>
          <w:color w:val="000000"/>
          <w:sz w:val="16"/>
        </w:rPr>
        <w:t>million in borrowings with certain lenders and Truist Bank, acting as administrative agent, Regions Bank, acting as an additional multicurrency lender, and JPMorgan Chase Bank, N.A., acting as syndication agent for the lenders. As of December 31, 2023 and September 30, 2023, we had $388.5</w:t>
      </w:r>
      <w:r>
        <w:rPr>
          <w:rFonts w:ascii="Times New Roman" w:hAnsi="Times New Roman"/>
          <w:color w:val="000000"/>
          <w:sz w:val="20"/>
        </w:rPr>
        <w:t xml:space="preserve"> </w:t>
      </w:r>
      <w:r>
        <w:rPr>
          <w:rFonts w:ascii="Times New Roman" w:hAnsi="Times New Roman"/>
          <w:color w:val="000000"/>
          <w:sz w:val="16"/>
        </w:rPr>
        <w:t>million and $212.4</w:t>
      </w:r>
      <w:r>
        <w:rPr>
          <w:rFonts w:ascii="Times New Roman" w:hAnsi="Times New Roman"/>
          <w:color w:val="000000"/>
          <w:sz w:val="20"/>
        </w:rPr>
        <w:t xml:space="preserve"> </w:t>
      </w:r>
      <w:r>
        <w:rPr>
          <w:rFonts w:ascii="Times New Roman" w:hAnsi="Times New Roman"/>
          <w:color w:val="000000"/>
          <w:sz w:val="16"/>
        </w:rPr>
        <w:t>million, respectively, in outstanding borrowings under the Truist Credit Facility. The Truist Credit Facility had a weighted average interest rate of 7.7%</w:t>
      </w:r>
      <w:r>
        <w:rPr>
          <w:rFonts w:ascii="Times New Roman" w:hAnsi="Times New Roman"/>
          <w:color w:val="000000"/>
          <w:sz w:val="20"/>
        </w:rPr>
        <w:t xml:space="preserve"> </w:t>
      </w:r>
      <w:r>
        <w:rPr>
          <w:rFonts w:ascii="Times New Roman" w:hAnsi="Times New Roman"/>
          <w:color w:val="000000"/>
          <w:sz w:val="16"/>
        </w:rPr>
        <w:t>and 7.7%, respectively, exclusive of the fee on undrawn commitment, as of December 31, 2023 and September 30, 2023. The Truist Credit Facility is a revolving facility with a stated maturity date of July 29, 2027</w:t>
      </w:r>
      <w:r>
        <w:rPr>
          <w:rFonts w:ascii="Times New Roman" w:hAnsi="Times New Roman"/>
          <w:color w:val="000000"/>
          <w:sz w:val="20"/>
        </w:rPr>
        <w:t xml:space="preserve"> </w:t>
      </w:r>
      <w:r>
        <w:rPr>
          <w:rFonts w:ascii="Times New Roman" w:hAnsi="Times New Roman"/>
          <w:color w:val="000000"/>
          <w:sz w:val="16"/>
        </w:rPr>
        <w:t>and the related obligations maturing on September 4, 2024) and pricing set at 235</w:t>
      </w:r>
      <w:r>
        <w:rPr>
          <w:rFonts w:ascii="Times New Roman" w:hAnsi="Times New Roman"/>
          <w:color w:val="000000"/>
          <w:sz w:val="20"/>
        </w:rPr>
        <w:t xml:space="preserve"> </w:t>
      </w:r>
      <w:r>
        <w:rPr>
          <w:rFonts w:ascii="Times New Roman" w:hAnsi="Times New Roman"/>
          <w:color w:val="000000"/>
          <w:sz w:val="16"/>
        </w:rPr>
        <w:t>basis points over SOFR (or an alternative risk-free floating interest rate index).</w:t>
      </w:r>
      <w:r>
        <w:rPr>
          <w:rFonts w:ascii="Times New Roman" w:hAnsi="Times New Roman"/>
          <w:color w:val="000000"/>
          <w:sz w:val="20"/>
        </w:rPr>
        <w:t xml:space="preserve"> </w:t>
      </w:r>
      <w:r>
        <w:rPr>
          <w:rFonts w:ascii="Times New Roman" w:hAnsi="Times New Roman"/>
          <w:color w:val="000000"/>
          <w:sz w:val="16"/>
        </w:rPr>
        <w:t>As of December 31, 2023 and September 30, 2023, we had $86.5</w:t>
      </w:r>
      <w:r>
        <w:rPr>
          <w:rFonts w:ascii="Times New Roman" w:hAnsi="Times New Roman"/>
          <w:color w:val="000000"/>
          <w:sz w:val="20"/>
        </w:rPr>
        <w:t xml:space="preserve"> </w:t>
      </w:r>
      <w:r>
        <w:rPr>
          <w:rFonts w:ascii="Times New Roman" w:hAnsi="Times New Roman"/>
          <w:color w:val="000000"/>
          <w:sz w:val="16"/>
        </w:rPr>
        <w:t>million and $262.6</w:t>
      </w:r>
      <w:r>
        <w:rPr>
          <w:rFonts w:ascii="Times New Roman" w:hAnsi="Times New Roman"/>
          <w:color w:val="000000"/>
          <w:sz w:val="20"/>
        </w:rPr>
        <w:t xml:space="preserve"> </w:t>
      </w:r>
      <w:r>
        <w:rPr>
          <w:rFonts w:ascii="Times New Roman" w:hAnsi="Times New Roman"/>
          <w:color w:val="000000"/>
          <w:sz w:val="16"/>
        </w:rPr>
        <w:t>million of unused borrowing capacity under the Truist Credit Facility, respectively, subject to leverage and borrowing base restrictions. The Truist Credit Facility is secured by substantially all of our assets. As of December 31, 2023, we were in compliance with the terms of the Truist Credit Facility.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 (Unaudited)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SBA Debentures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SBIC II was historically able to borrow funds from the SBA against regulatory capital (which approximates equity capital) that is paid-in and is subject to customary regulatory requirements including an examination by the SBA. We previously funded SBIC II with $75.0</w:t>
      </w:r>
      <w:r>
        <w:rPr>
          <w:rFonts w:ascii="Times New Roman" w:hAnsi="Times New Roman"/>
          <w:color w:val="000000"/>
          <w:sz w:val="20"/>
        </w:rPr>
        <w:t xml:space="preserve"> </w:t>
      </w:r>
      <w:r>
        <w:rPr>
          <w:rFonts w:ascii="Times New Roman" w:hAnsi="Times New Roman"/>
          <w:color w:val="000000"/>
          <w:sz w:val="16"/>
        </w:rPr>
        <w:t>million of equity capital and it had SBA debentures outstanding of zero</w:t>
      </w:r>
      <w:r>
        <w:rPr>
          <w:rFonts w:ascii="Times New Roman" w:hAnsi="Times New Roman"/>
          <w:color w:val="000000"/>
          <w:sz w:val="20"/>
        </w:rPr>
        <w:t xml:space="preserve"> </w:t>
      </w:r>
      <w:r>
        <w:rPr>
          <w:rFonts w:ascii="Times New Roman" w:hAnsi="Times New Roman"/>
          <w:color w:val="000000"/>
          <w:sz w:val="16"/>
        </w:rPr>
        <w:t>as of December 31, 2023 and September 30, 2023, respectively. SBA debentures are non-recourse to us and may be prepaid at any time without penalty. The interest rate of SBA debentures is fixed at the time of issuance, often referred to as pooling, at a market-driven spread over 10-year</w:t>
      </w:r>
      <w:r>
        <w:rPr>
          <w:rFonts w:ascii="Times New Roman" w:hAnsi="Times New Roman"/>
          <w:color w:val="000000"/>
          <w:sz w:val="20"/>
        </w:rPr>
        <w:t xml:space="preserve"> </w:t>
      </w:r>
      <w:r>
        <w:rPr>
          <w:rFonts w:ascii="Times New Roman" w:hAnsi="Times New Roman"/>
          <w:color w:val="000000"/>
          <w:sz w:val="16"/>
        </w:rPr>
        <w:t>U.S. Treasury Notes. Under current SBA regulations, a SBIC may individually borrow up to a maximum of $175.0</w:t>
      </w:r>
      <w:r>
        <w:rPr>
          <w:rFonts w:ascii="Times New Roman" w:hAnsi="Times New Roman"/>
          <w:color w:val="000000"/>
          <w:sz w:val="20"/>
        </w:rPr>
        <w:t xml:space="preserve"> </w:t>
      </w:r>
      <w:r>
        <w:rPr>
          <w:rFonts w:ascii="Times New Roman" w:hAnsi="Times New Roman"/>
          <w:color w:val="000000"/>
          <w:sz w:val="16"/>
        </w:rPr>
        <w:t>million, which is up to twice its potential regulatory capital, and as part of a group of SBICs under common control may borrow a maximum of $350</w:t>
      </w:r>
      <w:r>
        <w:rPr>
          <w:rFonts w:ascii="Times New Roman" w:hAnsi="Times New Roman"/>
          <w:color w:val="000000"/>
          <w:sz w:val="20"/>
        </w:rPr>
        <w:t xml:space="preserve"> </w:t>
      </w:r>
      <w:r>
        <w:rPr>
          <w:rFonts w:ascii="Times New Roman" w:hAnsi="Times New Roman"/>
          <w:color w:val="000000"/>
          <w:sz w:val="16"/>
        </w:rPr>
        <w:t>million in the aggregate. As of both December 31, 2023 and September 30, 2023, SBIC II had zero</w:t>
      </w:r>
      <w:r>
        <w:rPr>
          <w:rFonts w:ascii="Times New Roman" w:hAnsi="Times New Roman"/>
          <w:color w:val="000000"/>
          <w:sz w:val="20"/>
        </w:rPr>
        <w:t xml:space="preserve"> </w:t>
      </w:r>
      <w:r>
        <w:rPr>
          <w:rFonts w:ascii="Times New Roman" w:hAnsi="Times New Roman"/>
          <w:color w:val="000000"/>
          <w:sz w:val="16"/>
        </w:rPr>
        <w:t>in debt commitments, all of which was drawn as of September 30, 2022. We repaid the remaining SBA debentures during the year ended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2026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April 2021, we issued $150.0</w:t>
      </w:r>
      <w:r>
        <w:rPr>
          <w:rFonts w:ascii="Times New Roman" w:hAnsi="Times New Roman"/>
          <w:color w:val="000000"/>
          <w:sz w:val="20"/>
        </w:rPr>
        <w:t xml:space="preserve"> </w:t>
      </w:r>
      <w:r>
        <w:rPr>
          <w:rFonts w:ascii="Times New Roman" w:hAnsi="Times New Roman"/>
          <w:color w:val="000000"/>
          <w:sz w:val="16"/>
        </w:rPr>
        <w:t>million in aggregate principal amount of our 2026 Notes at a public offering price per note of 99.4%. Interest on the 2026 Notes is paid semi-annually</w:t>
      </w:r>
      <w:r>
        <w:rPr>
          <w:rFonts w:ascii="Times New Roman" w:hAnsi="Times New Roman"/>
          <w:color w:val="000000"/>
          <w:sz w:val="20"/>
        </w:rPr>
        <w:t xml:space="preserve"> </w:t>
      </w:r>
      <w:r>
        <w:rPr>
          <w:rFonts w:ascii="Times New Roman" w:hAnsi="Times New Roman"/>
          <w:color w:val="000000"/>
          <w:sz w:val="16"/>
        </w:rPr>
        <w:t>on May 1 and November 1 of each year, at a rate of 4.50% per year, commencing November 1, 2021. The 2026 Notes mature on May 1, 2026</w:t>
      </w:r>
      <w:r>
        <w:rPr>
          <w:rFonts w:ascii="Times New Roman" w:hAnsi="Times New Roman"/>
          <w:color w:val="000000"/>
          <w:sz w:val="20"/>
        </w:rPr>
        <w:t xml:space="preserve"> </w:t>
      </w:r>
      <w:r>
        <w:rPr>
          <w:rFonts w:ascii="Times New Roman" w:hAnsi="Times New Roman"/>
          <w:color w:val="000000"/>
          <w:sz w:val="16"/>
        </w:rPr>
        <w:t>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2026 Notes-2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October 2021, we issued $165.0</w:t>
      </w:r>
      <w:r>
        <w:rPr>
          <w:rFonts w:ascii="Times New Roman" w:hAnsi="Times New Roman"/>
          <w:color w:val="000000"/>
          <w:sz w:val="20"/>
        </w:rPr>
        <w:t xml:space="preserve"> </w:t>
      </w:r>
      <w:r>
        <w:rPr>
          <w:rFonts w:ascii="Times New Roman" w:hAnsi="Times New Roman"/>
          <w:color w:val="000000"/>
          <w:sz w:val="16"/>
        </w:rPr>
        <w:t>million in aggregate principal amount of our 2026 Notes-2 at a public offering price per note of 99.4%. Interest on the 2026 Notes-2 is paid semi-annually</w:t>
      </w:r>
      <w:r>
        <w:rPr>
          <w:rFonts w:ascii="Times New Roman" w:hAnsi="Times New Roman"/>
          <w:color w:val="000000"/>
          <w:sz w:val="20"/>
        </w:rPr>
        <w:t xml:space="preserve"> </w:t>
      </w:r>
      <w:r>
        <w:rPr>
          <w:rFonts w:ascii="Times New Roman" w:hAnsi="Times New Roman"/>
          <w:color w:val="000000"/>
          <w:sz w:val="16"/>
        </w:rPr>
        <w:t>on May 1 and November 1 of each year, at a rate of 4.00% per year, commencing May 1, 2022. The 2026 Notes-2 mature on November 1, 2026</w:t>
      </w:r>
      <w:r>
        <w:rPr>
          <w:rFonts w:ascii="Times New Roman" w:hAnsi="Times New Roman"/>
          <w:color w:val="000000"/>
          <w:sz w:val="20"/>
        </w:rPr>
        <w:t xml:space="preserve"> </w:t>
      </w:r>
      <w:r>
        <w:rPr>
          <w:rFonts w:ascii="Times New Roman" w:hAnsi="Times New Roman"/>
          <w:color w:val="000000"/>
          <w:sz w:val="16"/>
        </w:rPr>
        <w:t>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11. COMMITMENTS AND CONTINGENCIES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Unfunded debt and equity investments, if any, are disclosed in the Consolidated Schedules of Investments. Under these arrangements, we may be required to supply a letter of credit to a third party if the portfolio company were to request a letter of credit. As of December 31, 2023 and September 30, 2023, we had $236.9</w:t>
      </w:r>
      <w:r>
        <w:rPr>
          <w:rFonts w:ascii="Times New Roman" w:hAnsi="Times New Roman"/>
          <w:color w:val="000000"/>
          <w:sz w:val="20"/>
        </w:rPr>
        <w:t xml:space="preserve"> </w:t>
      </w:r>
      <w:r>
        <w:rPr>
          <w:rFonts w:ascii="Times New Roman" w:hAnsi="Times New Roman"/>
          <w:color w:val="000000"/>
          <w:sz w:val="16"/>
        </w:rPr>
        <w:t>million and $160.8</w:t>
      </w:r>
      <w:r>
        <w:rPr>
          <w:rFonts w:ascii="Times New Roman" w:hAnsi="Times New Roman"/>
          <w:color w:val="000000"/>
          <w:sz w:val="20"/>
        </w:rPr>
        <w:t xml:space="preserve"> </w:t>
      </w:r>
      <w:r>
        <w:rPr>
          <w:rFonts w:ascii="Times New Roman" w:hAnsi="Times New Roman"/>
          <w:color w:val="000000"/>
          <w:sz w:val="16"/>
        </w:rPr>
        <w:t>million, respectively, in commitments to fund investments. Additionally, the Company had unfunded commitments of up to $22.4</w:t>
      </w:r>
      <w:r>
        <w:rPr>
          <w:rFonts w:ascii="Times New Roman" w:hAnsi="Times New Roman"/>
          <w:color w:val="000000"/>
          <w:sz w:val="20"/>
        </w:rPr>
        <w:t xml:space="preserve"> </w:t>
      </w:r>
      <w:r>
        <w:rPr>
          <w:rFonts w:ascii="Times New Roman" w:hAnsi="Times New Roman"/>
          <w:color w:val="000000"/>
          <w:sz w:val="16"/>
        </w:rPr>
        <w:t>million to PSLF as of December 31, 2023 and September 30, 2023, respectively, that may be contributed primarily for the purpose of funding new investments approved by PSLF board of directors or investment committee.</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12. UNCONSOLIDATED SIGNIFICANT SUBSIDIARIES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must determine which, if any, of our unconsolidated controlled portfolio companies is a "significant subsidiary" within the meaning of Regulation S-X. We have determined that, as of September 30, 2023, PennantPark Senior Loan Fund, LLC triggered at least one of the significance tests. As a result and in accordance with Rule 3-09 of Regulation S-X, separate audited financial statements of PSLF, LLC for the years ended September 30, 2023, 2022, and 2021 were filed as exhibits to our Annual Report on Form 10-K for the fiscal year ended September 30, 2023.</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12" w:name="report_independent_registered_public_acc"/>
      <w:bookmarkEnd w:id="12"/>
      <w:r>
        <w:rPr>
          <w:rFonts w:ascii="Times New Roman" w:hAnsi="Times New Roman"/>
          <w:b/>
          <w:color w:val="000000"/>
          <w:sz w:val="16"/>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To the Stockholders and the Board of Directors of PennantPark Investment Corporation and its Subsidiaries</w:t>
      </w:r>
    </w:p>
    <w:p>
      <w:pPr>
        <w:pStyle w:val="TextBody"/>
        <w:bidi w:val="0"/>
        <w:jc w:val="left"/>
        <w:rPr>
          <w:rFonts w:ascii="Times New Roman" w:hAnsi="Times New Roman"/>
          <w:b/>
          <w:color w:val="000000"/>
          <w:sz w:val="16"/>
        </w:rPr>
      </w:pPr>
      <w:r>
        <w:rPr>
          <w:rFonts w:ascii="Times New Roman" w:hAnsi="Times New Roman"/>
          <w:b/>
          <w:color w:val="000000"/>
          <w:sz w:val="16"/>
        </w:rPr>
        <w:t>Results of Review of Interim Financial Statements</w:t>
      </w:r>
    </w:p>
    <w:p>
      <w:pPr>
        <w:pStyle w:val="TextBody"/>
        <w:bidi w:val="0"/>
        <w:jc w:val="both"/>
        <w:rPr>
          <w:rFonts w:ascii="Times New Roman" w:hAnsi="Times New Roman"/>
          <w:color w:val="000000"/>
          <w:sz w:val="16"/>
        </w:rPr>
      </w:pPr>
      <w:r>
        <w:rPr>
          <w:rFonts w:ascii="Times New Roman" w:hAnsi="Times New Roman"/>
          <w:color w:val="000000"/>
          <w:sz w:val="16"/>
        </w:rPr>
        <w:t>We have reviewed the accompanying consolidated statement of assets and liabilities of PennantPark Investment Corporation and its subsidiaries (the Company), including the consolidated schedules of investments, as of December 31, 2023, the related consolidated statements of operations and changes in net assets for the three-month periods ended December 31, 2023 and 2022, and cash flows for the three-month periods ended December 31, 2023 and 2022,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pStyle w:val="TextBody"/>
        <w:bidi w:val="0"/>
        <w:jc w:val="both"/>
        <w:rPr>
          <w:rFonts w:ascii="Times New Roman" w:hAnsi="Times New Roman"/>
          <w:color w:val="000000"/>
          <w:sz w:val="16"/>
        </w:rPr>
      </w:pPr>
      <w:r>
        <w:rPr>
          <w:rFonts w:ascii="Times New Roman" w:hAnsi="Times New Roman"/>
          <w:color w:val="000000"/>
          <w:sz w:val="16"/>
        </w:rPr>
        <w:t>We have previously audited, in accordance with the standards of the Public Company Accounting Oversight Board (United States) (PCAOB), the consolidated statement of assets and liabilities of the Company, including the consolidated schedule of investments, as of September 30, 2023, and the related consolidated statements of operations, changes in net assets, and cash flows for the year then ended (not presented herein); and in our report dated December 7, 2023, we expressed an unqualified opinion on those consolidated financial statements. In our opinion, the information set forth in the accompanying consolidated statement of assets and liabilities, including the consolidated schedule of investments, as of September 30, 2023, is fairly stated, in all material respects, in relation to the consolidated statement of assets and liabilities, including the consolidated schedule of investments, from which it has been derived.</w:t>
      </w:r>
    </w:p>
    <w:p>
      <w:pPr>
        <w:pStyle w:val="TextBody"/>
        <w:bidi w:val="0"/>
        <w:jc w:val="left"/>
        <w:rPr>
          <w:rFonts w:ascii="Times New Roman" w:hAnsi="Times New Roman"/>
          <w:b/>
          <w:color w:val="000000"/>
          <w:sz w:val="16"/>
        </w:rPr>
      </w:pPr>
      <w:r>
        <w:rPr>
          <w:rFonts w:ascii="Times New Roman" w:hAnsi="Times New Roman"/>
          <w:b/>
          <w:color w:val="000000"/>
          <w:sz w:val="16"/>
        </w:rPr>
        <w:t>Emphasis of Matter</w:t>
      </w:r>
    </w:p>
    <w:p>
      <w:pPr>
        <w:pStyle w:val="TextBody"/>
        <w:bidi w:val="0"/>
        <w:jc w:val="left"/>
        <w:rPr>
          <w:rFonts w:ascii="Times New Roman" w:hAnsi="Times New Roman"/>
          <w:color w:val="000000"/>
          <w:sz w:val="16"/>
        </w:rPr>
      </w:pPr>
      <w:r>
        <w:rPr>
          <w:rFonts w:ascii="Times New Roman" w:hAnsi="Times New Roman"/>
          <w:color w:val="000000"/>
          <w:sz w:val="16"/>
        </w:rPr>
        <w:t>As discussed in Note 2 of the consolidated financial statements, the consolidated statement of cash flows for the three months ended December 31, 2022 has been restated to reclassify certain amounts presented within.</w:t>
      </w:r>
    </w:p>
    <w:p>
      <w:pPr>
        <w:pStyle w:val="TextBody"/>
        <w:bidi w:val="0"/>
        <w:jc w:val="left"/>
        <w:rPr>
          <w:rFonts w:ascii="Times New Roman" w:hAnsi="Times New Roman"/>
          <w:b/>
          <w:color w:val="000000"/>
          <w:sz w:val="16"/>
        </w:rPr>
      </w:pPr>
      <w:r>
        <w:rPr>
          <w:rFonts w:ascii="Times New Roman" w:hAnsi="Times New Roman"/>
          <w:b/>
          <w:color w:val="000000"/>
          <w:sz w:val="16"/>
        </w:rPr>
        <w:t>Basis for Review Results</w:t>
      </w:r>
    </w:p>
    <w:p>
      <w:pPr>
        <w:pStyle w:val="TextBody"/>
        <w:bidi w:val="0"/>
        <w:jc w:val="both"/>
        <w:rPr>
          <w:rFonts w:ascii="Times New Roman" w:hAnsi="Times New Roman"/>
          <w:color w:val="000000"/>
          <w:sz w:val="16"/>
        </w:rPr>
      </w:pPr>
      <w:r>
        <w:rPr>
          <w:rFonts w:ascii="Times New Roman" w:hAnsi="Times New Roman"/>
          <w:color w:val="000000"/>
          <w:sz w:val="16"/>
        </w:rPr>
        <w:t>These interim financial statements are the responsibility of the Company’s management. We conducted our reviews in accordance with the standards of the Public Company Accounting Oversight Board (United States)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6"/>
        </w:rPr>
        <w:t>/s/ RSM US LLP</w:t>
        <w:br/>
      </w:r>
      <w:r>
        <w:rPr>
          <w:rFonts w:ascii="Times New Roman" w:hAnsi="Times New Roman"/>
          <w:color w:val="000000"/>
          <w:sz w:val="20"/>
        </w:rPr>
        <w:t> </w:t>
      </w:r>
    </w:p>
    <w:p>
      <w:pPr>
        <w:pStyle w:val="TextBody"/>
        <w:bidi w:val="0"/>
        <w:jc w:val="left"/>
        <w:rPr>
          <w:rFonts w:ascii="Times New Roman" w:hAnsi="Times New Roman"/>
          <w:color w:val="000000"/>
          <w:sz w:val="16"/>
        </w:rPr>
      </w:pPr>
      <w:r>
        <w:rPr>
          <w:rFonts w:ascii="Times New Roman" w:hAnsi="Times New Roman"/>
          <w:color w:val="000000"/>
          <w:sz w:val="16"/>
        </w:rPr>
        <w:t>New York, New York</w:t>
      </w:r>
    </w:p>
    <w:p>
      <w:pPr>
        <w:pStyle w:val="TextBody"/>
        <w:bidi w:val="0"/>
        <w:jc w:val="left"/>
        <w:rPr>
          <w:rFonts w:ascii="Times New Roman" w:hAnsi="Times New Roman"/>
          <w:sz w:val="20"/>
        </w:rPr>
      </w:pPr>
      <w:r>
        <w:rPr>
          <w:rFonts w:ascii="Times New Roman" w:hAnsi="Times New Roman"/>
          <w:color w:val="000000"/>
          <w:sz w:val="16"/>
        </w:rPr>
        <w:t>February 7, 2024</w:t>
        <w:br/>
      </w:r>
      <w:r>
        <w:rPr>
          <w:rFonts w:ascii="Times New Roman" w:hAnsi="Times New Roman"/>
          <w:color w:val="000000"/>
          <w:sz w:val="20"/>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Awareness Letter of Independent Registered Public Accounting Firm</w:t>
      </w:r>
    </w:p>
    <w:p>
      <w:pPr>
        <w:pStyle w:val="TextBody"/>
        <w:bidi w:val="0"/>
        <w:jc w:val="left"/>
        <w:rPr>
          <w:rFonts w:ascii="Times New Roman" w:hAnsi="Times New Roman"/>
          <w:color w:val="000000"/>
          <w:sz w:val="16"/>
        </w:rPr>
      </w:pPr>
      <w:r>
        <w:rPr>
          <w:rFonts w:ascii="Times New Roman" w:hAnsi="Times New Roman"/>
          <w:color w:val="000000"/>
          <w:sz w:val="16"/>
        </w:rPr>
        <w:t>To the Board of Directors and Stockholders of PennantPark Investment Corporation and its Subsidiaries</w:t>
      </w:r>
    </w:p>
    <w:p>
      <w:pPr>
        <w:pStyle w:val="TextBody"/>
        <w:bidi w:val="0"/>
        <w:jc w:val="both"/>
        <w:rPr>
          <w:rFonts w:ascii="Times New Roman" w:hAnsi="Times New Roman"/>
          <w:color w:val="000000"/>
          <w:sz w:val="16"/>
        </w:rPr>
      </w:pPr>
      <w:r>
        <w:rPr>
          <w:rFonts w:ascii="Times New Roman" w:hAnsi="Times New Roman"/>
          <w:color w:val="000000"/>
          <w:sz w:val="16"/>
        </w:rPr>
        <w:t>We have reviewed, in accordance with the standards of the Public Company Accounting Oversight Board (United States), the unaudited interim financial information of PennantPark Investment Corporation for the periods ended December 31, 2023 and 2022, as indicated in our report dated February 7, 2024; because we did not perform an audit, we expressed no opinion on that information.</w:t>
      </w:r>
    </w:p>
    <w:p>
      <w:pPr>
        <w:pStyle w:val="TextBody"/>
        <w:bidi w:val="0"/>
        <w:jc w:val="both"/>
        <w:rPr>
          <w:rFonts w:ascii="Times New Roman" w:hAnsi="Times New Roman"/>
          <w:color w:val="000000"/>
          <w:sz w:val="16"/>
        </w:rPr>
      </w:pPr>
      <w:r>
        <w:rPr>
          <w:rFonts w:ascii="Times New Roman" w:hAnsi="Times New Roman"/>
          <w:color w:val="000000"/>
          <w:sz w:val="16"/>
        </w:rPr>
        <w:br/>
        <w:br/>
        <w:t>We are aware that our report referred to above, which is included in your Quarterly Report on Form 10-Q for the quarter ended December 31, 2023, is incorporated by reference in Registration Statement No. 333-263564 on Form N-2.</w:t>
      </w:r>
    </w:p>
    <w:p>
      <w:pPr>
        <w:pStyle w:val="TextBody"/>
        <w:bidi w:val="0"/>
        <w:jc w:val="both"/>
        <w:rPr>
          <w:rFonts w:ascii="Times New Roman" w:hAnsi="Times New Roman"/>
          <w:color w:val="000000"/>
          <w:sz w:val="16"/>
        </w:rPr>
      </w:pPr>
      <w:r>
        <w:rPr>
          <w:rFonts w:ascii="Times New Roman" w:hAnsi="Times New Roman"/>
          <w:color w:val="000000"/>
          <w:sz w:val="16"/>
        </w:rPr>
        <w:br/>
        <w:b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pStyle w:val="TextBody"/>
        <w:bidi w:val="0"/>
        <w:jc w:val="both"/>
        <w:rPr>
          <w:rFonts w:ascii="Times New Roman" w:hAnsi="Times New Roman"/>
          <w:color w:val="000000"/>
          <w:sz w:val="16"/>
        </w:rPr>
      </w:pPr>
      <w:r>
        <w:rPr>
          <w:rFonts w:ascii="Times New Roman" w:hAnsi="Times New Roman"/>
          <w:color w:val="000000"/>
          <w:sz w:val="16"/>
        </w:rPr>
        <w:t>/s/ RSM US LLP</w:t>
      </w:r>
    </w:p>
    <w:p>
      <w:pPr>
        <w:pStyle w:val="TextBody"/>
        <w:bidi w:val="0"/>
        <w:jc w:val="both"/>
        <w:rPr>
          <w:rFonts w:ascii="Times New Roman" w:hAnsi="Times New Roman"/>
          <w:color w:val="000000"/>
          <w:sz w:val="16"/>
        </w:rPr>
      </w:pPr>
      <w:r>
        <w:rPr>
          <w:rFonts w:ascii="Times New Roman" w:hAnsi="Times New Roman"/>
          <w:color w:val="000000"/>
          <w:sz w:val="16"/>
        </w:rPr>
        <w:t>New York, New York</w:t>
      </w:r>
    </w:p>
    <w:p>
      <w:pPr>
        <w:pStyle w:val="TextBody"/>
        <w:bidi w:val="0"/>
        <w:jc w:val="both"/>
        <w:rPr>
          <w:rFonts w:ascii="Times New Roman" w:hAnsi="Times New Roman"/>
          <w:color w:val="000000"/>
          <w:sz w:val="16"/>
        </w:rPr>
      </w:pPr>
      <w:r>
        <w:rPr>
          <w:rFonts w:ascii="Times New Roman" w:hAnsi="Times New Roman"/>
          <w:color w:val="000000"/>
          <w:sz w:val="16"/>
        </w:rPr>
        <w:t>February 7,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6"/>
        </w:rPr>
      </w:pPr>
      <w:bookmarkStart w:id="13" w:name="item_2_managements_discussion_analysis_f"/>
      <w:bookmarkEnd w:id="13"/>
      <w:r>
        <w:rPr>
          <w:rFonts w:ascii="Times New Roman" w:hAnsi="Times New Roman"/>
          <w:b/>
          <w:color w:val="000000"/>
          <w:sz w:val="16"/>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FORWARD-LOOKING STATEMENTS</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our future operating results;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our business prospects and the prospects of our prospective portfolio companies;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changes in political, economic or industry conditions, the interest rate environment or conditions affecting the financial and capital markets that could result in changes to the value of our assets;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dependence of our future success on the general economy and its impact on the industries in which we invest;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impact of a protracted decline in the liquidity of credit markets on our business;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impact of investments that we expect to make;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impact of fluctuations in interest rates and foreign exchange rates on our business and our portfolio companies;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our contractual arrangements and relationships with third parties;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valuation of our investments in portfolio companies, particularly those having no liquid trading market;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ability of our prospective portfolio companies to achieve their objectives;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our expected financings and investments;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adequacy of our cash resources and working capital;</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timing of cash flows, if any, from the operations of our prospective portfolio companies;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impact of price and volume fluctuations in the stock market;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 xml:space="preserve">increasing levels of inflation, and its impact on us and our portfolio companies;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ability of our Investment Adviser to locate suitable investments for us and to monitor and administer our investments;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impact of future legislation and regulation on our business and our portfolio companies;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impact of the ongoing invasion of Ukraine by Russia and other world economic and political issues;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inability to develop and maintain effective internal control over financial reporting.</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following analysis of our financial condition and results of operations should be read in conjunction with our Consolidated Financial Statements and the related notes thereto contained elsewhere in this Report.</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Overview</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pStyle w:val="TextBody"/>
        <w:bidi w:val="0"/>
        <w:jc w:val="both"/>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Organization and Structure of PennantPark Investment Corporation</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pStyle w:val="TextBody"/>
        <w:bidi w:val="0"/>
        <w:jc w:val="left"/>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Revenues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Expenses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cost of calculating our net asset value, including the cost of any third-party valuation services;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the cost of effecting sales and repurchases of shares of our common stock and other securities;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fees payable to third parties relating to, or associated with, making investments, including fees and expenses associated with performing due diligence and reviews of prospective investments or complementary businesses;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expenses incurred by the Investment Adviser in performing due diligence and reviews of investments; including expenses incurred by the Investment Adviser</w:t>
        <w:br/>
        <w:t>payable to third parties (including agents and consultants) in monitoring financial and legal affairs for the Company and in monitoring the Company's</w:t>
        <w:br/>
        <w:t>investments;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transfer agent and custodial fees;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fees and expenses associated with marketing efforts;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federal and state registration fees and any exchange listing fees;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federal, state, local and foreign taxes;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independent directors’ fees and expenses;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brokerage commissions;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fidelity bond, directors and officers, errors and omissions liability insurance and other insurance premiums;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direct costs such as printing, mailing, long distance telephone and staff;</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fees and expenses associated with independent audits and outside legal costs;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costs associated with our reporting and compliance obligations under the 1940 Act, and applicable federal and state securities laws;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16"/>
        </w:rPr>
      </w:pPr>
      <w:r>
        <w:rPr>
          <w:rFonts w:ascii="Times New Roman" w:hAnsi="Times New Roman"/>
          <w:color w:val="000000"/>
          <w:sz w:val="16"/>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pStyle w:val="TextBody"/>
        <w:bidi w:val="0"/>
        <w:jc w:val="both"/>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Restatement of Previously Issued Financial Statement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PSLF and PTSF II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December 31, 2022, and the impact of the error correction is reflected on the consolidated statement of cash flows for the three months ended December 31, 2022 as an increase to cash and cash equivalents, beginning of period totaling $2.1 million, an increase to cash and cash equivalents, end of period totaling $2.2 million, and increase in due to affiliates of $0.04 million.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There was no impact from the error correction to total net assets and net asset value per share as reported on the consolidated statement of assets and liabilities as of December 31, 2022. In addition, there was no impact from the error correction on net investment income or net increase (decrease) in net assets resulting from operations in total or on a per common share basis as reported on the consolidated statements of operations for the three months ended December 31, 2022. The corrections related to the prior year comparative cash flow statement amounts were reported in the quarter ended December 31, 2023.</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 a result of the error in the classification and presentation of cash described above, we conducted an analysis to determine whether incentive-based compensation was erroneously awarded, thereby necessitating recovery under the Clawback Policy we adopted effective December 1, 2023. Because we do not pay or otherwise award incentive-based compensation to the Company’s executives, we concluded that the error did not result in erroneously-awarded incentive-based compensation, and therefore no compensation recovery is required.</w:t>
      </w:r>
    </w:p>
    <w:p>
      <w:pPr>
        <w:pStyle w:val="TextBody"/>
        <w:bidi w:val="0"/>
        <w:jc w:val="both"/>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PORTFOLIO AND INVESTMENT ACTIVITY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 of December 31, 2023, our portfolio totaled $1,210.8 million and consisted of $677.7 million or 56% of first lien secured debt, $49.8 million or 4% of U.S. Government Securities, $78.4 million or 7% of second lien secured debt, $151.1 million or12% of subordinated debt (including $102.3 million or 8% in PSLF) and $253.7 million or 21% of preferred and common equity (including $62.8 million or 5% in PSLF). Our interest bearing debt portfolio consisted of 96% variable-rate investments and 4% fixed-rate investments. As of December 31, 2023, we had one portfolio company on non-accrual, representing 1.0% and zero percent of our overall portfolio on a cost and fair value basis, respectively. Overall, the portfolio had net unrealized depreciation of $(21.3) million as of December 31, 2023. Our overall portfolio consisted of 139 companies with an average investment size of $8.4 million, had a weighted average yield on interest bearing debt investments of 12.6%.</w:t>
      </w:r>
    </w:p>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As of September 30, 2023, our portfolio totaled $1,101.7 million and consisted of $527.7 million or 48% of first lien secured debt, $99.8 million or 9% of U.S. Government Securities, $80.4 million or 7% of second lien secured debt, $156.2 million or 14% of subordinated debt (including $102.3 million or 9% in PSLF) and $237.6 million or 22% of preferred and common equity (including $62.1 million or 6% in PSLF). Our interest bearing debt portfolio consisted of 95% variable-rate investments and 5% fixed-rate investments. As of September 30, 2023, we had one portfolio company on non-accrual, representing 1.2% and zero percent of our overall portfolio on a cost and fair value basis, respectively. Overall, the portfolio had net unrealized depreciation of $(16.3) million as of September 30, 2023. Our overall portfolio consisted of 129 companies with an average investment size of $7.8 million, had a weighted average yield on interest bearing debt investments of 13.0%.</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we invested $231.1 million in 12 new and 32 existing portfolio companies with a weighted average yield on debt investments of 11.9% (excluding U.S. Government Securities). For the three months ended December 31, 2023, sales and repayments of investments totaled $71.0 million (excluding U.S. Government Securities).</w:t>
      </w:r>
    </w:p>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For the three months ended December 31, 2022, we invested $86.2 million in six new and 29 existing portfolio companies with a weighted average yield on debt investments of 11.2%. For the three months ended December 31, 2022, sales and repayments of investments totaled $30.6 million</w:t>
      </w:r>
    </w:p>
    <w:p>
      <w:pPr>
        <w:pStyle w:val="TextBody"/>
        <w:bidi w:val="0"/>
        <w:jc w:val="both"/>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PennantPark Senior Loan Fund, LLC</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 of December 31, 2023, PSLF’s portfolio totaled $857.9 million, consisted of 93 companies with an average investment size of $9.2 million and had a weighted average yield interest bearing debt investments of 12.1 %.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 of September 30, 2023, PSLF’s portfolio totaled $804.2 million, consisted of 90 companies with an average investment size of $8.9 million and had a weighted average yield interest bearing debt investments of 12.1 %.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PSLF invested $81.0 million (including $50.8 million were purchased from the Company) in five new and seven existing portfolio companies at weighted average yield interest bearing debt investments of 12.7%. PSLF’s sales and repayments of investments for the same period totaled $29.1 million.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2022, PSLF invested $16.8 million (of which none was purchased from the Company) in four new and four existing portfolio companies at weighted average yield on interest bearing debt investments of 11.4%. PSLF’s sales and repayments of investments for the same period totaled $9.0 million.</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CRITICAL ACCOUNTING POLICIES AND ESTIMATES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w:t>
        <w:br/>
        <w:t>describe our critical accounting policies in the notes to our Consolidated Financial Statements. We discuss our critical accounting estimates in Management’s Discussion and Analysis of Financial Condition and Results of Operations in our 2022 Annual Report on Form 10-K. There have been no significant changes in our critical accounting estimates during the nine months from those disclosed in our 2022 Annual Report on Form 10-K.</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Investment Valuations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Our quarterly valuation process begins with each portfolio company or investment being initially valued by the investment professionals of our Investment Adviser responsible for the portfolio investment;</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Preliminary valuation conclusions are then documented and discussed with the management of the Investment Adviser;</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jc w:val="both"/>
        <w:rPr>
          <w:rFonts w:ascii="Times New Roman" w:hAnsi="Times New Roman"/>
          <w:color w:val="000000"/>
          <w:sz w:val="16"/>
        </w:rPr>
      </w:pPr>
      <w:r>
        <w:rPr>
          <w:rFonts w:ascii="Times New Roman" w:hAnsi="Times New Roman"/>
          <w:color w:val="000000"/>
          <w:sz w:val="16"/>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color w:val="000000"/>
          <w:sz w:val="16"/>
        </w:rPr>
      </w:pPr>
      <w:r>
        <w:rPr>
          <w:rFonts w:ascii="Times New Roman" w:hAnsi="Times New Roman"/>
          <w:color w:val="000000"/>
          <w:sz w:val="16"/>
        </w:rPr>
        <w:t>Our board of directors discusses these valuations and determines the fair value of each investment in our portfolio in good faith, based on the input of our Investment Adviser, the respective independent valuation firms and the audit committee.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ASC 820 classifies the inputs used to measure these fair values into the following hierarchies: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0"/>
        <w:gridCol w:w="9433"/>
        <w:gridCol w:w="192"/>
      </w:tblGrid>
      <w:tr>
        <w:trPr/>
        <w:tc>
          <w:tcPr>
            <w:tcW w:w="580" w:type="dxa"/>
            <w:tcBorders/>
            <w:vAlign w:val="center"/>
          </w:tcPr>
          <w:p>
            <w:pPr>
              <w:pStyle w:val="TableContents"/>
              <w:bidi w:val="0"/>
              <w:spacing w:before="0" w:after="283"/>
              <w:jc w:val="left"/>
              <w:rPr>
                <w:sz w:val="4"/>
                <w:szCs w:val="4"/>
              </w:rPr>
            </w:pPr>
            <w:r>
              <w:rPr>
                <w:sz w:val="4"/>
                <w:szCs w:val="4"/>
              </w:rPr>
            </w:r>
          </w:p>
        </w:tc>
        <w:tc>
          <w:tcPr>
            <w:tcW w:w="94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1:</w:t>
            </w:r>
          </w:p>
        </w:tc>
        <w:tc>
          <w:tcPr>
            <w:tcW w:w="9433"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Inputs that are quoted prices (unadjusted) in active markets for identical assets or liabilities, accessible by us at the measurement date.</w:t>
            </w:r>
          </w:p>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2:</w:t>
            </w:r>
          </w:p>
        </w:tc>
        <w:tc>
          <w:tcPr>
            <w:tcW w:w="9433"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3:</w:t>
            </w:r>
          </w:p>
        </w:tc>
        <w:tc>
          <w:tcPr>
            <w:tcW w:w="94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Inputs that are unobservable for an asset or liability because they are based on our own assumptions about how market participants would price the asset or liability.</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 financial instrument’s categorization within the valuation hierarchy is based upon the lowest level of input that is significant to the fair value measurement. Generally, most of our investments, and our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addition to using the above inputs to value cash equivalents, investments, our 2026 Notes, 2026 Notes-2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for both the three months ended December 31, 2023.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is reported in our Consolidated Statements of Operations. We elect not to apply ASC 825-10 to any other financial assets or liabilities, including the 2026 Notes, and 2026 Notes-2.</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the Truist Credit Facility had a net change in unrealized (appreciation) depreciation of $(2.0) million and $4.4 million, respectively. As of December 31, 2023 and September 30, 2023, the net unrealized depreciation on the Truist Credit Facility totaled $3.4 million and $5.5 million, respectively. We use a nationally recognized independent valuation service to measure the fair value of our Truist Credit Facility in a manner consistent with the valuation process that the board of directors uses to value our investments.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Revenue Recognition</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pStyle w:val="TextBody"/>
        <w:bidi w:val="0"/>
        <w:spacing w:before="160" w:after="283"/>
        <w:jc w:val="both"/>
        <w:rPr>
          <w:rFonts w:ascii="Times New Roman" w:hAnsi="Times New Roman"/>
          <w:b/>
          <w:i/>
          <w:color w:val="000000"/>
          <w:sz w:val="16"/>
        </w:rPr>
      </w:pPr>
      <w:r>
        <w:rPr>
          <w:rFonts w:ascii="Times New Roman" w:hAnsi="Times New Roman"/>
          <w:b/>
          <w:i/>
          <w:color w:val="000000"/>
          <w:sz w:val="16"/>
        </w:rPr>
        <w:t>Net Realized Gains or Losses and Net Change in Unrealized Appreciation or Depreciation</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Truist Credit Facility, including any reversal of previously recorded unrealized appreciation or depreciation, when gains or losses are realized.</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Foreign Currency Translation</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books and records are maintained in U.S. dollars. Any foreign currency amounts are translated into U.S. dollars on the following basis:</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Fair value of investment securities, other assets and liabilities – at the exchange rates prevailing at the end of the applicable period; and</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Purchases and sales of investment securities, income and expenses – at the exchange rates prevailing on the respective dates of such transactions.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16"/>
        </w:rPr>
        <w:t>Payment-in-Kind, or PIK Interest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Federal Income Taxes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not required for us to maintain our RIC tax status, in order to preclude the imposition of a 4% nondeductible U.S. federal excise tax imposed on RICs, we must distribute dividends for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we recorded a provision for taxes on net investment income of $0.4 million and $2.0 million respectively, pertaining to federal excise tax.</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Taxable Subsidiary (PNNT Investment Holdings, LLC, wholly-owned subsidiary of the Company,) is subject to U.S. federal, state and local corporate income taxes. The income tax expense and related tax liabilities of the Taxable Subsidiary are reflected in the Company’s consolidated financial statements.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and 2022, the Company recognized a provision for taxes of zero, respectively, on net realized gain (loss) on investments by the Taxable Subsidiary. For the three months ended December 31, 2023 and 2022, the Company recognized a provision for taxes of $(0.2) million and $(0.9) million, respectively, on net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2024 and (ii) the expected tax benefit resulting from the use of loss carryforwards to offset such gains. As of December 31, 2023 and September 30, 2023, the Company recognized a provision for taxes of $0.2 million and $3.4 million, respectively, on net realized and unrealized gains on investments by the Taxable Subsidiary.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During the three months ended December 31, 2023 and 2022, the Company paid zero, respectively, in federal taxes on realized gains on the sale of investments held by the Taxable Subsidiary. The state and local tax liability is zero as of December 31, 2023 is included under accrued other expenses in the consolidated statement of assets and liabilities.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pStyle w:val="TextBody"/>
        <w:bidi w:val="0"/>
        <w:jc w:val="both"/>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RESULTS OF OPERATIONS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Set forth below are the results of operations for the three months ended December 31, 2023 and 2022</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Investment Income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investment income was $34.3 million, which was attributable to $25.1 million from first lien secured debt, $2.6 million from second lien secured debt, $1.3 million from subordinated debt and $5.3 million from preferred and common equity, respectively. For the three months ended December 31, 2022, investment income was $30.0 million, which was attributable to $21.8 million from first lien secured debt, $3.8 million from second lien secured debt, $1.1 million from subordinated debt and $3.3 million from preferred and common equity, respectively. The increase in investment income compared to the same period in the prior year was primarily due to the increase in the cost of yield of our debt portfolio.</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Expenses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expenses totaled $18.7 million and were comprised of; $9.6 million of debt related interest and expenses, $4.0 million of base management fees, $3.3 million of performance based $1.4 million of general and administrative expenses and $0.4 million of provision for excise taxes. For the three months ended December 31, 2022, expenses totaled $19.6 million and were comprised of; $9.7 million of debt-related interest and expenses, $4.6 million of base management fees, $2.2 million of performance based, incentive fees, $1.1 million of general and administrative expenses and $2.0 million of provision for excise taxes, respectively. The decrease in net expense was primarily due to the provision for excise taxes compared to the same period in the prior year.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Net Investment Income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and 2022, net investment income totaled $15.7 million, or $0.24 per share, and $10.3 million, or $0.16 per share, respectively. The increase in net investment income compared to the same period in the prior year was primarily due to an increase in the cost of yield our debt portfolio.</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16"/>
        </w:rPr>
        <w:t>Net Realized Gains or Losses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and 2022, net realized gains (losses) totaled $1.8 million and $4.1 million, respectively. The change in realized gains (losses) was primarily due to changes in the market conditions of our investments and the values at which they were realized.</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Unrealized Appreciation or Depreciation on Investments and Debt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and 2022, we reported net change in unrealized appreciation (depreciation) on investments of $(5.0) million and $(91.6) million, respectively. As of December 31, 2023 and September 30, 2023, the net unrealized appreciation (depreciation) on investments totaled $(21.3) million and $(16.3) million, respectively. The net change in unrealized depreciation on our investments compared to the same period in the prior year was primarily due to changes in the capital market conditions of our investments and the values at which they were realized.</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December 31, 2023 and 2022, the Truist Credit Facility had a net change in unrealized (appreciation) depreciation of $(2.0) million and $4.4 million, respectively. As of December 31, 2023 and September 30, 2023, the net unrealized depreciation on the Truist Credit Facility totaled $3.4 million and $5.5 million, respectively. Net change in unrealized appreciation compared to the same periods in the prior period was primarily due to changes in the capital markets.</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Net Change in Net Assets Resulting from Operations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6"/>
        </w:rPr>
        <w:t>For the three months ended December 31, 2023 and 2022, net increase (decrease) in net assets resulting from operations totaled $10.7 million, or $0.16 per share and $(71.9) million, or $(1.10) per share, respectively. The increase in net assets from operations for the three months ended December 31, 2023 compared to prior year was primarily due to a decrease in the net unrealized depreciation in the portfolio primarily driven by changes in market conditions.</w:t>
        <w:br/>
      </w:r>
      <w:r>
        <w:rPr>
          <w:rFonts w:ascii="Times New Roman" w:hAnsi="Times New Roman"/>
          <w:color w:val="000000"/>
          <w:sz w:val="20"/>
        </w:rPr>
        <w:t> </w:t>
      </w:r>
    </w:p>
    <w:p>
      <w:pPr>
        <w:pStyle w:val="TextBody"/>
        <w:bidi w:val="0"/>
        <w:jc w:val="both"/>
        <w:rPr>
          <w:rFonts w:ascii="Times New Roman" w:hAnsi="Times New Roman"/>
          <w:b/>
          <w:color w:val="000000"/>
          <w:sz w:val="16"/>
        </w:rPr>
      </w:pPr>
      <w:r>
        <w:rPr>
          <w:rFonts w:ascii="Times New Roman" w:hAnsi="Times New Roman"/>
          <w:b/>
          <w:color w:val="000000"/>
          <w:sz w:val="16"/>
        </w:rPr>
        <w:t>LIQUIDITY AND CAPITAL RESOURCES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Our liquidity and capital resources are derived primarily from cash flows from operations, including investment sales and repayments, and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 As of December 31, 2023,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"Forward-Looking Statements" section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As of December 31, 2023 and September 30, 2023, our asset coverage ratio, as computed in accordance with the 1940 Act was 171%% and 195%, respectively.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and 2022, the annualized weighted average cost of debt inclusive of the fee on the undrawn commitment and amendment costs on the Truist Credit Facility, and amortized upfront fees on SBA debentures, 2026 Notes and 2026 Notes-2, was 6.4% and 5.5%, respectively.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 of December 31, 2023, we had the multi-currency Truist Credit Facility for up to $475.0 million (decreased from $500.0 million in September 2023), which may be further increased up to $750.0 million in borrowings with certain lenders and Truist Bank, acting as administrative agent, Regions Bank, acting as an additional multicurrency lender, and JPMorgan Chase Bank, N.A., acting as syndication agent for the lenders. As of December 31, 2023 and September 30, 2023, we had $388.5 million and $212.4 million, respectively, in outstanding borrowings under the Truist Credit Facility. The Truist Credit Facility had a weighted average interest rate of 7.7% and 7.7%, respectively, exclusive of the fee on undrawn commitment, as of December 31, 2023 and September 30, 2023. The Truist Credit Facility is a revolving facility with a stated maturity date of July 29, 2027 and pricing set at 235 basis points over SOFR (or an alternative risk-free floating interest rate index). As of December 31, 2023 and September 30, 2023, we had $86.5 million and $262.6 million of unused borrowing capacity under the Truist Credit Facility, respectively, subject to leverage and borrowing base restrictions. The Truist Credit Facility is secured by substantially all of our assets. As of December 31, 2023, we were in compliance with the terms of the Truist Credit Facility.</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we had $150.0</w:t>
      </w:r>
      <w:r>
        <w:rPr>
          <w:rFonts w:ascii="Times New Roman" w:hAnsi="Times New Roman"/>
          <w:color w:val="000000"/>
          <w:sz w:val="20"/>
        </w:rPr>
        <w:t xml:space="preserve"> </w:t>
      </w:r>
      <w:r>
        <w:rPr>
          <w:rFonts w:ascii="Times New Roman" w:hAnsi="Times New Roman"/>
          <w:color w:val="000000"/>
          <w:sz w:val="16"/>
        </w:rPr>
        <w:t>million in aggregate principal amount of 2026 Notes</w:t>
      </w:r>
      <w:r>
        <w:rPr>
          <w:rFonts w:ascii="Times New Roman" w:hAnsi="Times New Roman"/>
          <w:color w:val="000000"/>
          <w:sz w:val="20"/>
        </w:rPr>
        <w:t xml:space="preserve"> </w:t>
      </w:r>
      <w:r>
        <w:rPr>
          <w:rFonts w:ascii="Times New Roman" w:hAnsi="Times New Roman"/>
          <w:color w:val="000000"/>
          <w:sz w:val="16"/>
        </w:rPr>
        <w:t>outstanding.</w:t>
      </w:r>
      <w:r>
        <w:rPr>
          <w:rFonts w:ascii="Times New Roman" w:hAnsi="Times New Roman"/>
          <w:color w:val="000000"/>
          <w:sz w:val="20"/>
        </w:rPr>
        <w:t xml:space="preserve"> </w:t>
      </w:r>
      <w:r>
        <w:rPr>
          <w:rFonts w:ascii="Times New Roman" w:hAnsi="Times New Roman"/>
          <w:color w:val="000000"/>
          <w:sz w:val="16"/>
        </w:rPr>
        <w:t>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w:t>
      </w:r>
      <w:r>
        <w:rPr>
          <w:rFonts w:ascii="Times New Roman" w:hAnsi="Times New Roman"/>
          <w:color w:val="000000"/>
          <w:sz w:val="20"/>
        </w:rPr>
        <w:t xml:space="preserve"> </w:t>
      </w:r>
      <w:r>
        <w:rPr>
          <w:rFonts w:ascii="Times New Roman" w:hAnsi="Times New Roman"/>
          <w:color w:val="000000"/>
          <w:sz w:val="16"/>
        </w:rPr>
        <w:t xml:space="preserve">The 2026 Notes are direct unsecured obligations and rank </w:t>
      </w:r>
      <w:r>
        <w:rPr>
          <w:rFonts w:ascii="Times New Roman" w:hAnsi="Times New Roman"/>
          <w:i/>
          <w:color w:val="000000"/>
          <w:sz w:val="16"/>
        </w:rPr>
        <w:t>pari passu</w:t>
      </w:r>
      <w:r>
        <w:rPr>
          <w:rFonts w:ascii="Times New Roman" w:hAnsi="Times New Roman"/>
          <w:color w:val="000000"/>
          <w:sz w:val="16"/>
        </w:rPr>
        <w:t xml:space="preserve"> in right of payment with future unsecured unsubordinated indebtedness. The 2026 Notes are structurally subordinated to all existing and future indebtedness and other obligations of any of our subsidiaries, financing vehicles, or similar facilities.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we had $165.0</w:t>
      </w:r>
      <w:r>
        <w:rPr>
          <w:rFonts w:ascii="Times New Roman" w:hAnsi="Times New Roman"/>
          <w:color w:val="000000"/>
          <w:sz w:val="20"/>
        </w:rPr>
        <w:t xml:space="preserve"> </w:t>
      </w:r>
      <w:r>
        <w:rPr>
          <w:rFonts w:ascii="Times New Roman" w:hAnsi="Times New Roman"/>
          <w:color w:val="000000"/>
          <w:sz w:val="16"/>
        </w:rPr>
        <w:t>million in aggregate principal amount of 2026 Notes-2</w:t>
      </w:r>
      <w:r>
        <w:rPr>
          <w:rFonts w:ascii="Times New Roman" w:hAnsi="Times New Roman"/>
          <w:color w:val="000000"/>
          <w:sz w:val="20"/>
        </w:rPr>
        <w:t xml:space="preserve"> </w:t>
      </w:r>
      <w:r>
        <w:rPr>
          <w:rFonts w:ascii="Times New Roman" w:hAnsi="Times New Roman"/>
          <w:color w:val="000000"/>
          <w:sz w:val="16"/>
        </w:rPr>
        <w:t>outstanding. Interest on the 2026 Notes-2 is paid semi-annually on May 1 and November 1, at a rate of 4.0% per year, commencing May 1, 2022. The 2026 Notes-2 mature on November 1, 2026, and may be redeemed in whole or in part at our option subject to a make-whole premium if redeemed more than three months prior to maturity.</w:t>
      </w:r>
      <w:r>
        <w:rPr>
          <w:rFonts w:ascii="Times New Roman" w:hAnsi="Times New Roman"/>
          <w:color w:val="000000"/>
          <w:sz w:val="20"/>
        </w:rPr>
        <w:t xml:space="preserve"> </w:t>
      </w:r>
      <w:r>
        <w:rPr>
          <w:rFonts w:ascii="Times New Roman" w:hAnsi="Times New Roman"/>
          <w:color w:val="000000"/>
          <w:sz w:val="16"/>
        </w:rPr>
        <w:t xml:space="preserve">The 2026 Notes-2 are direct unsecured obligations and rank </w:t>
      </w:r>
      <w:r>
        <w:rPr>
          <w:rFonts w:ascii="Times New Roman" w:hAnsi="Times New Roman"/>
          <w:i/>
          <w:color w:val="000000"/>
          <w:sz w:val="16"/>
        </w:rPr>
        <w:t>pari passu</w:t>
      </w:r>
      <w:r>
        <w:rPr>
          <w:rFonts w:ascii="Times New Roman" w:hAnsi="Times New Roman"/>
          <w:color w:val="000000"/>
          <w:sz w:val="16"/>
        </w:rPr>
        <w:t xml:space="preserve"> in right of payment with future unsecured unsubordinated indebtedness. The 2026 Notes-2 are structurally subordinated to all existing and future indebtedness and other obligations of any of our subsidiaries, financing vehicles, or similar facilities. </w:t>
      </w:r>
    </w:p>
    <w:p>
      <w:pPr>
        <w:pStyle w:val="TextBody"/>
        <w:bidi w:val="0"/>
        <w:spacing w:before="160" w:after="283"/>
        <w:jc w:val="both"/>
        <w:rPr>
          <w:rFonts w:ascii="Times New Roman" w:hAnsi="Times New Roman"/>
          <w:sz w:val="20"/>
        </w:rPr>
      </w:pPr>
      <w:r>
        <w:rPr>
          <w:rFonts w:ascii="Times New Roman" w:hAnsi="Times New Roman"/>
          <w:color w:val="000000"/>
          <w:sz w:val="16"/>
        </w:rPr>
        <w:t>We may raise additional equity or debt capital through both registered offerings off our shelf registration statement and private offerings of securities, by securitizing a portion of our investments, among other sources. Any future additional debt capital we incur, to the extent it is available, may be issued at a higher cost and on less favorable terms and conditions than the Truist Credit Facility, 2026 Notes, 2026 Notes-2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a stock repurchase program.</w:t>
      </w:r>
      <w:r>
        <w:rPr>
          <w:rFonts w:ascii="Times New Roman" w:hAnsi="Times New Roman"/>
          <w:color w:val="000000"/>
          <w:sz w:val="20"/>
        </w:rPr>
        <w:t xml:space="preserve"> </w:t>
      </w:r>
    </w:p>
    <w:p>
      <w:pPr>
        <w:pStyle w:val="TextBody"/>
        <w:bidi w:val="0"/>
        <w:spacing w:before="160" w:after="283"/>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2023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Under our Administration Agreement, which was most recently reapproved by our board of directors, including a majority of our directors who are not interested persons of us, in February 2024 the Administrator furnishes us with office facilities and administrative services necessary to conduct our day-to-day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accordance with the 1940 Act, with certain limited exceptions, PennantPark Investment is only allowed to borrow amounts such that our required 150% asset coverage ratio is met after such borrowing. As of December 31, 2023 and September 30, 2023,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 of December 31, 2023 and September 30, 2023, we had cash and cash equivalents of $36.9 million and $38.8 million, respectively, available for investing and general corporate purposes. We believe our liquidity and capital resources are sufficient to allows us to effectively operate our business.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2023, our operating activities used cash of $155.1 million and our financing activities provided cash of $153.2 million. Our operating activities used cash primarily due to our investment activities and our financing activities provided cash primarily from borrowings under the Truist Credit Facility.</w:t>
        <w:br/>
      </w:r>
      <w:r>
        <w:rPr>
          <w:rFonts w:ascii="Times New Roman" w:hAnsi="Times New Roman"/>
          <w:color w:val="000000"/>
          <w:sz w:val="20"/>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For the three months ended December 31, 2022, our operating activities used cash of $9.6 million and our financing activities used cash of $14.8 million. Our operating activities used cash primarily due to our investment activities and our financing activities used cash primarily due to repayments under the Truist Credit Facility.</w:t>
        <w:br/>
        <w:br/>
      </w:r>
      <w:r>
        <w:rPr>
          <w:rFonts w:ascii="Times New Roman" w:hAnsi="Times New Roman"/>
          <w:b/>
          <w:color w:val="000000"/>
          <w:sz w:val="16"/>
        </w:rPr>
        <w:t>PennantPark Senior Loan Fund, LLC</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July 2020, we and Pantheon formed PSLF, an unconsolidated joint venture. PSLF invests primarily in middle-market and other corporate debt securities consistent with its strategy. PSLF was formed as a Delaware limited liability company. As of December 31, 2023 and September 30, 2023, PSLF had total assets of $920.7 million and $872.8 million, respectively and its investment portfolio consisted of debt investments in 93 and 90 portfolio companies, respectively. As of the same dates, we and Pantheon had remaining commitments to fund first lien secured debt of $22.4 million and $22.4 million, respectively, and equity interest of $14.5 million and $14.5 million, respectively, in PSLF. As of December 31, 2023, at fair value, the largest investment in a single portfolio company in PSLF was $21.5 million and the five largest investments totaled $99.7 million. As of September 30, 2023, at fair value, the largest investment in a single portfolio company in PSLF was $19.7 million and the five largest investments totaled $97.5 million. PSLF invests in portfolio companies in the same industries in which we may directly invest.</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provide capital to PSLF in the form of subordinated notes and equity interests. As of December 31, 2023 and September 30, 2023, we and Pantheon owned 60.5% and 39.5%, respectively, of each of the outstanding subordinated notes and equity interests of PSLF. As of December 31, 2023 and September 30, 2023, our investment in PSLF consisted of subordinated notes of $102.3 million and $102.3 million, respectively, and equity interests of $58.6 million and $58.6 million, respectively.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Additionally, PSLF, through its wholly-owned subsidiary, or PSLF Subsidiary, has entered into a $325.0 million (increased from $225.0 million on September 2, 2022) senior secured revolving credit facility, or the PSLF Credit Facility, with BNP Paribas, which bears interest at SOFR (or an alternative risk-free interest rate index) plus 260 basis points during the investment period and is subject to leverage and borrowing base restrictions.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On July 26, 2023, CLO VII , LLC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 million Class A-1a Notes maturing 2035, which bear interest at the three-month SOFR plus 2.7%, (ii) $20.0 million Class A-1b Loans 2035, which bear interest at 6.5%, (iii) $12.0 million Class A-2 Senior Secured Floating Rate Notes due 2035, which bear interest at the three-month SOFR plus 3.2%, (iv) $21.0 million Class B Senior Secured Floating Rate Notes due 2035, which bear interest at the three-month SOFR plus 4.1%, (v) $24.0 million Class C Secured Deferrable Floating Rate Notes due 2035, which bear interest at the three-month SOFR plus 4.7%, (vi) $18.0 million Class D Secured Deferrable Floating Rate Notes due 2035, which bear interest at the three-month SOFR plus 7.0%. As of December 31, 2023 there was $246.0 million of external 2035 Asset-Backed Debt.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Below is a summary of PSLF’s portfolio at fair value:</w:t>
      </w:r>
      <w:r>
        <w:rPr>
          <w:rFonts w:ascii="Times New Roman" w:hAnsi="Times New Roman"/>
          <w:color w:val="000000"/>
          <w:sz w:val="20"/>
        </w:rPr>
        <w:t xml:space="preserve"> </w:t>
      </w:r>
    </w:p>
    <w:p>
      <w:pPr>
        <w:pStyle w:val="TextBody"/>
        <w:bidi w:val="0"/>
        <w:jc w:val="both"/>
        <w:rPr/>
      </w:pPr>
      <w:r>
        <w:rPr/>
        <w:t> </w:t>
      </w:r>
    </w:p>
    <w:tbl>
      <w:tblPr>
        <w:tblW w:w="9340" w:type="dxa"/>
        <w:jc w:val="left"/>
        <w:tblInd w:w="0" w:type="dxa"/>
        <w:tblLayout w:type="fixed"/>
        <w:tblCellMar>
          <w:top w:w="28" w:type="dxa"/>
          <w:left w:w="28" w:type="dxa"/>
          <w:bottom w:w="28" w:type="dxa"/>
          <w:right w:w="28" w:type="dxa"/>
        </w:tblCellMar>
      </w:tblPr>
      <w:tblGrid>
        <w:gridCol w:w="4561"/>
        <w:gridCol w:w="146"/>
        <w:gridCol w:w="532"/>
        <w:gridCol w:w="1883"/>
        <w:gridCol w:w="241"/>
        <w:gridCol w:w="146"/>
        <w:gridCol w:w="341"/>
        <w:gridCol w:w="1204"/>
        <w:gridCol w:w="28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thousands)</w:t>
            </w:r>
          </w:p>
        </w:tc>
        <w:tc>
          <w:tcPr>
            <w:tcW w:w="146" w:type="dxa"/>
            <w:tcBorders/>
            <w:shd w:fill="FFFFFF" w:val="cle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 (Unaudited)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8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857,885</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804,187</w:t>
            </w:r>
          </w:p>
        </w:tc>
        <w:tc>
          <w:tcPr>
            <w:tcW w:w="286" w:type="dxa"/>
            <w:tcBorders/>
            <w:shd w:fill="CCECFF"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cost yield on income producing investments</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18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5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Number of portfolio companies in PSLF</w:t>
            </w:r>
          </w:p>
        </w:tc>
        <w:tc>
          <w:tcPr>
            <w:tcW w:w="146"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left"/>
              <w:rPr/>
            </w:pPr>
            <w:r>
              <w:rPr/>
              <w:t> </w:t>
            </w:r>
          </w:p>
        </w:tc>
        <w:tc>
          <w:tcPr>
            <w:tcW w:w="188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pPr>
            <w:r>
              <w:rPr/>
              <w:t> </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86" w:type="dxa"/>
            <w:tcBorders/>
            <w:shd w:fill="CCECFF"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Largest portfolio company investment at fair value</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19,737</w:t>
            </w:r>
          </w:p>
        </w:tc>
        <w:tc>
          <w:tcPr>
            <w:tcW w:w="286" w:type="dxa"/>
            <w:tcBorders/>
            <w:shd w:fill="FFFFFF" w:val="clear"/>
            <w:vAlign w:val="center"/>
          </w:tcPr>
          <w:p>
            <w:pPr>
              <w:pStyle w:val="TableContents"/>
              <w:bidi w:val="0"/>
              <w:spacing w:before="0" w:after="283"/>
              <w:jc w:val="left"/>
              <w:rPr/>
            </w:pPr>
            <w:r>
              <w:rPr/>
              <w:t> </w:t>
            </w:r>
          </w:p>
        </w:tc>
      </w:tr>
      <w:tr>
        <w:trPr/>
        <w:tc>
          <w:tcPr>
            <w:tcW w:w="456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of five largest portfolio company investments at fair value</w:t>
            </w:r>
          </w:p>
        </w:tc>
        <w:tc>
          <w:tcPr>
            <w:tcW w:w="146" w:type="dxa"/>
            <w:tcBorders/>
            <w:shd w:fill="CCECFF" w:val="clear"/>
            <w:vAlign w:val="center"/>
          </w:tcPr>
          <w:p>
            <w:pPr>
              <w:pStyle w:val="TableContents"/>
              <w:bidi w:val="0"/>
              <w:spacing w:before="0" w:after="283"/>
              <w:jc w:val="left"/>
              <w:rPr/>
            </w:pPr>
            <w:r>
              <w:rPr/>
              <w:t> </w:t>
            </w:r>
          </w:p>
        </w:tc>
        <w:tc>
          <w:tcPr>
            <w:tcW w:w="53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8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99,724</w:t>
            </w:r>
          </w:p>
        </w:tc>
        <w:tc>
          <w:tcPr>
            <w:tcW w:w="24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97,526</w:t>
            </w:r>
          </w:p>
        </w:tc>
        <w:tc>
          <w:tcPr>
            <w:tcW w:w="286" w:type="dxa"/>
            <w:tcBorders/>
            <w:shd w:fill="CCEC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Below is a listing of PSLF’s individual investments as of December 31, 2023 ($ in thousands):</w:t>
      </w:r>
    </w:p>
    <w:tbl>
      <w:tblPr>
        <w:tblW w:w="10205" w:type="dxa"/>
        <w:jc w:val="left"/>
        <w:tblInd w:w="0" w:type="dxa"/>
        <w:tblLayout w:type="fixed"/>
        <w:tblCellMar>
          <w:top w:w="28" w:type="dxa"/>
          <w:left w:w="28" w:type="dxa"/>
          <w:bottom w:w="28" w:type="dxa"/>
          <w:right w:w="28" w:type="dxa"/>
        </w:tblCellMar>
      </w:tblPr>
      <w:tblGrid>
        <w:gridCol w:w="2150"/>
        <w:gridCol w:w="146"/>
        <w:gridCol w:w="766"/>
        <w:gridCol w:w="146"/>
        <w:gridCol w:w="1948"/>
        <w:gridCol w:w="146"/>
        <w:gridCol w:w="201"/>
        <w:gridCol w:w="520"/>
        <w:gridCol w:w="211"/>
        <w:gridCol w:w="146"/>
        <w:gridCol w:w="882"/>
        <w:gridCol w:w="146"/>
        <w:gridCol w:w="146"/>
        <w:gridCol w:w="436"/>
        <w:gridCol w:w="146"/>
        <w:gridCol w:w="146"/>
        <w:gridCol w:w="166"/>
        <w:gridCol w:w="436"/>
        <w:gridCol w:w="146"/>
        <w:gridCol w:w="146"/>
        <w:gridCol w:w="230"/>
        <w:gridCol w:w="605"/>
        <w:gridCol w:w="194"/>
      </w:tblGrid>
      <w:tr>
        <w:trPr/>
        <w:tc>
          <w:tcPr>
            <w:tcW w:w="2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Basis Point</w:t>
              <w:br/>
              <w:t>Spread Above</w:t>
              <w:br/>
              <w:t xml:space="preserve">Index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 - 826.4%</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35" w:type="dxa"/>
            <w:gridSpan w:val="2"/>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14,813</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ACP Falcon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08/01/29</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15,297</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4,851</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Alpine Acquisition Corp II</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Packaging and Glass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14,208</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Amsive Holding Corporation (f/k/a Vision Purchaser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06/10/25</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13,713</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05/23/24</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10,746</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11,639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08/03/29</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21,491</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07/01/29</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14,220</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8,865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19,501</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BlueHalo Financing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10/31/25</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12/04/25</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Purchaser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09/26/29</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838</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17,238</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8,390</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2,556</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10,671</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DRI Holding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3,977</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11/03/25</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14,002</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06/30/24</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Manufacturing / Basic Industries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01/10/29</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6,141</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ETE Intermediate II,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05/29/29</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12,342</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9,579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Fairbanks Morse Defense</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06/17/28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3,511</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Motels, Inns and Gaming</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4,275</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03/16/26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6,658</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1,930</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6,166</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19,470</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15,064</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12/10/24</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14,036</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IG Investments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4,350</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Acquisitionco,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5,468</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12/31/24</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19,687</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11,025</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Infolinks Media Buyco,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19,455</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Inventus Power,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06/30/25</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12,937</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01/31/24</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SOFR+1010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10,952</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16,793</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10/31/25</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4,545</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02/18/27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19,575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12,126</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01/31/30</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6,176</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7,239</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Magenta Buyer,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07/31/28</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2,652</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10,857</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8,282</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12/10/27</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2,857</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5,952</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NBH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6,966</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Flood Incorporated</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05/09/29</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7,845</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NORA Acquisition,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08/31/29</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14,738</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8,447</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02/04/28</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 (New Issue)</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4,323</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11,216</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11/09/27</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7,080</w:t>
            </w:r>
          </w:p>
        </w:tc>
        <w:tc>
          <w:tcPr>
            <w:tcW w:w="194" w:type="dxa"/>
            <w:tcBorders/>
            <w:shd w:fill="FFFFFF" w:val="clear"/>
            <w:vAlign w:val="center"/>
          </w:tcPr>
          <w:p>
            <w:pPr>
              <w:pStyle w:val="TableContents"/>
              <w:bidi w:val="0"/>
              <w:spacing w:before="0" w:after="283"/>
              <w:jc w:val="left"/>
              <w:rPr/>
            </w:pPr>
            <w:r>
              <w:rPr/>
              <w:t> </w:t>
            </w:r>
          </w:p>
        </w:tc>
      </w:tr>
      <w:tr>
        <w:trPr/>
        <w:tc>
          <w:tcPr>
            <w:tcW w:w="215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05/08/26</w:t>
            </w:r>
          </w:p>
        </w:tc>
        <w:tc>
          <w:tcPr>
            <w:tcW w:w="146" w:type="dxa"/>
            <w:tcBorders/>
            <w:shd w:fill="CCECFF" w:val="clear"/>
            <w:vAlign w:val="center"/>
          </w:tcPr>
          <w:p>
            <w:pPr>
              <w:pStyle w:val="TableContents"/>
              <w:bidi w:val="0"/>
              <w:spacing w:before="0" w:after="283"/>
              <w:jc w:val="left"/>
              <w:rPr/>
            </w:pPr>
            <w:r>
              <w:rPr/>
              <w:t> </w:t>
            </w:r>
          </w:p>
        </w:tc>
        <w:tc>
          <w:tcPr>
            <w:tcW w:w="1948"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2,467</w:t>
            </w:r>
          </w:p>
        </w:tc>
        <w:tc>
          <w:tcPr>
            <w:tcW w:w="194" w:type="dxa"/>
            <w:tcBorders/>
            <w:shd w:fill="CCEC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11/19/26</w:t>
            </w:r>
          </w:p>
        </w:tc>
        <w:tc>
          <w:tcPr>
            <w:tcW w:w="146" w:type="dxa"/>
            <w:tcBorders/>
            <w:shd w:fill="FFFFFF" w:val="clear"/>
            <w:vAlign w:val="center"/>
          </w:tcPr>
          <w:p>
            <w:pPr>
              <w:pStyle w:val="TableContents"/>
              <w:bidi w:val="0"/>
              <w:spacing w:before="0" w:after="283"/>
              <w:jc w:val="left"/>
              <w:rPr/>
            </w:pPr>
            <w:r>
              <w:rPr/>
              <w:t> </w:t>
            </w:r>
          </w:p>
        </w:tc>
        <w:tc>
          <w:tcPr>
            <w:tcW w:w="194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3,239</w:t>
            </w:r>
          </w:p>
        </w:tc>
        <w:tc>
          <w:tcPr>
            <w:tcW w:w="194"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0"/>
        <w:gridCol w:w="146"/>
        <w:gridCol w:w="766"/>
        <w:gridCol w:w="146"/>
        <w:gridCol w:w="1517"/>
        <w:gridCol w:w="146"/>
        <w:gridCol w:w="201"/>
        <w:gridCol w:w="520"/>
        <w:gridCol w:w="211"/>
        <w:gridCol w:w="146"/>
        <w:gridCol w:w="862"/>
        <w:gridCol w:w="146"/>
        <w:gridCol w:w="146"/>
        <w:gridCol w:w="436"/>
        <w:gridCol w:w="146"/>
        <w:gridCol w:w="146"/>
        <w:gridCol w:w="166"/>
        <w:gridCol w:w="496"/>
        <w:gridCol w:w="146"/>
        <w:gridCol w:w="146"/>
        <w:gridCol w:w="204"/>
        <w:gridCol w:w="668"/>
        <w:gridCol w:w="198"/>
      </w:tblGrid>
      <w:tr>
        <w:trPr/>
        <w:tc>
          <w:tcPr>
            <w:tcW w:w="2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Basis Point</w:t>
              <w:br/>
              <w:t>Spread Above</w:t>
              <w:br/>
              <w:t xml:space="preserve">Index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03/31/25</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12,542</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5,589</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04/28/28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4,838</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01/29/26</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9,385</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LLC and Dynata,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12/20/24</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12,701</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Riverpoint Medical,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06/20/25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3,142</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Riverside Assessments,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03/09/25</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10,758</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06/16/29</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3,683</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S101 Holdings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12/29/26</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4,176</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01/03/25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6,643</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12/20/24</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4,806</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06/13/29</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14,294</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Sigma Defense Systems,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12/18/27</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6,370</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Systems Holding Company</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05/03/24</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9,401</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05/17/28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Communications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9,211</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9,477</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12/11/26</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11,978</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Summit Behavioral Healthcare,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3,554</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 (f/k/a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08/16/27</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15,829</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Team Services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2,656</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07/18/25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10.71</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2,921</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07/27/26</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11,846</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08/31/27</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7,658</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Canada Parent, Inc. and TPC US Parent,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11/24/25</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5,410</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06/06/25</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6,219</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04/03/28</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10,527</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06/15/26</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3,770</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02/27/27</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668"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19,113</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03/01/24</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19,239</w:t>
            </w:r>
          </w:p>
        </w:tc>
        <w:tc>
          <w:tcPr>
            <w:tcW w:w="198" w:type="dxa"/>
            <w:tcBorders/>
            <w:shd w:fill="FFFFFF" w:val="cle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857,885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- 826.4%</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- 53.0%</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54,996</w:t>
            </w:r>
          </w:p>
        </w:tc>
        <w:tc>
          <w:tcPr>
            <w:tcW w:w="1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54,996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 - 879.4%</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918,474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912,881</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0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 — (779.4)%</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(809,072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0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Members' Equity—100.0%</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6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103,809</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Represents floating rate instruments that accrue interest at a predetermined spread relative to an index, typically the applicable Secured Overnight Financing Rate, or “SOFR” or Prime rate or</w:t>
        <w:br/>
        <w:t>“P”. The spread may change based on the type of rate used. The terms in the Schedule of Investments disclose the actual interest rate in effect as of the reporting period. SOFR loans are typically</w:t>
        <w:br/>
        <w:t>indexed to a 30-day, 60-day, 90-day or 180-day SOFR rate (1M S, 2M S, 3M S, or 6M S, respectively), at the borrower’s option. All securities are subject to a SOFR or Prime rate floor where a</w:t>
        <w:br/>
        <w:t>spread is provided, unless noted. The spread provided includes PIK interest and other fee rates, if any.</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(2)</w:t>
      </w:r>
    </w:p>
    <w:p>
      <w:pPr>
        <w:pStyle w:val="TextBody"/>
        <w:bidi w:val="0"/>
        <w:jc w:val="both"/>
        <w:rPr>
          <w:rFonts w:ascii="Times New Roman" w:hAnsi="Times New Roman"/>
          <w:color w:val="000000"/>
          <w:sz w:val="12"/>
        </w:rPr>
      </w:pPr>
      <w:r>
        <w:rPr>
          <w:rFonts w:ascii="Times New Roman" w:hAnsi="Times New Roman"/>
          <w:color w:val="000000"/>
          <w:sz w:val="12"/>
        </w:rPr>
        <w:t>Valued based on PSLF’s accounting policy.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Below is a listing of PSLF’s individual investments as of September 30, 2023 ($ in thousands):</w:t>
      </w:r>
    </w:p>
    <w:tbl>
      <w:tblPr>
        <w:tblW w:w="10205" w:type="dxa"/>
        <w:jc w:val="left"/>
        <w:tblInd w:w="0" w:type="dxa"/>
        <w:tblLayout w:type="fixed"/>
        <w:tblCellMar>
          <w:top w:w="28" w:type="dxa"/>
          <w:left w:w="28" w:type="dxa"/>
          <w:bottom w:w="28" w:type="dxa"/>
          <w:right w:w="28" w:type="dxa"/>
        </w:tblCellMar>
      </w:tblPr>
      <w:tblGrid>
        <w:gridCol w:w="2148"/>
        <w:gridCol w:w="146"/>
        <w:gridCol w:w="766"/>
        <w:gridCol w:w="146"/>
        <w:gridCol w:w="1947"/>
        <w:gridCol w:w="146"/>
        <w:gridCol w:w="201"/>
        <w:gridCol w:w="520"/>
        <w:gridCol w:w="211"/>
        <w:gridCol w:w="146"/>
        <w:gridCol w:w="881"/>
        <w:gridCol w:w="146"/>
        <w:gridCol w:w="146"/>
        <w:gridCol w:w="436"/>
        <w:gridCol w:w="146"/>
        <w:gridCol w:w="146"/>
        <w:gridCol w:w="166"/>
        <w:gridCol w:w="436"/>
        <w:gridCol w:w="146"/>
        <w:gridCol w:w="146"/>
        <w:gridCol w:w="230"/>
        <w:gridCol w:w="605"/>
        <w:gridCol w:w="198"/>
      </w:tblGrid>
      <w:tr>
        <w:trPr/>
        <w:tc>
          <w:tcPr>
            <w:tcW w:w="2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Basis Point</w:t>
              <w:br/>
              <w:t>Spread Above</w:t>
              <w:br/>
              <w:t xml:space="preserve">Index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 - 783.7%</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35"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A1 Garage Merger Sub,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14,850</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Ad.net Acquisition,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Alpine Acquisition Corp II</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11/30/26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Containers, Packaging and Glass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14,244</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Amsive Holding Corporation (f/k/a Vision Purchaser Corporation)</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06/10/25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13,749</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05/23/24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14,103</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Any Hour Services</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10,665</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07/31/25</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6,408</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Term Loan B</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3,308</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Apex Service Partners, LLC - Term Loan 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07/31/25</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7,512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11.51</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Applied Technical Services, LLC - Unfunded Term Loan (3)</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12/29/26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9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Arcfield Acquisition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08/03/29</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07/01/29</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13,811</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Bioderm,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01/31/28</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Blackhawk Industrial Distribution,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09/17/24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17,556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12/04/25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9,683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Burgess Point Purchaser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09/26/29</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841</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06/14/28</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17,281</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CF512,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08/20/26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Connatix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07/13/27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8,500</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08/16/27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Squatch,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DRI Holding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3,993</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11/03/25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Duraco Specialty Tapes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Manufacturing / Basic Industries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8,505</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EDS Buyer,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01/10/29</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6,125</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 Rent Corporation</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01/17/24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ETE Intermediate II,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05/29/29</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12,193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Exigo Intermediate II,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03/15/27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9,555</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Fairbanks Morse Defense</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06/17/28</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Five Star Buyer,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02/23/28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Hotels, Motels, Inns and Gaming</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4,307</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Global Holdings InterCo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03/16/26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Graffiti Buyer,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1,935</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Hancock Roofing and Construction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Holdco Sands Intermediate,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19,717</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HV Watterson Holdings,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15,110</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Holdco,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14,036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IG Investments Holdings,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09/22/28</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Imagine Acquisitionco,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Inception Fertility Ventures,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12/31/24</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19,737</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Infinity Home Services Holdco,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12/28/28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11,053</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Infolinks Media Buyco,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11/01/26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6,364</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Integrity Marketing Acquisition,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08/27/26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19,504</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K2 Pure Solutions NoCal, L.P.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12/20/23</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SOFR+800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12,061</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16,666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LAV Gear Holdings,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10/31/24</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11.46</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Lash OpCo,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02/18/27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19,526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Lightspeed Buyer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02/03/26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12,096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01/31/30</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 DS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7,601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7,202</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Magenta Buyer,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Software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2,805</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10,776</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MBS Holdings,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04/16/27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7,749</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Meadowlark Acquirer,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12/10/27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2,884</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Municipal Emergency Services,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10/01/27</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5,843</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NBH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08/19/26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7,280</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Flood Incorporated</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05/09/29</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8,020</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One Stop Mailing,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05/07/27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8,470</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Owl Acquisition,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02/04/28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3,834</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Ox Two, LLC (New Issue)</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05/18/26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4,301</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Pequod Merger Sub,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12/02/26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Banking, Finance, Insurance &amp; Real Estate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11,244</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 Acquisitionco,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11/09/27</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Retail</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7,137</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PlayPower,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05/08/26</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Quantic Electronics,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11/19/26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3,264</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Radius Aerospace,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03/31/25</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12,576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Rancho Health MSO,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5,603</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Reception Purchaser,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4/28/2028</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4,800</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Recteq,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1/29/2026</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9,458</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Now Group, LLC and Dynata,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12,591</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Riverpoint Medical,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6/20/2025</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3,131</w:t>
            </w:r>
          </w:p>
        </w:tc>
        <w:tc>
          <w:tcPr>
            <w:tcW w:w="198" w:type="dxa"/>
            <w:tcBorders/>
            <w:shd w:fill="CCEC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Riverside Assessments,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3/10/2025</w:t>
            </w:r>
          </w:p>
        </w:tc>
        <w:tc>
          <w:tcPr>
            <w:tcW w:w="146" w:type="dxa"/>
            <w:tcBorders/>
            <w:shd w:fill="FFFFFF" w:val="clear"/>
            <w:vAlign w:val="center"/>
          </w:tcPr>
          <w:p>
            <w:pPr>
              <w:pStyle w:val="TableContents"/>
              <w:bidi w:val="0"/>
              <w:spacing w:before="0" w:after="283"/>
              <w:jc w:val="left"/>
              <w:rPr/>
            </w:pPr>
            <w:r>
              <w:rPr/>
              <w:t> </w:t>
            </w:r>
          </w:p>
        </w:tc>
        <w:tc>
          <w:tcPr>
            <w:tcW w:w="194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10,786</w:t>
            </w:r>
          </w:p>
        </w:tc>
        <w:tc>
          <w:tcPr>
            <w:tcW w:w="198" w:type="dxa"/>
            <w:tcBorders/>
            <w:shd w:fill="FFFFFF" w:val="clear"/>
            <w:vAlign w:val="center"/>
          </w:tcPr>
          <w:p>
            <w:pPr>
              <w:pStyle w:val="TableContents"/>
              <w:bidi w:val="0"/>
              <w:spacing w:before="0" w:after="283"/>
              <w:jc w:val="left"/>
              <w:rPr/>
            </w:pPr>
            <w:r>
              <w:rPr/>
              <w:t> </w:t>
            </w:r>
          </w:p>
        </w:tc>
      </w:tr>
      <w:tr>
        <w:trPr/>
        <w:tc>
          <w:tcPr>
            <w:tcW w:w="2148"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Rural Sourcing Holdings, Inc. (HPA SPQ Merger Sub,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6/16/2029</w:t>
            </w:r>
          </w:p>
        </w:tc>
        <w:tc>
          <w:tcPr>
            <w:tcW w:w="146" w:type="dxa"/>
            <w:tcBorders/>
            <w:shd w:fill="CCECFF" w:val="clear"/>
            <w:vAlign w:val="center"/>
          </w:tcPr>
          <w:p>
            <w:pPr>
              <w:pStyle w:val="TableContents"/>
              <w:bidi w:val="0"/>
              <w:spacing w:before="0" w:after="283"/>
              <w:jc w:val="left"/>
              <w:rPr/>
            </w:pPr>
            <w:r>
              <w:rPr/>
              <w:t> </w:t>
            </w:r>
          </w:p>
        </w:tc>
        <w:tc>
          <w:tcPr>
            <w:tcW w:w="1947"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Professional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81"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0" w:type="dxa"/>
            <w:tcBorders/>
            <w:shd w:fill="CCECFF" w:val="clear"/>
            <w:vAlign w:val="center"/>
          </w:tcPr>
          <w:p>
            <w:pPr>
              <w:pStyle w:val="TableContents"/>
              <w:bidi w:val="0"/>
              <w:spacing w:before="0" w:after="283"/>
              <w:jc w:val="left"/>
              <w:rPr/>
            </w:pPr>
            <w:r>
              <w:rPr/>
              <w:t> </w:t>
            </w:r>
          </w:p>
        </w:tc>
        <w:tc>
          <w:tcPr>
            <w:tcW w:w="605"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3,692</w:t>
            </w:r>
          </w:p>
        </w:tc>
        <w:tc>
          <w:tcPr>
            <w:tcW w:w="198" w:type="dxa"/>
            <w:tcBorders/>
            <w:shd w:fill="CCEC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4" w:space="1" w:color="000000"/>
        </w:pBdr>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0"/>
        <w:gridCol w:w="146"/>
        <w:gridCol w:w="766"/>
        <w:gridCol w:w="146"/>
        <w:gridCol w:w="1429"/>
        <w:gridCol w:w="146"/>
        <w:gridCol w:w="201"/>
        <w:gridCol w:w="520"/>
        <w:gridCol w:w="211"/>
        <w:gridCol w:w="146"/>
        <w:gridCol w:w="872"/>
        <w:gridCol w:w="146"/>
        <w:gridCol w:w="146"/>
        <w:gridCol w:w="436"/>
        <w:gridCol w:w="146"/>
        <w:gridCol w:w="146"/>
        <w:gridCol w:w="166"/>
        <w:gridCol w:w="496"/>
        <w:gridCol w:w="146"/>
        <w:gridCol w:w="146"/>
        <w:gridCol w:w="206"/>
        <w:gridCol w:w="673"/>
        <w:gridCol w:w="199"/>
      </w:tblGrid>
      <w:tr>
        <w:trPr/>
        <w:tc>
          <w:tcPr>
            <w:tcW w:w="2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Basis Point</w:t>
              <w:br/>
              <w:t>Spread Above</w:t>
              <w:br/>
              <w:t xml:space="preserve">Index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Benchmark Index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1/3/2025</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6,825</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Sargent &amp; Greenleaf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12.92</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4,823</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Seaway Buyer,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6/13/2029</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14,405</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Signature Systems Holding Company</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5/3/2024</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11,201</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Skopima Consilio Parent,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5/17/2028</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1,272</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Solutionreach,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7/17/2025</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Communications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SpendMend Holdings,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3/1/2028</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9,396</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STV Group Incorporated</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12/11/2026</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11,857</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Summit Behavioral Healthcare,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10.43</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SOFR+475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3,559</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System Planning and Analysis, Inc. (f/k/a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8/16/2027</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15,790</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Team Services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11/24/2028</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2,627</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Teneo Holdings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7/18/2025</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2,931</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Aegis Technologies Group,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10/31/2025</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10,929</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Bluebird Group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7/27/2026</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7,823</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8/31/2027</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7,628</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TPC Canada Parent, Inc. and TPC US Parent,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11/24/2025</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Food</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10.68</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5,479</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TWS Acquisition Corporation</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6/6/2025</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7,177</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4/3/2028</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10,391</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Urology Management Holdings, Inc.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6/15/2026</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3,780</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Wildcat Buyerco, Inc.</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2/27/2026</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w:t>
            </w:r>
          </w:p>
        </w:tc>
        <w:tc>
          <w:tcPr>
            <w:tcW w:w="21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11,272</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Zips Car Wash, LLC</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3/1/2024</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201" w:type="dxa"/>
            <w:tcBorders/>
            <w:shd w:fill="CCECFF" w:val="clear"/>
            <w:vAlign w:val="center"/>
          </w:tcPr>
          <w:p>
            <w:pPr>
              <w:pStyle w:val="TableContents"/>
              <w:bidi w:val="0"/>
              <w:spacing w:before="0" w:after="283"/>
              <w:jc w:val="left"/>
              <w:rPr/>
            </w:pPr>
            <w:r>
              <w:rPr/>
              <w:t> </w:t>
            </w:r>
          </w:p>
        </w:tc>
        <w:tc>
          <w:tcPr>
            <w:tcW w:w="520"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12.67</w:t>
            </w:r>
          </w:p>
        </w:tc>
        <w:tc>
          <w:tcPr>
            <w:tcW w:w="211"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SOFR+725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673" w:type="dxa"/>
            <w:tcBorders/>
            <w:shd w:fill="CCEC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19,042</w:t>
            </w:r>
          </w:p>
        </w:tc>
        <w:tc>
          <w:tcPr>
            <w:tcW w:w="199" w:type="dxa"/>
            <w:tcBorders/>
            <w:shd w:fill="CCEC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9"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810,737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804,187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7" w:type="dxa"/>
            <w:gridSpan w:val="5"/>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- 783.7%</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79" w:type="dxa"/>
            <w:gridSpan w:val="2"/>
            <w:tcBorders/>
            <w:shd w:fill="CCECFF" w:val="clear"/>
            <w:vAlign w:val="center"/>
          </w:tcPr>
          <w:p>
            <w:pPr>
              <w:pStyle w:val="TableContents"/>
              <w:bidi w:val="0"/>
              <w:spacing w:before="0" w:after="283"/>
              <w:jc w:val="left"/>
              <w:rPr/>
            </w:pPr>
            <w:r>
              <w:rPr/>
              <w:t> </w:t>
            </w:r>
          </w:p>
        </w:tc>
        <w:tc>
          <w:tcPr>
            <w:tcW w:w="199" w:type="dxa"/>
            <w:tcBorders/>
            <w:shd w:fill="CCECFF" w:val="clear"/>
            <w:vAlign w:val="center"/>
          </w:tcPr>
          <w:p>
            <w:pPr>
              <w:pStyle w:val="TableContents"/>
              <w:bidi w:val="0"/>
              <w:spacing w:before="0" w:after="283"/>
              <w:jc w:val="left"/>
              <w:rPr/>
            </w:pPr>
            <w:r>
              <w:rPr/>
              <w:t> </w:t>
            </w:r>
          </w:p>
        </w:tc>
      </w:tr>
      <w:tr>
        <w:trPr/>
        <w:tc>
          <w:tcPr>
            <w:tcW w:w="5057" w:type="dxa"/>
            <w:gridSpan w:val="5"/>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- 57.6%</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9"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2570" w:type="dxa"/>
            <w:tcBorders/>
            <w:shd w:fill="CCEC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BlackRock Federal FD Institutional 30</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59,096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59,096</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59,096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57" w:type="dxa"/>
            <w:gridSpan w:val="5"/>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 - 841.3%</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869,833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863,283</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57" w:type="dxa"/>
            <w:gridSpan w:val="5"/>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 — (741.3)%</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(760,665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70"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Members' Equity—100.0%</w:t>
            </w:r>
          </w:p>
        </w:tc>
        <w:tc>
          <w:tcPr>
            <w:tcW w:w="146" w:type="dxa"/>
            <w:tcBorders/>
            <w:shd w:fill="CCECFF" w:val="clear"/>
            <w:vAlign w:val="center"/>
          </w:tcPr>
          <w:p>
            <w:pPr>
              <w:pStyle w:val="TableContents"/>
              <w:bidi w:val="0"/>
              <w:spacing w:before="0" w:after="283"/>
              <w:jc w:val="left"/>
              <w:rPr/>
            </w:pPr>
            <w:r>
              <w:rPr/>
              <w:t> </w:t>
            </w:r>
          </w:p>
        </w:tc>
        <w:tc>
          <w:tcPr>
            <w:tcW w:w="76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42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72"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102,618</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2"/>
        </w:rPr>
      </w:pPr>
      <w:r>
        <w:rPr>
          <w:rFonts w:ascii="Times New Roman" w:hAnsi="Times New Roman"/>
          <w:color w:val="000000"/>
          <w:sz w:val="12"/>
        </w:rPr>
        <w:t>(1)</w:t>
      </w:r>
    </w:p>
    <w:p>
      <w:pPr>
        <w:pStyle w:val="TextBody"/>
        <w:bidi w:val="0"/>
        <w:spacing w:before="40" w:after="283"/>
        <w:jc w:val="left"/>
        <w:rPr>
          <w:rFonts w:ascii="Times New Roman" w:hAnsi="Times New Roman"/>
          <w:color w:val="000000"/>
          <w:sz w:val="12"/>
        </w:rPr>
      </w:pPr>
      <w:r>
        <w:rPr>
          <w:rFonts w:ascii="Times New Roman" w:hAnsi="Times New Roman"/>
          <w:color w:val="000000"/>
          <w:sz w:val="12"/>
        </w:rPr>
        <w:t>Represents floating rate instruments that accrue interest at a predetermined spread relative to an index, typically the applicable Secured Overnight Financing Rate, or “SOFR” or Prime rate or</w:t>
        <w:br/>
        <w:t>“P”. The spread may change based on the type of rate used. The terms in the Schedule of Investments disclose the actual interest rate in effect as of the reporting period. SOFR loans are typically</w:t>
        <w:br/>
        <w:t>indexed to a 30-day, 60-day, 90-day or 180-day SOFR rate (1M S, 2M S, 3M S, or 6M S, respectively), at the borrower’s option. All securities are subject to a SOFR or Prime rate floor where a</w:t>
        <w:br/>
        <w:t>spread is provided, unless noted. The spread provided includes PIK interest and other fee rates, if any.</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(2)</w:t>
      </w:r>
    </w:p>
    <w:p>
      <w:pPr>
        <w:pStyle w:val="TextBody"/>
        <w:bidi w:val="0"/>
        <w:jc w:val="both"/>
        <w:rPr>
          <w:rFonts w:ascii="Times New Roman" w:hAnsi="Times New Roman"/>
          <w:color w:val="000000"/>
          <w:sz w:val="12"/>
        </w:rPr>
      </w:pPr>
      <w:r>
        <w:rPr>
          <w:rFonts w:ascii="Times New Roman" w:hAnsi="Times New Roman"/>
          <w:color w:val="000000"/>
          <w:sz w:val="12"/>
        </w:rPr>
        <w:t>Valued based on PSLF’s accounting policy.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Below are the consolidated statements of assets and liabilities for PSLF,($ in thousands):</w:t>
      </w:r>
    </w:p>
    <w:tbl>
      <w:tblPr>
        <w:tblW w:w="10205" w:type="dxa"/>
        <w:jc w:val="left"/>
        <w:tblInd w:w="0" w:type="dxa"/>
        <w:tblLayout w:type="fixed"/>
        <w:tblCellMar>
          <w:top w:w="28" w:type="dxa"/>
          <w:left w:w="28" w:type="dxa"/>
          <w:bottom w:w="28" w:type="dxa"/>
          <w:right w:w="28" w:type="dxa"/>
        </w:tblCellMar>
      </w:tblPr>
      <w:tblGrid>
        <w:gridCol w:w="5263"/>
        <w:gridCol w:w="146"/>
        <w:gridCol w:w="494"/>
        <w:gridCol w:w="1748"/>
        <w:gridCol w:w="146"/>
        <w:gridCol w:w="146"/>
        <w:gridCol w:w="324"/>
        <w:gridCol w:w="1145"/>
        <w:gridCol w:w="793"/>
      </w:tblGrid>
      <w:tr>
        <w:trPr/>
        <w:tc>
          <w:tcPr>
            <w:tcW w:w="5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52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 (Unaudited)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vAlign w:val="center"/>
          </w:tcPr>
          <w:p>
            <w:pPr>
              <w:pStyle w:val="TableContents"/>
              <w:bidi w:val="0"/>
              <w:spacing w:before="0" w:after="283"/>
              <w:jc w:val="left"/>
              <w:rPr/>
            </w:pPr>
            <w:r>
              <w:rPr/>
              <w:t> </w:t>
            </w:r>
          </w:p>
        </w:tc>
        <w:tc>
          <w:tcPr>
            <w:tcW w:w="22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9" w:type="dxa"/>
            <w:gridSpan w:val="2"/>
            <w:tcBorders/>
            <w:shd w:fill="FFFFFF" w:val="clear"/>
            <w:vAlign w:val="center"/>
          </w:tcPr>
          <w:p>
            <w:pPr>
              <w:pStyle w:val="TableContents"/>
              <w:bidi w:val="0"/>
              <w:spacing w:before="0" w:after="283"/>
              <w:jc w:val="right"/>
              <w:rPr/>
            </w:pPr>
            <w:r>
              <w:rPr/>
              <w:t> </w:t>
            </w:r>
          </w:p>
        </w:tc>
        <w:tc>
          <w:tcPr>
            <w:tcW w:w="793" w:type="dxa"/>
            <w:tcBorders/>
            <w:shd w:fill="FFFFFF" w:val="clear"/>
            <w:vAlign w:val="center"/>
          </w:tcPr>
          <w:p>
            <w:pPr>
              <w:pStyle w:val="TableContents"/>
              <w:bidi w:val="0"/>
              <w:spacing w:before="0" w:after="283"/>
              <w:jc w:val="righ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 (amortized cost—$863,478 and $810,737, respectively)</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857,885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804,187</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(cost—$54,996 and $59,096, respectively)</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59,096</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5,248</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from affiliate</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3,296</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CECFF" w:val="clear"/>
            <w:vAlign w:val="center"/>
          </w:tcPr>
          <w:p>
            <w:pPr>
              <w:pStyle w:val="TableContents"/>
              <w:bidi w:val="0"/>
              <w:spacing w:before="0" w:after="283"/>
              <w:jc w:val="left"/>
              <w:rPr/>
            </w:pPr>
            <w:r>
              <w:rPr/>
              <w:t> </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63"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872,763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CECFF" w:val="clear"/>
            <w:vAlign w:val="center"/>
          </w:tcPr>
          <w:p>
            <w:pPr>
              <w:pStyle w:val="TableContents"/>
              <w:bidi w:val="0"/>
              <w:spacing w:before="0" w:after="283"/>
              <w:jc w:val="left"/>
              <w:rPr/>
            </w:pPr>
            <w:r>
              <w:rPr/>
              <w:t> </w:t>
            </w:r>
          </w:p>
        </w:tc>
        <w:tc>
          <w:tcPr>
            <w:tcW w:w="224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9" w:type="dxa"/>
            <w:gridSpan w:val="2"/>
            <w:tcBorders/>
            <w:shd w:fill="CCECFF" w:val="clear"/>
            <w:vAlign w:val="center"/>
          </w:tcPr>
          <w:p>
            <w:pPr>
              <w:pStyle w:val="TableContents"/>
              <w:bidi w:val="0"/>
              <w:spacing w:before="0" w:after="283"/>
              <w:jc w:val="right"/>
              <w:rPr/>
            </w:pPr>
            <w:r>
              <w:rPr/>
              <w:t> </w:t>
            </w:r>
          </w:p>
        </w:tc>
        <w:tc>
          <w:tcPr>
            <w:tcW w:w="793" w:type="dxa"/>
            <w:tcBorders/>
            <w:shd w:fill="CCECFF" w:val="clear"/>
            <w:vAlign w:val="center"/>
          </w:tcPr>
          <w:p>
            <w:pPr>
              <w:pStyle w:val="TableContents"/>
              <w:bidi w:val="0"/>
              <w:spacing w:before="0" w:after="283"/>
              <w:jc w:val="righ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2034 Asset-backed debt, net (par—$246,000)</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244,284</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2035 Asset-backed debt, net (par—$246,000)</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243,825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243,727</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payable to members</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169,131</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 payable</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88,600</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credit facility and asset backed debt</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10,421</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payable to members</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7,250</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 on notes to members</w:t>
            </w:r>
          </w:p>
        </w:tc>
        <w:tc>
          <w:tcPr>
            <w:tcW w:w="146"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w:t>
            </w:r>
          </w:p>
        </w:tc>
        <w:tc>
          <w:tcPr>
            <w:tcW w:w="793" w:type="dxa"/>
            <w:tcBorders/>
            <w:shd w:fill="FFFFFF" w:val="clear"/>
            <w:vAlign w:val="center"/>
          </w:tcPr>
          <w:p>
            <w:pPr>
              <w:pStyle w:val="TableContents"/>
              <w:bidi w:val="0"/>
              <w:spacing w:before="0" w:after="283"/>
              <w:jc w:val="left"/>
              <w:rPr/>
            </w:pPr>
            <w:r>
              <w:rPr/>
              <w:t> </w:t>
            </w:r>
          </w:p>
        </w:tc>
      </w:tr>
      <w:tr>
        <w:trPr/>
        <w:tc>
          <w:tcPr>
            <w:tcW w:w="5263"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CCECFF" w:val="clear"/>
            <w:vAlign w:val="center"/>
          </w:tcPr>
          <w:p>
            <w:pPr>
              <w:pStyle w:val="TableContents"/>
              <w:bidi w:val="0"/>
              <w:spacing w:before="0" w:after="283"/>
              <w:jc w:val="left"/>
              <w:rPr/>
            </w:pPr>
            <w:r>
              <w:rPr/>
              <w:t> </w:t>
            </w:r>
          </w:p>
        </w:tc>
        <w:tc>
          <w:tcPr>
            <w:tcW w:w="494" w:type="dxa"/>
            <w:tcBorders/>
            <w:shd w:fill="CCECFF" w:val="clear"/>
            <w:vAlign w:val="center"/>
          </w:tcPr>
          <w:p>
            <w:pPr>
              <w:pStyle w:val="TableContents"/>
              <w:bidi w:val="0"/>
              <w:spacing w:before="0" w:after="283"/>
              <w:jc w:val="left"/>
              <w:rPr/>
            </w:pPr>
            <w:r>
              <w:rPr/>
              <w:t> </w:t>
            </w:r>
          </w:p>
        </w:tc>
        <w:tc>
          <w:tcPr>
            <w:tcW w:w="174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shd w:fill="CCECFF" w:val="clear"/>
            <w:vAlign w:val="center"/>
          </w:tcPr>
          <w:p>
            <w:pPr>
              <w:pStyle w:val="TableContents"/>
              <w:bidi w:val="0"/>
              <w:spacing w:before="0" w:after="283"/>
              <w:jc w:val="left"/>
              <w:rPr/>
            </w:pPr>
            <w:r>
              <w:rPr/>
              <w:t> </w:t>
            </w:r>
          </w:p>
        </w:tc>
        <w:tc>
          <w:tcPr>
            <w:tcW w:w="1145"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793" w:type="dxa"/>
            <w:tcBorders/>
            <w:shd w:fill="CCEC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investments purchased</w:t>
            </w:r>
          </w:p>
        </w:tc>
        <w:tc>
          <w:tcPr>
            <w:tcW w:w="146" w:type="dxa"/>
            <w:tcBorders/>
            <w:shd w:fill="FFFFFF" w:val="cle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63"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CECFF" w:val="clear"/>
            <w:vAlign w:val="center"/>
          </w:tcPr>
          <w:p>
            <w:pPr>
              <w:pStyle w:val="TableContents"/>
              <w:bidi w:val="0"/>
              <w:spacing w:before="0" w:after="283"/>
              <w:jc w:val="left"/>
              <w:rPr/>
            </w:pPr>
            <w:r>
              <w:rPr/>
              <w:t> </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816,878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770,145</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2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5263" w:type="dxa"/>
            <w:tcBorders/>
            <w:shd w:fill="CCEC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Members' equity</w:t>
            </w:r>
          </w:p>
        </w:tc>
        <w:tc>
          <w:tcPr>
            <w:tcW w:w="146" w:type="dxa"/>
            <w:tcBorders/>
            <w:shd w:fill="CCECFF" w:val="clear"/>
            <w:vAlign w:val="center"/>
          </w:tcPr>
          <w:p>
            <w:pPr>
              <w:pStyle w:val="TableContents"/>
              <w:bidi w:val="0"/>
              <w:spacing w:before="0" w:after="283"/>
              <w:jc w:val="left"/>
              <w:rPr/>
            </w:pPr>
            <w:r>
              <w:rPr/>
              <w:t> </w:t>
            </w:r>
          </w:p>
        </w:tc>
        <w:tc>
          <w:tcPr>
            <w:tcW w:w="4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103,809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32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102,618</w:t>
            </w:r>
          </w:p>
        </w:tc>
        <w:tc>
          <w:tcPr>
            <w:tcW w:w="79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63"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liabilities and members' equity</w:t>
            </w:r>
          </w:p>
        </w:tc>
        <w:tc>
          <w:tcPr>
            <w:tcW w:w="146" w:type="dxa"/>
            <w:tcBorders/>
            <w:shd w:fill="FFFFFF" w:val="cle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872,763</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2"/>
        </w:rPr>
      </w:pPr>
      <w:r>
        <w:rPr>
          <w:rFonts w:ascii="Times New Roman" w:hAnsi="Times New Roman"/>
          <w:color w:val="000000"/>
          <w:sz w:val="12"/>
        </w:rPr>
        <w:t>(1)</w:t>
      </w:r>
    </w:p>
    <w:p>
      <w:pPr>
        <w:pStyle w:val="TextBody"/>
        <w:bidi w:val="0"/>
        <w:jc w:val="both"/>
        <w:rPr>
          <w:rFonts w:ascii="Times New Roman" w:hAnsi="Times New Roman"/>
          <w:color w:val="000000"/>
          <w:sz w:val="12"/>
        </w:rPr>
      </w:pPr>
      <w:r>
        <w:rPr>
          <w:rFonts w:ascii="Times New Roman" w:hAnsi="Times New Roman"/>
          <w:color w:val="000000"/>
          <w:sz w:val="12"/>
        </w:rPr>
        <w:t>As of December 31, 2023 and September 30, 2023, PSLF had zero and $0.5 million, respectively, of unfunded commitments to fund investments.</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Below are the consolidated statements of operations for PSLF, ($ in thousands):</w:t>
      </w:r>
    </w:p>
    <w:tbl>
      <w:tblPr>
        <w:tblW w:w="8407" w:type="dxa"/>
        <w:jc w:val="left"/>
        <w:tblInd w:w="0" w:type="dxa"/>
        <w:tblLayout w:type="fixed"/>
        <w:tblCellMar>
          <w:top w:w="28" w:type="dxa"/>
          <w:left w:w="28" w:type="dxa"/>
          <w:bottom w:w="28" w:type="dxa"/>
          <w:right w:w="28" w:type="dxa"/>
        </w:tblCellMar>
      </w:tblPr>
      <w:tblGrid>
        <w:gridCol w:w="5086"/>
        <w:gridCol w:w="146"/>
        <w:gridCol w:w="146"/>
        <w:gridCol w:w="274"/>
        <w:gridCol w:w="841"/>
        <w:gridCol w:w="204"/>
        <w:gridCol w:w="204"/>
        <w:gridCol w:w="274"/>
        <w:gridCol w:w="841"/>
        <w:gridCol w:w="3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391" w:type="dxa"/>
            <w:tcBorders/>
            <w:shd w:fill="FFFFFF" w:val="clear"/>
            <w:vAlign w:val="center"/>
          </w:tcPr>
          <w:p>
            <w:pPr>
              <w:pStyle w:val="TableContents"/>
              <w:bidi w:val="0"/>
              <w:spacing w:before="0" w:after="283"/>
              <w:jc w:val="center"/>
              <w:rPr/>
            </w:pPr>
            <w:r>
              <w:rPr/>
              <w:t> </w:t>
            </w:r>
          </w:p>
        </w:tc>
      </w:tr>
      <w:tr>
        <w:trPr/>
        <w:tc>
          <w:tcPr>
            <w:tcW w:w="5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15" w:type="dxa"/>
            <w:gridSpan w:val="2"/>
            <w:tcBorders/>
            <w:shd w:fill="CCECFF" w:val="clear"/>
            <w:vAlign w:val="center"/>
          </w:tcPr>
          <w:p>
            <w:pPr>
              <w:pStyle w:val="TableContents"/>
              <w:bidi w:val="0"/>
              <w:spacing w:before="0" w:after="283"/>
              <w:jc w:val="right"/>
              <w:rPr/>
            </w:pPr>
            <w:r>
              <w:rPr/>
              <w:t> </w:t>
            </w:r>
          </w:p>
        </w:tc>
        <w:tc>
          <w:tcPr>
            <w:tcW w:w="204" w:type="dxa"/>
            <w:tcBorders/>
            <w:shd w:fill="CCEC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1115" w:type="dxa"/>
            <w:gridSpan w:val="2"/>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ind w:left="0" w:right="0" w:firstLine="200"/>
              <w:jc w:val="righ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27,107</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27,247</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CEC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Expenses: </w:t>
            </w:r>
            <w:r>
              <w:rPr>
                <w:rFonts w:ascii="Times New Roman" w:hAnsi="Times New Roman"/>
                <w:b/>
                <w:color w:val="000000"/>
                <w:sz w:val="11"/>
              </w:rPr>
              <w:t>(1)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15" w:type="dxa"/>
            <w:gridSpan w:val="2"/>
            <w:tcBorders/>
            <w:shd w:fill="CCECFF" w:val="clear"/>
            <w:vAlign w:val="center"/>
          </w:tcPr>
          <w:p>
            <w:pPr>
              <w:pStyle w:val="TableContents"/>
              <w:bidi w:val="0"/>
              <w:spacing w:before="0" w:after="283"/>
              <w:jc w:val="right"/>
              <w:rPr/>
            </w:pPr>
            <w:r>
              <w:rPr/>
              <w:t> </w:t>
            </w:r>
          </w:p>
        </w:tc>
        <w:tc>
          <w:tcPr>
            <w:tcW w:w="204" w:type="dxa"/>
            <w:tcBorders/>
            <w:shd w:fill="CCECFF" w:val="clear"/>
            <w:vAlign w:val="center"/>
          </w:tcPr>
          <w:p>
            <w:pPr>
              <w:pStyle w:val="TableContents"/>
              <w:bidi w:val="0"/>
              <w:spacing w:before="0" w:after="283"/>
              <w:jc w:val="right"/>
              <w:rPr/>
            </w:pPr>
            <w:r>
              <w:rPr/>
              <w:t> </w:t>
            </w:r>
          </w:p>
        </w:tc>
        <w:tc>
          <w:tcPr>
            <w:tcW w:w="204" w:type="dxa"/>
            <w:tcBorders/>
            <w:shd w:fill="CCECFF" w:val="clear"/>
            <w:vAlign w:val="center"/>
          </w:tcPr>
          <w:p>
            <w:pPr>
              <w:pStyle w:val="TableContents"/>
              <w:bidi w:val="0"/>
              <w:spacing w:before="0" w:after="283"/>
              <w:jc w:val="right"/>
              <w:rPr/>
            </w:pPr>
            <w:r>
              <w:rPr/>
              <w:t> </w:t>
            </w:r>
          </w:p>
        </w:tc>
        <w:tc>
          <w:tcPr>
            <w:tcW w:w="1115" w:type="dxa"/>
            <w:gridSpan w:val="2"/>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ind w:left="0" w:right="0" w:firstLine="200"/>
              <w:jc w:val="righ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expense on credit facility and asset-backed debt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12,640</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expense on notes to members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4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5,844</w:t>
            </w:r>
          </w:p>
        </w:tc>
        <w:tc>
          <w:tcPr>
            <w:tcW w:w="204"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left"/>
              <w:rPr/>
            </w:pPr>
            <w:r>
              <w:rPr/>
              <w:t> </w:t>
            </w:r>
          </w:p>
        </w:tc>
        <w:tc>
          <w:tcPr>
            <w:tcW w:w="84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4,723</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Administration fees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7,998</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5,563</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and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08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41" w:type="dxa"/>
            <w:tcBorders/>
            <w:shd w:fill="CCECFF" w:val="clear"/>
            <w:vAlign w:val="center"/>
          </w:tcPr>
          <w:p>
            <w:pPr>
              <w:pStyle w:val="TableContents"/>
              <w:bidi w:val="0"/>
              <w:spacing w:before="0" w:after="283"/>
              <w:jc w:val="right"/>
              <w:rPr>
                <w:color w:val="000000"/>
              </w:rPr>
            </w:pPr>
            <w:r>
              <w:rPr>
                <w:color w:val="000000"/>
              </w:rPr>
              <w:t>—</w:t>
            </w:r>
          </w:p>
        </w:tc>
        <w:tc>
          <w:tcPr>
            <w:tcW w:w="204"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left"/>
              <w:rPr/>
            </w:pPr>
            <w:r>
              <w:rPr/>
              <w:t> </w:t>
            </w:r>
          </w:p>
        </w:tc>
        <w:tc>
          <w:tcPr>
            <w:tcW w:w="841"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39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 on investments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righ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members' equity resulting from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8"/>
        </w:rPr>
        <w:t xml:space="preserve">(1) </w:t>
      </w:r>
      <w:r>
        <w:rPr>
          <w:rFonts w:ascii="Times New Roman" w:hAnsi="Times New Roman"/>
          <w:color w:val="000000"/>
          <w:sz w:val="12"/>
        </w:rPr>
        <w:t>No management or incentive fees are payable by PSLF.</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Distributions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During the three months ended December 31, 2023, we declared distributions of $0.21 per share, for total distributions of $13.7 million. For the same periods in the prior year, we declared distributions of $0.17 per share, for total distributions of $10.8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Effective October 2023, we changed from a quarterly distribution to a monthly distribution. We intend to continue to make monthly distributions to our stockholders. Our monthly distributions, if any, are determined by our board of directors.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Recent Accounting Pronouncements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three months ended December 31, 2023, the effect of which was not material to the consolidated financial statements and the notes thereto.</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Share Repurchase Program</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On February 9, 2022, we announced a share repurchase program which allows us to repurchase up to $25 million of our outstanding common shares in the open market at prices below our net asset value as reported in our then most recently published consolidated financial statements. During the three months ended December 31, 2022, we did not make any repurchases of our common shares. The program expired on March 31, 2023.</w:t>
      </w:r>
    </w:p>
    <w:p>
      <w:pPr>
        <w:pStyle w:val="TextBody"/>
        <w:bidi w:val="0"/>
        <w:jc w:val="left"/>
        <w:rPr>
          <w:rFonts w:ascii="Times New Roman" w:hAnsi="Times New Roman"/>
          <w:b/>
          <w:color w:val="000000"/>
          <w:sz w:val="16"/>
        </w:rPr>
      </w:pPr>
      <w:bookmarkStart w:id="14" w:name="item_3_quantitative_qualitative_disclosu"/>
      <w:bookmarkEnd w:id="14"/>
      <w:r>
        <w:rPr>
          <w:rFonts w:ascii="Times New Roman" w:hAnsi="Times New Roman"/>
          <w:b/>
          <w:color w:val="000000"/>
          <w:sz w:val="16"/>
        </w:rPr>
        <w:t>Item 3. Quantitative and Qualitative Disclosures About Market Risk</w:t>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are subject to financial market risks, including changes in interest rates. As of December 31, 2023, our debt portfolio consisted of 96% variable-rate investments and 4% fixed 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pStyle w:val="TextBody"/>
        <w:bidi w:val="0"/>
        <w:jc w:val="both"/>
        <w:rPr/>
      </w:pPr>
      <w:r>
        <w:rPr/>
        <w:t> </w:t>
      </w:r>
    </w:p>
    <w:tbl>
      <w:tblPr>
        <w:tblW w:w="6775" w:type="dxa"/>
        <w:jc w:val="left"/>
        <w:tblInd w:w="0" w:type="dxa"/>
        <w:tblLayout w:type="fixed"/>
        <w:tblCellMar>
          <w:top w:w="28" w:type="dxa"/>
          <w:left w:w="28" w:type="dxa"/>
          <w:bottom w:w="28" w:type="dxa"/>
          <w:right w:w="28" w:type="dxa"/>
        </w:tblCellMar>
      </w:tblPr>
      <w:tblGrid>
        <w:gridCol w:w="1906"/>
        <w:gridCol w:w="146"/>
        <w:gridCol w:w="516"/>
        <w:gridCol w:w="1584"/>
        <w:gridCol w:w="166"/>
        <w:gridCol w:w="146"/>
        <w:gridCol w:w="608"/>
        <w:gridCol w:w="1492"/>
        <w:gridCol w:w="21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in Interest Income, </w:t>
              <w:br/>
              <w:t>Net of Interest Expense</w:t>
              <w:br/>
              <w:t>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in Interest Income, </w:t>
              <w:br/>
              <w:t xml:space="preserve">Net of Interest </w:t>
              <w:br/>
              <w:t>Expense Per Share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Down 1%</w:t>
            </w:r>
          </w:p>
        </w:tc>
        <w:tc>
          <w:tcPr>
            <w:tcW w:w="146" w:type="dxa"/>
            <w:tcBorders/>
            <w:shd w:fill="CCECFF" w:val="clear"/>
            <w:vAlign w:val="center"/>
          </w:tcPr>
          <w:p>
            <w:pPr>
              <w:pStyle w:val="TableContents"/>
              <w:bidi w:val="0"/>
              <w:spacing w:before="0" w:after="283"/>
              <w:jc w:val="left"/>
              <w:rPr/>
            </w:pPr>
            <w:r>
              <w:rPr/>
              <w:t> </w:t>
            </w:r>
          </w:p>
        </w:tc>
        <w:tc>
          <w:tcPr>
            <w:tcW w:w="51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(5,112</w:t>
            </w:r>
          </w:p>
        </w:tc>
        <w:tc>
          <w:tcPr>
            <w:tcW w:w="166"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60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2"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211"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0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Up 1%</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4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211" w:type="dxa"/>
            <w:tcBorders/>
            <w:shd w:fill="FFFFFF" w:val="clear"/>
            <w:vAlign w:val="center"/>
          </w:tcPr>
          <w:p>
            <w:pPr>
              <w:pStyle w:val="TableContents"/>
              <w:bidi w:val="0"/>
              <w:spacing w:before="0" w:after="283"/>
              <w:jc w:val="left"/>
              <w:rPr/>
            </w:pPr>
            <w:r>
              <w:rPr/>
              <w:t> </w:t>
            </w:r>
          </w:p>
        </w:tc>
      </w:tr>
      <w:tr>
        <w:trPr/>
        <w:tc>
          <w:tcPr>
            <w:tcW w:w="1906"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Up 2%</w:t>
            </w:r>
          </w:p>
        </w:tc>
        <w:tc>
          <w:tcPr>
            <w:tcW w:w="146" w:type="dxa"/>
            <w:tcBorders/>
            <w:shd w:fill="CCECFF" w:val="clear"/>
            <w:vAlign w:val="center"/>
          </w:tcPr>
          <w:p>
            <w:pPr>
              <w:pStyle w:val="TableContents"/>
              <w:bidi w:val="0"/>
              <w:spacing w:before="0" w:after="283"/>
              <w:jc w:val="left"/>
              <w:rPr/>
            </w:pPr>
            <w:r>
              <w:rPr/>
              <w:t> </w:t>
            </w:r>
          </w:p>
        </w:tc>
        <w:tc>
          <w:tcPr>
            <w:tcW w:w="516" w:type="dxa"/>
            <w:tcBorders/>
            <w:shd w:fill="CCECFF" w:val="clear"/>
            <w:vAlign w:val="center"/>
          </w:tcPr>
          <w:p>
            <w:pPr>
              <w:pStyle w:val="TableContents"/>
              <w:bidi w:val="0"/>
              <w:spacing w:before="0" w:after="283"/>
              <w:jc w:val="left"/>
              <w:rPr/>
            </w:pPr>
            <w:r>
              <w:rPr/>
              <w:t> </w:t>
            </w:r>
          </w:p>
        </w:tc>
        <w:tc>
          <w:tcPr>
            <w:tcW w:w="158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8" w:type="dxa"/>
            <w:tcBorders/>
            <w:shd w:fill="CCECFF" w:val="clear"/>
            <w:vAlign w:val="center"/>
          </w:tcPr>
          <w:p>
            <w:pPr>
              <w:pStyle w:val="TableContents"/>
              <w:bidi w:val="0"/>
              <w:spacing w:before="0" w:after="283"/>
              <w:jc w:val="left"/>
              <w:rPr/>
            </w:pPr>
            <w:r>
              <w:rPr/>
              <w:t> </w:t>
            </w:r>
          </w:p>
        </w:tc>
        <w:tc>
          <w:tcPr>
            <w:tcW w:w="1492"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211" w:type="dxa"/>
            <w:tcBorders/>
            <w:shd w:fill="CCECFF"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Up 3%</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4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11" w:type="dxa"/>
            <w:tcBorders/>
            <w:shd w:fill="FFFFFF" w:val="clear"/>
            <w:vAlign w:val="center"/>
          </w:tcPr>
          <w:p>
            <w:pPr>
              <w:pStyle w:val="TableContents"/>
              <w:bidi w:val="0"/>
              <w:spacing w:before="0" w:after="283"/>
              <w:jc w:val="left"/>
              <w:rPr/>
            </w:pPr>
            <w:r>
              <w:rPr/>
              <w:t> </w:t>
            </w:r>
          </w:p>
        </w:tc>
      </w:tr>
      <w:tr>
        <w:trPr/>
        <w:tc>
          <w:tcPr>
            <w:tcW w:w="1906" w:type="dxa"/>
            <w:tcBorders/>
            <w:shd w:fill="CCEC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Up 4%</w:t>
            </w:r>
          </w:p>
        </w:tc>
        <w:tc>
          <w:tcPr>
            <w:tcW w:w="146" w:type="dxa"/>
            <w:tcBorders/>
            <w:shd w:fill="CCECFF" w:val="clear"/>
            <w:vAlign w:val="center"/>
          </w:tcPr>
          <w:p>
            <w:pPr>
              <w:pStyle w:val="TableContents"/>
              <w:bidi w:val="0"/>
              <w:spacing w:before="0" w:after="283"/>
              <w:jc w:val="left"/>
              <w:rPr/>
            </w:pPr>
            <w:r>
              <w:rPr/>
              <w:t> </w:t>
            </w:r>
          </w:p>
        </w:tc>
        <w:tc>
          <w:tcPr>
            <w:tcW w:w="516" w:type="dxa"/>
            <w:tcBorders/>
            <w:shd w:fill="CCECFF" w:val="clear"/>
            <w:vAlign w:val="center"/>
          </w:tcPr>
          <w:p>
            <w:pPr>
              <w:pStyle w:val="TableContents"/>
              <w:bidi w:val="0"/>
              <w:spacing w:before="0" w:after="283"/>
              <w:jc w:val="left"/>
              <w:rPr/>
            </w:pPr>
            <w:r>
              <w:rPr/>
              <w:t> </w:t>
            </w:r>
          </w:p>
        </w:tc>
        <w:tc>
          <w:tcPr>
            <w:tcW w:w="158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8" w:type="dxa"/>
            <w:tcBorders/>
            <w:shd w:fill="CCECFF" w:val="clear"/>
            <w:vAlign w:val="center"/>
          </w:tcPr>
          <w:p>
            <w:pPr>
              <w:pStyle w:val="TableContents"/>
              <w:bidi w:val="0"/>
              <w:spacing w:before="0" w:after="283"/>
              <w:jc w:val="left"/>
              <w:rPr/>
            </w:pPr>
            <w:r>
              <w:rPr/>
              <w:t> </w:t>
            </w:r>
          </w:p>
        </w:tc>
        <w:tc>
          <w:tcPr>
            <w:tcW w:w="1492"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0.31</w:t>
            </w:r>
          </w:p>
        </w:tc>
        <w:tc>
          <w:tcPr>
            <w:tcW w:w="211"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the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pStyle w:val="TextBody"/>
        <w:bidi w:val="0"/>
        <w:jc w:val="both"/>
        <w:rPr/>
      </w:pPr>
      <w:r>
        <w:rPr/>
        <w:t> </w:t>
      </w:r>
    </w:p>
    <w:p>
      <w:pPr>
        <w:pStyle w:val="TextBody"/>
        <w:bidi w:val="0"/>
        <w:jc w:val="left"/>
        <w:rPr>
          <w:rFonts w:ascii="Times New Roman" w:hAnsi="Times New Roman"/>
          <w:sz w:val="20"/>
        </w:rPr>
      </w:pPr>
      <w:bookmarkStart w:id="15" w:name="item_4_controls_procedures"/>
      <w:bookmarkEnd w:id="15"/>
      <w:r>
        <w:rPr>
          <w:rFonts w:ascii="Times New Roman" w:hAnsi="Times New Roman"/>
          <w:b/>
          <w:color w:val="000000"/>
          <w:sz w:val="16"/>
        </w:rPr>
        <w:t>Item 4. Controls</w:t>
      </w:r>
      <w:r>
        <w:rPr>
          <w:rFonts w:ascii="Times New Roman" w:hAnsi="Times New Roman"/>
          <w:color w:val="000000"/>
          <w:sz w:val="20"/>
        </w:rPr>
        <w:t xml:space="preserve"> </w:t>
      </w:r>
      <w:r>
        <w:rPr>
          <w:rFonts w:ascii="Times New Roman" w:hAnsi="Times New Roman"/>
          <w:b/>
          <w:color w:val="000000"/>
          <w:sz w:val="16"/>
        </w:rPr>
        <w:t>and Procedures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As of the quarter ended December 31, 2023, we, including our Chief Executive Officer and Chief Financial Officer, evaluated the effectiveness of the design and operation of our disclosure controls and procedures (as defined in Rule 13a-15(e) of the Exchange Act). As disclosed in our Annual Report on Form 10-K for the fiscal year ended September 30, 2023, a material weakness was previously identified in connection with our internal control over financial reporting relating to the review of quarterly cash and investment reconciliations. Additionally, a material weakness was identified in the operation of our internal controls over financial reporting relating to our review of interest income and non-accrual classification of investments. We have taken steps to remediate these material weaknesses, which steps have included (i) enhancing existing controls to ensure the appropriate review of the quarterly cash and investment reconciliation and that it is adequately documented so as to provide evidence that the controls are operating effectively (ii) enhancing existing controls to ensure that our internal controls over financial reporting relating to our analysis of interest income and assessment of investments for classification as non-accrual investments are operating effectively and (iii) enhancing policies and procedures to demonstrate a commitment to improving our overall control environment.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Taking the above efforts into consideration, our management, including the Chief Executive Officer and Chief Financial Officer, concluded that our disclosure controls and procedures for the quarter ended December 31, 2023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pStyle w:val="TextBody"/>
        <w:bidi w:val="0"/>
        <w:jc w:val="both"/>
        <w:rPr>
          <w:rFonts w:ascii="Times New Roman" w:hAnsi="Times New Roman"/>
          <w:sz w:val="20"/>
        </w:rPr>
      </w:pPr>
      <w:r>
        <w:rPr>
          <w:rFonts w:ascii="Times New Roman" w:hAnsi="Times New Roman"/>
          <w:color w:val="000000"/>
          <w:sz w:val="16"/>
        </w:rPr>
        <w:t>Other than disclosed in this Item 4, there have been no changes in our internal control over financial reporting that occurred during the quarter ended December 31, 2023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part_ii_or_information"/>
      <w:bookmarkEnd w:id="16"/>
      <w:r>
        <w:rPr>
          <w:rFonts w:ascii="Times New Roman" w:hAnsi="Times New Roman"/>
          <w:b/>
          <w:color w:val="000000"/>
          <w:sz w:val="16"/>
        </w:rPr>
        <w:t>PART II –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bookmarkStart w:id="17" w:name="item_1_legal_proceedings"/>
      <w:bookmarkEnd w:id="17"/>
      <w:r>
        <w:rPr>
          <w:rFonts w:ascii="Times New Roman" w:hAnsi="Times New Roman"/>
          <w:b/>
          <w:color w:val="000000"/>
          <w:sz w:val="16"/>
        </w:rPr>
        <w:t>Item 1. Legal</w:t>
      </w:r>
      <w:r>
        <w:rPr>
          <w:rFonts w:ascii="Times New Roman" w:hAnsi="Times New Roman"/>
          <w:color w:val="000000"/>
          <w:sz w:val="20"/>
        </w:rPr>
        <w:t xml:space="preserve"> </w:t>
      </w:r>
      <w:r>
        <w:rPr>
          <w:rFonts w:ascii="Times New Roman" w:hAnsi="Times New Roman"/>
          <w:b/>
          <w:color w:val="000000"/>
          <w:sz w:val="16"/>
        </w:rPr>
        <w:t>Proceedings</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pStyle w:val="TextBody"/>
        <w:bidi w:val="0"/>
        <w:jc w:val="both"/>
        <w:rPr/>
      </w:pPr>
      <w:r>
        <w:rPr/>
        <w:t> </w:t>
      </w:r>
    </w:p>
    <w:p>
      <w:pPr>
        <w:pStyle w:val="TextBody"/>
        <w:bidi w:val="0"/>
        <w:jc w:val="both"/>
        <w:rPr>
          <w:rFonts w:ascii="Times New Roman" w:hAnsi="Times New Roman"/>
          <w:b/>
          <w:color w:val="000000"/>
          <w:sz w:val="16"/>
        </w:rPr>
      </w:pPr>
      <w:bookmarkStart w:id="18" w:name="item_1a_risk_factors"/>
      <w:bookmarkEnd w:id="18"/>
      <w:r>
        <w:rPr>
          <w:rFonts w:ascii="Times New Roman" w:hAnsi="Times New Roman"/>
          <w:b/>
          <w:color w:val="000000"/>
          <w:sz w:val="16"/>
        </w:rPr>
        <w:t>Item 1A. Risk Factors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 addition to the other information set forth in this Report, you should consider carefully the factors discussed below, as well as in Part I “Item 1A. Risk Factors” in our Annual Report on Form 10-K for the fiscal year ended September 30, 2023, filed on December 8, 2023,</w:t>
      </w:r>
      <w:r>
        <w:rPr>
          <w:rFonts w:ascii="Times New Roman" w:hAnsi="Times New Roman"/>
          <w:color w:val="000000"/>
          <w:sz w:val="20"/>
        </w:rPr>
        <w:t xml:space="preserve"> </w:t>
      </w:r>
      <w:r>
        <w:rPr>
          <w:rFonts w:ascii="Times New Roman" w:hAnsi="Times New Roman"/>
          <w:color w:val="000000"/>
          <w:sz w:val="16"/>
        </w:rPr>
        <w:t>which could materially affect our business, financial condition and/or operating results. The risks as in our Annual Report on Form 10-K, are not the only risks facing PennantPark Investment Corp. Additional risks and uncertainties not currently known to us or that we currently deem to be immaterial also may materially and adversely affect our business, financial condition and/or operating results.</w:t>
      </w:r>
    </w:p>
    <w:p>
      <w:pPr>
        <w:pStyle w:val="TextBody"/>
        <w:bidi w:val="0"/>
        <w:spacing w:before="160" w:after="283"/>
        <w:jc w:val="both"/>
        <w:rPr>
          <w:rFonts w:ascii="Times New Roman" w:hAnsi="Times New Roman"/>
          <w:b/>
          <w:color w:val="000000"/>
          <w:sz w:val="16"/>
        </w:rPr>
      </w:pPr>
      <w:bookmarkStart w:id="19" w:name="item_2_unregistered_sales_equity_securit"/>
      <w:bookmarkEnd w:id="19"/>
      <w:r>
        <w:rPr>
          <w:rFonts w:ascii="Times New Roman" w:hAnsi="Times New Roman"/>
          <w:b/>
          <w:color w:val="000000"/>
          <w:sz w:val="16"/>
        </w:rPr>
        <w:t>Item 2. Unregistered Sales of Equity Securities and Use of Proceeds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No unregistered securities were sold in the quarter ended December 31, 2023.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16"/>
        </w:rPr>
      </w:pPr>
      <w:r>
        <w:rPr>
          <w:rFonts w:ascii="Times New Roman" w:hAnsi="Times New Roman"/>
          <w:b/>
          <w:i/>
          <w:color w:val="000000"/>
          <w:sz w:val="16"/>
        </w:rPr>
        <w:t>Issuer Purchases of Equity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Repurchases of our common stock under our share repurchase program are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508"/>
        <w:gridCol w:w="146"/>
        <w:gridCol w:w="207"/>
        <w:gridCol w:w="1173"/>
        <w:gridCol w:w="146"/>
        <w:gridCol w:w="146"/>
        <w:gridCol w:w="320"/>
        <w:gridCol w:w="687"/>
        <w:gridCol w:w="146"/>
        <w:gridCol w:w="146"/>
        <w:gridCol w:w="347"/>
        <w:gridCol w:w="1968"/>
        <w:gridCol w:w="146"/>
        <w:gridCol w:w="146"/>
        <w:gridCol w:w="682"/>
        <w:gridCol w:w="2094"/>
        <w:gridCol w:w="197"/>
      </w:tblGrid>
      <w:tr>
        <w:trPr/>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as Part of Publicly Announced Plans or Programs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 (in thousands)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2022 through March 31, 2022</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9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17,944</w:t>
            </w:r>
          </w:p>
        </w:tc>
        <w:tc>
          <w:tcPr>
            <w:tcW w:w="197" w:type="dxa"/>
            <w:tcBorders/>
            <w:shd w:fill="FFFFFF" w:val="clear"/>
            <w:vAlign w:val="center"/>
          </w:tcPr>
          <w:p>
            <w:pPr>
              <w:pStyle w:val="TableContents"/>
              <w:bidi w:val="0"/>
              <w:spacing w:before="0" w:after="283"/>
              <w:jc w:val="left"/>
              <w:rPr/>
            </w:pPr>
            <w:r>
              <w:rPr/>
              <w:t> </w:t>
            </w:r>
          </w:p>
        </w:tc>
      </w:tr>
      <w:tr>
        <w:trPr/>
        <w:tc>
          <w:tcPr>
            <w:tcW w:w="150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2022 through June 30, 2022</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1173"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717,709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2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7" w:type="dxa"/>
            <w:tcBorders/>
            <w:shd w:fill="CCECFF" w:val="clear"/>
            <w:vAlign w:val="center"/>
          </w:tcPr>
          <w:p>
            <w:pPr>
              <w:pStyle w:val="TableContents"/>
              <w:bidi w:val="0"/>
              <w:spacing w:before="0" w:after="283"/>
              <w:jc w:val="left"/>
              <w:rPr/>
            </w:pPr>
            <w:r>
              <w:rPr/>
              <w:t> </w:t>
            </w:r>
          </w:p>
        </w:tc>
        <w:tc>
          <w:tcPr>
            <w:tcW w:w="196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1,631,163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8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12,986</w:t>
            </w:r>
          </w:p>
        </w:tc>
        <w:tc>
          <w:tcPr>
            <w:tcW w:w="197" w:type="dxa"/>
            <w:tcBorders/>
            <w:shd w:fill="CCECFF"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2022 through September 30, 2022</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9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11,751</w:t>
            </w:r>
          </w:p>
        </w:tc>
        <w:tc>
          <w:tcPr>
            <w:tcW w:w="197" w:type="dxa"/>
            <w:tcBorders/>
            <w:shd w:fill="FFFFFF" w:val="clear"/>
            <w:vAlign w:val="center"/>
          </w:tcPr>
          <w:p>
            <w:pPr>
              <w:pStyle w:val="TableContents"/>
              <w:bidi w:val="0"/>
              <w:spacing w:before="0" w:after="283"/>
              <w:jc w:val="left"/>
              <w:rPr/>
            </w:pPr>
            <w:r>
              <w:rPr/>
              <w:t> </w:t>
            </w:r>
          </w:p>
        </w:tc>
      </w:tr>
      <w:tr>
        <w:trPr/>
        <w:tc>
          <w:tcPr>
            <w:tcW w:w="150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2022 through December 31, 2022</w:t>
            </w:r>
          </w:p>
        </w:tc>
        <w:tc>
          <w:tcPr>
            <w:tcW w:w="146" w:type="dxa"/>
            <w:tcBorders/>
            <w:shd w:fill="CCECFF" w:val="clear"/>
            <w:vAlign w:val="center"/>
          </w:tcPr>
          <w:p>
            <w:pPr>
              <w:pStyle w:val="TableContents"/>
              <w:bidi w:val="0"/>
              <w:spacing w:before="0" w:after="283"/>
              <w:jc w:val="left"/>
              <w:rPr/>
            </w:pPr>
            <w:r>
              <w:rPr/>
              <w:t> </w:t>
            </w:r>
          </w:p>
        </w:tc>
        <w:tc>
          <w:tcPr>
            <w:tcW w:w="207" w:type="dxa"/>
            <w:tcBorders/>
            <w:shd w:fill="CCECFF" w:val="clear"/>
            <w:vAlign w:val="center"/>
          </w:tcPr>
          <w:p>
            <w:pPr>
              <w:pStyle w:val="TableContents"/>
              <w:bidi w:val="0"/>
              <w:spacing w:before="0" w:after="283"/>
              <w:jc w:val="left"/>
              <w:rPr/>
            </w:pPr>
            <w:r>
              <w:rPr/>
              <w:t> </w:t>
            </w:r>
          </w:p>
        </w:tc>
        <w:tc>
          <w:tcPr>
            <w:tcW w:w="117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20"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47" w:type="dxa"/>
            <w:tcBorders/>
            <w:shd w:fill="CCECFF" w:val="clear"/>
            <w:vAlign w:val="center"/>
          </w:tcPr>
          <w:p>
            <w:pPr>
              <w:pStyle w:val="TableContents"/>
              <w:bidi w:val="0"/>
              <w:spacing w:before="0" w:after="283"/>
              <w:jc w:val="left"/>
              <w:rPr/>
            </w:pPr>
            <w:r>
              <w:rPr/>
              <w:t> </w:t>
            </w:r>
          </w:p>
        </w:tc>
        <w:tc>
          <w:tcPr>
            <w:tcW w:w="1968"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1,820,605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82"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4" w:type="dxa"/>
            <w:tcBorders/>
            <w:shd w:fill="CCEC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11,751</w:t>
            </w:r>
          </w:p>
        </w:tc>
        <w:tc>
          <w:tcPr>
            <w:tcW w:w="197" w:type="dxa"/>
            <w:tcBorders/>
            <w:shd w:fill="CCECFF"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2023 through March 31, 2023</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9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7" w:type="dxa"/>
            <w:tcBorders/>
            <w:shd w:fill="FFFFFF" w:val="clear"/>
            <w:vAlign w:val="center"/>
          </w:tcPr>
          <w:p>
            <w:pPr>
              <w:pStyle w:val="TableContents"/>
              <w:bidi w:val="0"/>
              <w:spacing w:before="0" w:after="283"/>
              <w:jc w:val="left"/>
              <w:rPr/>
            </w:pPr>
            <w:r>
              <w:rPr/>
              <w:t> </w:t>
            </w:r>
          </w:p>
        </w:tc>
      </w:tr>
      <w:tr>
        <w:trPr/>
        <w:tc>
          <w:tcPr>
            <w:tcW w:w="1508" w:type="dxa"/>
            <w:tcBorders/>
            <w:shd w:fill="CCEC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w:t>
            </w:r>
          </w:p>
        </w:tc>
        <w:tc>
          <w:tcPr>
            <w:tcW w:w="146" w:type="dxa"/>
            <w:tcBorders/>
            <w:shd w:fill="CCECFF" w:val="clear"/>
            <w:vAlign w:val="center"/>
          </w:tcPr>
          <w:p>
            <w:pPr>
              <w:pStyle w:val="TableContents"/>
              <w:bidi w:val="0"/>
              <w:spacing w:before="0" w:after="283"/>
              <w:jc w:val="left"/>
              <w:rPr/>
            </w:pPr>
            <w:r>
              <w:rPr/>
              <w:t> </w:t>
            </w:r>
          </w:p>
        </w:tc>
        <w:tc>
          <w:tcPr>
            <w:tcW w:w="2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1,820,605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15"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76" w:type="dxa"/>
            <w:gridSpan w:val="2"/>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r>
    </w:tbl>
    <w:p>
      <w:pPr>
        <w:pStyle w:val="TextBody"/>
        <w:bidi w:val="0"/>
        <w:jc w:val="left"/>
        <w:rPr>
          <w:color w:val="000000"/>
        </w:rPr>
      </w:pPr>
      <w:r>
        <w:rPr>
          <w:color w:val="000000"/>
        </w:rPr>
        <w:t>—————————</w:t>
      </w:r>
    </w:p>
    <w:tbl>
      <w:tblPr>
        <w:tblW w:w="10205" w:type="dxa"/>
        <w:jc w:val="left"/>
        <w:tblInd w:w="0" w:type="dxa"/>
        <w:tblLayout w:type="fixed"/>
        <w:tblCellMar>
          <w:top w:w="28" w:type="dxa"/>
          <w:left w:w="28" w:type="dxa"/>
          <w:bottom w:w="28" w:type="dxa"/>
          <w:right w:w="28" w:type="dxa"/>
        </w:tblCellMar>
      </w:tblPr>
      <w:tblGrid>
        <w:gridCol w:w="266"/>
        <w:gridCol w:w="9939"/>
      </w:tblGrid>
      <w:tr>
        <w:trPr/>
        <w:tc>
          <w:tcPr>
            <w:tcW w:w="266" w:type="dxa"/>
            <w:tcBorders/>
            <w:vAlign w:val="center"/>
          </w:tcPr>
          <w:p>
            <w:pPr>
              <w:pStyle w:val="TableContents"/>
              <w:bidi w:val="0"/>
              <w:spacing w:before="0" w:after="283"/>
              <w:jc w:val="left"/>
              <w:rPr>
                <w:sz w:val="4"/>
                <w:szCs w:val="4"/>
              </w:rPr>
            </w:pPr>
            <w:r>
              <w:rPr>
                <w:sz w:val="4"/>
                <w:szCs w:val="4"/>
              </w:rPr>
            </w:r>
          </w:p>
        </w:tc>
        <w:tc>
          <w:tcPr>
            <w:tcW w:w="9939" w:type="dxa"/>
            <w:tcBorders/>
            <w:vAlign w:val="center"/>
          </w:tcPr>
          <w:p>
            <w:pPr>
              <w:pStyle w:val="TableContents"/>
              <w:bidi w:val="0"/>
              <w:spacing w:before="0" w:after="283"/>
              <w:jc w:val="left"/>
              <w:rPr>
                <w:sz w:val="4"/>
                <w:szCs w:val="4"/>
              </w:rPr>
            </w:pPr>
            <w:r>
              <w:rPr>
                <w:sz w:val="4"/>
                <w:szCs w:val="4"/>
              </w:rPr>
            </w:r>
          </w:p>
        </w:tc>
      </w:tr>
      <w:tr>
        <w:trPr/>
        <w:tc>
          <w:tcPr>
            <w:tcW w:w="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993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2"/>
              </w:rPr>
            </w:pPr>
            <w:r>
              <w:rPr>
                <w:rFonts w:ascii="Times New Roman" w:hAnsi="Times New Roman"/>
                <w:color w:val="000000"/>
                <w:sz w:val="12"/>
              </w:rPr>
              <w:t>The program expired on March 31, 2023 and we purchased $1.8 million shares of our common stock in open market transaction while the program was in effect for an aggregate cost (including transaction costs) of $13.2</w:t>
            </w:r>
          </w:p>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million.</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6"/>
        </w:rPr>
      </w:pPr>
      <w:bookmarkStart w:id="20" w:name="item_3_defaults_upon_senior_securities"/>
      <w:bookmarkEnd w:id="20"/>
      <w:r>
        <w:rPr>
          <w:rFonts w:ascii="Times New Roman" w:hAnsi="Times New Roman"/>
          <w:b/>
          <w:color w:val="000000"/>
          <w:sz w:val="16"/>
        </w:rPr>
        <w:t>Item 3. Defaults Upon Senior Securities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None.</w:t>
      </w:r>
    </w:p>
    <w:p>
      <w:pPr>
        <w:pStyle w:val="TextBody"/>
        <w:bidi w:val="0"/>
        <w:jc w:val="left"/>
        <w:rPr/>
      </w:pPr>
      <w:r>
        <w:rPr/>
        <w:t> </w:t>
      </w:r>
    </w:p>
    <w:p>
      <w:pPr>
        <w:pStyle w:val="TextBody"/>
        <w:bidi w:val="0"/>
        <w:jc w:val="left"/>
        <w:rPr>
          <w:rFonts w:ascii="Times New Roman" w:hAnsi="Times New Roman"/>
          <w:b/>
          <w:color w:val="000000"/>
          <w:sz w:val="16"/>
        </w:rPr>
      </w:pPr>
      <w:bookmarkStart w:id="21" w:name="item_4_mine_safety_disclosures"/>
      <w:bookmarkEnd w:id="21"/>
      <w:r>
        <w:rPr>
          <w:rFonts w:ascii="Times New Roman" w:hAnsi="Times New Roman"/>
          <w:b/>
          <w:color w:val="000000"/>
          <w:sz w:val="16"/>
        </w:rPr>
        <w:t>Item 4. Mine Safety Disclosures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Not applicable.</w:t>
      </w:r>
    </w:p>
    <w:p>
      <w:pPr>
        <w:pStyle w:val="TextBody"/>
        <w:bidi w:val="0"/>
        <w:jc w:val="left"/>
        <w:rPr/>
      </w:pPr>
      <w:r>
        <w:rPr/>
        <w:t> </w:t>
      </w:r>
    </w:p>
    <w:p>
      <w:pPr>
        <w:pStyle w:val="TextBody"/>
        <w:bidi w:val="0"/>
        <w:jc w:val="left"/>
        <w:rPr>
          <w:rFonts w:ascii="Times New Roman" w:hAnsi="Times New Roman"/>
          <w:sz w:val="20"/>
        </w:rPr>
      </w:pPr>
      <w:bookmarkStart w:id="22" w:name="item_5_or_information"/>
      <w:bookmarkEnd w:id="22"/>
      <w:r>
        <w:rPr>
          <w:rFonts w:ascii="Times New Roman" w:hAnsi="Times New Roman"/>
          <w:b/>
          <w:color w:val="000000"/>
          <w:sz w:val="16"/>
        </w:rPr>
        <w:t>Item 5. Other</w:t>
      </w:r>
      <w:r>
        <w:rPr>
          <w:rFonts w:ascii="Times New Roman" w:hAnsi="Times New Roman"/>
          <w:color w:val="000000"/>
          <w:sz w:val="20"/>
        </w:rPr>
        <w:t xml:space="preserve"> </w:t>
      </w:r>
      <w:r>
        <w:rPr>
          <w:rFonts w:ascii="Times New Roman" w:hAnsi="Times New Roman"/>
          <w:b/>
          <w:color w:val="000000"/>
          <w:sz w:val="16"/>
        </w:rPr>
        <w:t>Information</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10b5-1 Disclosure</w:t>
      </w:r>
    </w:p>
    <w:p>
      <w:pPr>
        <w:pStyle w:val="TextBody"/>
        <w:bidi w:val="0"/>
        <w:spacing w:before="160" w:after="283"/>
        <w:jc w:val="left"/>
        <w:rPr>
          <w:rFonts w:ascii="Times New Roman" w:hAnsi="Times New Roman"/>
          <w:sz w:val="20"/>
        </w:rPr>
      </w:pPr>
      <w:r>
        <w:rPr>
          <w:rFonts w:ascii="Times New Roman" w:hAnsi="Times New Roman"/>
          <w:color w:val="000000"/>
          <w:sz w:val="16"/>
        </w:rPr>
        <w:t>None of the officers or directors of the Company have adopted</w:t>
      </w:r>
      <w:r>
        <w:rPr>
          <w:rFonts w:ascii="Times New Roman" w:hAnsi="Times New Roman"/>
          <w:color w:val="000000"/>
          <w:sz w:val="20"/>
        </w:rPr>
        <w:t xml:space="preserve"> </w:t>
      </w:r>
      <w:r>
        <w:rPr>
          <w:rFonts w:ascii="Times New Roman" w:hAnsi="Times New Roman"/>
          <w:color w:val="000000"/>
          <w:sz w:val="16"/>
        </w:rPr>
        <w:t>or terminated</w:t>
      </w:r>
      <w:r>
        <w:rPr>
          <w:rFonts w:ascii="Times New Roman" w:hAnsi="Times New Roman"/>
          <w:color w:val="000000"/>
          <w:sz w:val="20"/>
        </w:rPr>
        <w:t xml:space="preserve"> </w:t>
      </w:r>
      <w:r>
        <w:rPr>
          <w:rFonts w:ascii="Times New Roman" w:hAnsi="Times New Roman"/>
          <w:color w:val="000000"/>
          <w:sz w:val="16"/>
        </w:rPr>
        <w:t>any Rule 10b5-1 trading arrangements applicable to them (if any) or the Company.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3" w:name="item_6_exhibits"/>
      <w:bookmarkEnd w:id="23"/>
      <w:r>
        <w:rPr>
          <w:rFonts w:ascii="Times New Roman" w:hAnsi="Times New Roman"/>
          <w:b/>
          <w:color w:val="000000"/>
          <w:sz w:val="16"/>
        </w:rPr>
        <w:t>Item 6.</w:t>
      </w:r>
      <w:r>
        <w:rPr>
          <w:rFonts w:ascii="Times New Roman" w:hAnsi="Times New Roman"/>
          <w:color w:val="000000"/>
          <w:sz w:val="20"/>
        </w:rPr>
        <w:t xml:space="preserve"> </w:t>
      </w:r>
      <w:r>
        <w:rPr>
          <w:rFonts w:ascii="Times New Roman" w:hAnsi="Times New Roman"/>
          <w:b/>
          <w:color w:val="000000"/>
          <w:sz w:val="16"/>
        </w:rPr>
        <w:t>Exhibits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Unless specifically indicated otherwise, the following exhibits are incorporated by reference to exhibits previously filed with the SEC: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
        <w:gridCol w:w="9506"/>
      </w:tblGrid>
      <w:tr>
        <w:trPr/>
        <w:tc>
          <w:tcPr>
            <w:tcW w:w="699" w:type="dxa"/>
            <w:tcBorders/>
            <w:vAlign w:val="center"/>
          </w:tcPr>
          <w:p>
            <w:pPr>
              <w:pStyle w:val="TableContents"/>
              <w:bidi w:val="0"/>
              <w:spacing w:before="0" w:after="283"/>
              <w:jc w:val="left"/>
              <w:rPr>
                <w:sz w:val="4"/>
                <w:szCs w:val="4"/>
              </w:rPr>
            </w:pPr>
            <w:r>
              <w:rPr>
                <w:sz w:val="4"/>
                <w:szCs w:val="4"/>
              </w:rPr>
            </w:r>
          </w:p>
        </w:tc>
        <w:tc>
          <w:tcPr>
            <w:tcW w:w="9506" w:type="dxa"/>
            <w:tcBorders/>
            <w:vAlign w:val="center"/>
          </w:tcPr>
          <w:p>
            <w:pPr>
              <w:pStyle w:val="TableContents"/>
              <w:bidi w:val="0"/>
              <w:spacing w:before="0" w:after="283"/>
              <w:jc w:val="left"/>
              <w:rPr>
                <w:sz w:val="4"/>
                <w:szCs w:val="4"/>
              </w:rPr>
            </w:pPr>
            <w:r>
              <w:rPr>
                <w:sz w:val="4"/>
                <w:szCs w:val="4"/>
              </w:rPr>
            </w:r>
          </w:p>
        </w:tc>
      </w:tr>
      <w:tr>
        <w:trPr/>
        <w:tc>
          <w:tcPr>
            <w:tcW w:w="69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3.1</w:t>
            </w:r>
          </w:p>
        </w:tc>
        <w:tc>
          <w:tcPr>
            <w:tcW w:w="9506" w:type="dxa"/>
            <w:tcBorders/>
            <w:vAlign w:val="center"/>
          </w:tcPr>
          <w:p>
            <w:pPr>
              <w:pStyle w:val="TableContents"/>
              <w:bidi w:val="0"/>
              <w:spacing w:before="0" w:after="283"/>
              <w:jc w:val="left"/>
              <w:rPr/>
            </w:pPr>
            <w:hyperlink r:id="rId2">
              <w:r>
                <w:rPr>
                  <w:rStyle w:val="InternetLink"/>
                  <w:rFonts w:ascii="Times New Roman" w:hAnsi="Times New Roman"/>
                  <w:color w:val="0000FF"/>
                  <w:sz w:val="16"/>
                  <w:u w:val="single"/>
                </w:rPr>
                <w:t>Articles of Incorporation (Incorporated by reference to Exhibit 99(a) to the Registrant’s Pre-Effective Amendment No. 3 to the Registration Statement on Form N-2/A (File No. 333-140092), filed on April 5, 2007).</w:t>
              </w:r>
            </w:hyperlink>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3.2</w:t>
            </w:r>
          </w:p>
        </w:tc>
        <w:tc>
          <w:tcPr>
            <w:tcW w:w="9506" w:type="dxa"/>
            <w:tcBorders/>
            <w:vAlign w:val="center"/>
          </w:tcPr>
          <w:p>
            <w:pPr>
              <w:pStyle w:val="TableContents"/>
              <w:bidi w:val="0"/>
              <w:spacing w:before="0" w:after="283"/>
              <w:jc w:val="left"/>
              <w:rPr/>
            </w:pPr>
            <w:hyperlink r:id="rId3">
              <w:r>
                <w:rPr>
                  <w:rStyle w:val="InternetLink"/>
                  <w:rFonts w:ascii="Times New Roman" w:hAnsi="Times New Roman"/>
                  <w:color w:val="0000FF"/>
                  <w:sz w:val="16"/>
                  <w:u w:val="single"/>
                </w:rPr>
                <w:t>Second Amended and Restated Bylaws of the Registrant (Incorporated by reference to Exhibit 3.2 to the Registrant's Quarterly Report on Form 10-Q (File No. 814-00736), filed on May 11, 2020).</w:t>
              </w:r>
            </w:hyperlink>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4.1</w:t>
            </w:r>
          </w:p>
        </w:tc>
        <w:tc>
          <w:tcPr>
            <w:tcW w:w="9506" w:type="dxa"/>
            <w:tcBorders/>
            <w:vAlign w:val="center"/>
          </w:tcPr>
          <w:p>
            <w:pPr>
              <w:pStyle w:val="TableContents"/>
              <w:bidi w:val="0"/>
              <w:spacing w:before="0" w:after="283"/>
              <w:jc w:val="left"/>
              <w:rPr/>
            </w:pPr>
            <w:hyperlink r:id="rId4">
              <w:r>
                <w:rPr>
                  <w:rStyle w:val="InternetLink"/>
                  <w:rFonts w:ascii="Times New Roman" w:hAnsi="Times New Roman"/>
                  <w:color w:val="0000FF"/>
                  <w:sz w:val="16"/>
                  <w:u w:val="single"/>
                </w:rPr>
                <w:t>Form of Share Certificate (Incorporated by reference to Exhibit 99(d)(1) to the Registrant’s Registration Statement on Form N-2 (File No. 333-150033), filed on April 2, 2008).</w:t>
              </w:r>
            </w:hyperlink>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9506" w:type="dxa"/>
            <w:tcBorders/>
            <w:vAlign w:val="center"/>
          </w:tcPr>
          <w:p>
            <w:pPr>
              <w:pStyle w:val="TableContents"/>
              <w:bidi w:val="0"/>
              <w:spacing w:before="0" w:after="283"/>
              <w:jc w:val="left"/>
              <w:rPr/>
            </w:pPr>
            <w:hyperlink w:anchor="pnnt-ex31_1.htm">
              <w:r>
                <w:rPr>
                  <w:rStyle w:val="InternetLink"/>
                  <w:rFonts w:ascii="Times New Roman" w:hAnsi="Times New Roman"/>
                  <w:color w:val="0000FF"/>
                  <w:sz w:val="16"/>
                  <w:u w:val="single"/>
                </w:rPr>
                <w:t>Certification of Chief Executive Officer pursuant to Rule 13a-14 of the Securities Exchange Act of 1934, as amended.</w:t>
              </w:r>
            </w:hyperlink>
          </w:p>
        </w:tc>
      </w:tr>
      <w:tr>
        <w:trPr/>
        <w:tc>
          <w:tcPr>
            <w:tcW w:w="699" w:type="dxa"/>
            <w:tcBorders/>
            <w:vAlign w:val="center"/>
          </w:tcPr>
          <w:p>
            <w:pPr>
              <w:pStyle w:val="TableContents"/>
              <w:bidi w:val="0"/>
              <w:spacing w:before="0" w:after="283"/>
              <w:jc w:val="left"/>
              <w:rPr>
                <w:sz w:val="4"/>
                <w:szCs w:val="4"/>
              </w:rPr>
            </w:pPr>
            <w:r>
              <w:rPr>
                <w:sz w:val="4"/>
                <w:szCs w:val="4"/>
              </w:rPr>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9506" w:type="dxa"/>
            <w:tcBorders/>
            <w:vAlign w:val="center"/>
          </w:tcPr>
          <w:p>
            <w:pPr>
              <w:pStyle w:val="TableContents"/>
              <w:bidi w:val="0"/>
              <w:spacing w:before="0" w:after="283"/>
              <w:jc w:val="left"/>
              <w:rPr/>
            </w:pPr>
            <w:hyperlink w:anchor="pnnt-ex31_2.htm">
              <w:r>
                <w:rPr>
                  <w:rStyle w:val="InternetLink"/>
                  <w:rFonts w:ascii="Times New Roman" w:hAnsi="Times New Roman"/>
                  <w:color w:val="0000FF"/>
                  <w:sz w:val="16"/>
                  <w:u w:val="single"/>
                </w:rPr>
                <w:t>Certification of Chief Financial Officer pursuant to Rule 13a-14 of the Securities Exchange Act of 1934, as amended.</w:t>
              </w:r>
            </w:hyperlink>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9506" w:type="dxa"/>
            <w:tcBorders/>
            <w:vAlign w:val="center"/>
          </w:tcPr>
          <w:p>
            <w:pPr>
              <w:pStyle w:val="TableContents"/>
              <w:bidi w:val="0"/>
              <w:spacing w:before="0" w:after="283"/>
              <w:jc w:val="left"/>
              <w:rPr/>
            </w:pPr>
            <w:hyperlink w:anchor="pnnt-ex32_1.htm">
              <w:r>
                <w:rPr>
                  <w:rStyle w:val="InternetLink"/>
                  <w:rFonts w:ascii="Times New Roman" w:hAnsi="Times New Roman"/>
                  <w:color w:val="0000FF"/>
                  <w:sz w:val="16"/>
                  <w:u w:val="single"/>
                </w:rPr>
                <w:t>Certification of Chief Executive Officer pursuant to Section 906 of the Sarbanes-Oxley Act of 2002.</w:t>
              </w:r>
            </w:hyperlink>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32.2*</w:t>
            </w:r>
          </w:p>
        </w:tc>
        <w:tc>
          <w:tcPr>
            <w:tcW w:w="9506" w:type="dxa"/>
            <w:tcBorders/>
            <w:vAlign w:val="center"/>
          </w:tcPr>
          <w:p>
            <w:pPr>
              <w:pStyle w:val="TableContents"/>
              <w:bidi w:val="0"/>
              <w:spacing w:before="0" w:after="283"/>
              <w:jc w:val="left"/>
              <w:rPr/>
            </w:pPr>
            <w:hyperlink w:anchor="pnnt-ex32_2.htm">
              <w:r>
                <w:rPr>
                  <w:rStyle w:val="InternetLink"/>
                  <w:rFonts w:ascii="Times New Roman" w:hAnsi="Times New Roman"/>
                  <w:color w:val="0000FF"/>
                  <w:sz w:val="16"/>
                  <w:u w:val="single"/>
                </w:rPr>
                <w:t>Certification of Chief Financial Officer pursuant to Section 906 of the Sarbanes-Oxley Act of 2002.</w:t>
              </w:r>
            </w:hyperlink>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99.1</w:t>
            </w:r>
          </w:p>
        </w:tc>
        <w:tc>
          <w:tcPr>
            <w:tcW w:w="9506" w:type="dxa"/>
            <w:tcBorders/>
            <w:vAlign w:val="center"/>
          </w:tcPr>
          <w:p>
            <w:pPr>
              <w:pStyle w:val="TableContents"/>
              <w:bidi w:val="0"/>
              <w:spacing w:before="0" w:after="283"/>
              <w:jc w:val="left"/>
              <w:rPr/>
            </w:pPr>
            <w:hyperlink r:id="rId5">
              <w:r>
                <w:rPr>
                  <w:rStyle w:val="InternetLink"/>
                  <w:rFonts w:ascii="Times New Roman" w:hAnsi="Times New Roman"/>
                  <w:color w:val="0000FF"/>
                  <w:sz w:val="16"/>
                  <w:u w:val="single"/>
                </w:rPr>
                <w:t>Privacy Policy of the Registrant (Incorporated by reference to Exhibit 99.1 to the Registrant’s Annual Report on Form 10-K (File No. 814-00736), filed on November 16, 2011).</w:t>
              </w:r>
            </w:hyperlink>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95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Document-the instance document does not appear in the Interactive Data File as its XBRL tags are embedded within the Inline XBRL document</w:t>
            </w:r>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95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101.CAL*</w:t>
            </w:r>
          </w:p>
        </w:tc>
        <w:tc>
          <w:tcPr>
            <w:tcW w:w="95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Calculation Linkbase Document</w:t>
            </w:r>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101.DEF*</w:t>
            </w:r>
          </w:p>
        </w:tc>
        <w:tc>
          <w:tcPr>
            <w:tcW w:w="95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Definition Linkbase Document</w:t>
            </w:r>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101.LAB*</w:t>
            </w:r>
          </w:p>
        </w:tc>
        <w:tc>
          <w:tcPr>
            <w:tcW w:w="95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Label Linkbase Document</w:t>
            </w:r>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101.PRE*</w:t>
            </w:r>
          </w:p>
        </w:tc>
        <w:tc>
          <w:tcPr>
            <w:tcW w:w="95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Presentation Linkbase Document</w:t>
            </w:r>
          </w:p>
        </w:tc>
      </w:tr>
      <w:tr>
        <w:trPr/>
        <w:tc>
          <w:tcPr>
            <w:tcW w:w="699" w:type="dxa"/>
            <w:tcBorders/>
            <w:vAlign w:val="center"/>
          </w:tcPr>
          <w:p>
            <w:pPr>
              <w:pStyle w:val="TableContents"/>
              <w:bidi w:val="0"/>
              <w:spacing w:before="0" w:after="283"/>
              <w:jc w:val="left"/>
              <w:rPr/>
            </w:pPr>
            <w:r>
              <w:rPr/>
              <w:t> </w:t>
            </w:r>
          </w:p>
        </w:tc>
        <w:tc>
          <w:tcPr>
            <w:tcW w:w="9506"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950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Filed herewith.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24" w:name="signatures"/>
      <w:bookmarkEnd w:id="24"/>
      <w:r>
        <w:rPr>
          <w:rFonts w:ascii="Times New Roman" w:hAnsi="Times New Roman"/>
          <w:b/>
          <w:color w:val="000000"/>
          <w:sz w:val="16"/>
        </w:rPr>
        <w:t>SIGNATURES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Pursuant to the requirements of the Securities Exchange Act of 1934, the registrant has duly caused this Report on Form 10-Q to be signed on its behalf by the undersigned, thereunto duly authorized.</w:t>
      </w:r>
    </w:p>
    <w:p>
      <w:pPr>
        <w:pStyle w:val="TextBody"/>
        <w:bidi w:val="0"/>
        <w:jc w:val="left"/>
        <w:rPr/>
      </w:pPr>
      <w:r>
        <w:rPr/>
        <w:t> </w:t>
      </w:r>
    </w:p>
    <w:tbl>
      <w:tblPr>
        <w:tblW w:w="7151" w:type="dxa"/>
        <w:jc w:val="left"/>
        <w:tblInd w:w="0" w:type="dxa"/>
        <w:tblLayout w:type="fixed"/>
        <w:tblCellMar>
          <w:top w:w="28" w:type="dxa"/>
          <w:left w:w="28" w:type="dxa"/>
          <w:bottom w:w="28" w:type="dxa"/>
          <w:right w:w="28" w:type="dxa"/>
        </w:tblCellMar>
      </w:tblPr>
      <w:tblGrid>
        <w:gridCol w:w="1756"/>
        <w:gridCol w:w="109"/>
        <w:gridCol w:w="346"/>
        <w:gridCol w:w="109"/>
        <w:gridCol w:w="4831"/>
      </w:tblGrid>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6" w:type="dxa"/>
            <w:gridSpan w:val="3"/>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PENNANTPARK INVESTMENT CORPORATION</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940" w:type="dxa"/>
            <w:gridSpan w:val="2"/>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rFonts w:ascii="Times New Roman" w:hAnsi="Times New Roman"/>
                <w:sz w:val="18"/>
              </w:rPr>
            </w:pPr>
            <w:r>
              <w:rPr>
                <w:rFonts w:ascii="Times New Roman" w:hAnsi="Times New Roman"/>
                <w:color w:val="000000"/>
                <w:sz w:val="16"/>
              </w:rPr>
              <w:t xml:space="preserve">Date: </w:t>
            </w:r>
            <w:r>
              <w:rPr>
                <w:rFonts w:ascii="Times New Roman" w:hAnsi="Times New Roman"/>
                <w:color w:val="000000"/>
                <w:sz w:val="18"/>
              </w:rPr>
              <w:t>February 7, 2024</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109" w:type="dxa"/>
            <w:tcBorders/>
            <w:vAlign w:val="center"/>
          </w:tcPr>
          <w:p>
            <w:pPr>
              <w:pStyle w:val="TableContents"/>
              <w:bidi w:val="0"/>
              <w:spacing w:before="0" w:after="283"/>
              <w:jc w:val="left"/>
              <w:rPr>
                <w:sz w:val="4"/>
                <w:szCs w:val="4"/>
              </w:rPr>
            </w:pPr>
            <w:r>
              <w:rPr>
                <w:sz w:val="4"/>
                <w:szCs w:val="4"/>
              </w:rPr>
            </w:r>
          </w:p>
        </w:tc>
        <w:tc>
          <w:tcPr>
            <w:tcW w:w="48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 Arthur H. Penn</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Arthur H. Penn</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Chief Executive Officer and Chairman of the Board of Directors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Executive Officer)</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4940" w:type="dxa"/>
            <w:gridSpan w:val="2"/>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rFonts w:ascii="Times New Roman" w:hAnsi="Times New Roman"/>
                <w:sz w:val="18"/>
              </w:rPr>
            </w:pPr>
            <w:r>
              <w:rPr>
                <w:rFonts w:ascii="Times New Roman" w:hAnsi="Times New Roman"/>
                <w:color w:val="000000"/>
                <w:sz w:val="16"/>
              </w:rPr>
              <w:t xml:space="preserve">Date: </w:t>
            </w:r>
            <w:r>
              <w:rPr>
                <w:rFonts w:ascii="Times New Roman" w:hAnsi="Times New Roman"/>
                <w:color w:val="000000"/>
                <w:sz w:val="18"/>
              </w:rPr>
              <w:t>February 7, 2024</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109" w:type="dxa"/>
            <w:tcBorders/>
            <w:vAlign w:val="center"/>
          </w:tcPr>
          <w:p>
            <w:pPr>
              <w:pStyle w:val="TableContents"/>
              <w:bidi w:val="0"/>
              <w:spacing w:before="0" w:after="283"/>
              <w:jc w:val="left"/>
              <w:rPr>
                <w:sz w:val="4"/>
                <w:szCs w:val="4"/>
              </w:rPr>
            </w:pPr>
            <w:r>
              <w:rPr>
                <w:sz w:val="4"/>
                <w:szCs w:val="4"/>
              </w:rPr>
            </w:r>
          </w:p>
        </w:tc>
        <w:tc>
          <w:tcPr>
            <w:tcW w:w="48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 Richard T. Allorto, Jr.</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Richard T. Allorto, Jr.</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Chief Financial Officer and Treasurer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25" w:name="pnnt-ex31_1.htm"/>
      <w:bookmarkStart w:id="26" w:name="kspnntex31_1"/>
      <w:bookmarkEnd w:id="25"/>
      <w:bookmarkEnd w:id="26"/>
      <w:r>
        <w:rPr>
          <w:rFonts w:ascii="Times New Roman" w:hAnsi="Times New Roman"/>
          <w:b/>
          <w:color w:val="000000"/>
          <w:sz w:val="16"/>
        </w:rPr>
        <w:t>EXHIBIT 31.1</w:t>
      </w:r>
      <w:r>
        <w:br w:type="page"/>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CERTIFICATION PURSUANT TO SECTION 302</w:t>
      </w:r>
    </w:p>
    <w:p>
      <w:pPr>
        <w:pStyle w:val="TextBody"/>
        <w:bidi w:val="0"/>
        <w:jc w:val="center"/>
        <w:rPr>
          <w:rFonts w:ascii="Times New Roman" w:hAnsi="Times New Roman"/>
          <w:b/>
          <w:color w:val="000000"/>
          <w:sz w:val="16"/>
        </w:rPr>
      </w:pPr>
      <w:r>
        <w:rPr>
          <w:rFonts w:ascii="Times New Roman" w:hAnsi="Times New Roman"/>
          <w:b/>
          <w:color w:val="000000"/>
          <w:sz w:val="16"/>
        </w:rPr>
        <w:t>CHIEF EXECUTIVE OFFICER CERTIFICATION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 Arthur H. Penn, Chief Executive Officer of PennantPark Investment Corporation, certify that: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I have reviewed this Report on Form 10-Q of PennantPark Investment Corporation;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Dated: February 7, 2024</w:t>
      </w:r>
    </w:p>
    <w:p>
      <w:pPr>
        <w:pStyle w:val="TextBody"/>
        <w:bidi w:val="0"/>
        <w:jc w:val="left"/>
        <w:rPr/>
      </w:pPr>
      <w:r>
        <w:rPr/>
        <w:t> </w:t>
      </w:r>
    </w:p>
    <w:tbl>
      <w:tblPr>
        <w:tblW w:w="2372" w:type="dxa"/>
        <w:jc w:val="left"/>
        <w:tblInd w:w="0" w:type="dxa"/>
        <w:tblLayout w:type="fixed"/>
        <w:tblCellMar>
          <w:top w:w="28" w:type="dxa"/>
          <w:left w:w="28" w:type="dxa"/>
          <w:bottom w:w="28" w:type="dxa"/>
          <w:right w:w="28" w:type="dxa"/>
        </w:tblCellMar>
      </w:tblPr>
      <w:tblGrid>
        <w:gridCol w:w="571"/>
        <w:gridCol w:w="1801"/>
      </w:tblGrid>
      <w:tr>
        <w:trPr/>
        <w:tc>
          <w:tcPr>
            <w:tcW w:w="57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3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Arthur H. Penn</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Arthur H. Penn</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27" w:name="pnnt-ex31_2.htm"/>
      <w:bookmarkStart w:id="28" w:name="kspnntex31_2"/>
      <w:bookmarkEnd w:id="27"/>
      <w:bookmarkEnd w:id="28"/>
      <w:r>
        <w:rPr>
          <w:rFonts w:ascii="Times New Roman" w:hAnsi="Times New Roman"/>
          <w:b/>
          <w:color w:val="000000"/>
          <w:sz w:val="16"/>
        </w:rPr>
        <w:t>EXHIBIT 31.2</w:t>
      </w:r>
      <w:r>
        <w:br w:type="page"/>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CERTIFICATION PURSUANT TO SECTION 302</w:t>
      </w:r>
    </w:p>
    <w:p>
      <w:pPr>
        <w:pStyle w:val="TextBody"/>
        <w:bidi w:val="0"/>
        <w:jc w:val="center"/>
        <w:rPr>
          <w:rFonts w:ascii="Times New Roman" w:hAnsi="Times New Roman"/>
          <w:b/>
          <w:color w:val="000000"/>
          <w:sz w:val="16"/>
        </w:rPr>
      </w:pPr>
      <w:r>
        <w:rPr>
          <w:rFonts w:ascii="Times New Roman" w:hAnsi="Times New Roman"/>
          <w:b/>
          <w:color w:val="000000"/>
          <w:sz w:val="16"/>
        </w:rPr>
        <w:t>CHIEF FINANCIAL OFFICER CERTIFICATION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 Richard T. Allorto, Jr., Chief Financial Officer of PennantPark Investment Corporation, certify that: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I have reviewed this Report on Form 10-Q of PennantPark Investment Corporation;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Dated: February 7, 2024</w:t>
      </w:r>
    </w:p>
    <w:p>
      <w:pPr>
        <w:pStyle w:val="TextBody"/>
        <w:bidi w:val="0"/>
        <w:jc w:val="left"/>
        <w:rPr/>
      </w:pPr>
      <w:r>
        <w:rPr/>
        <w:t> </w:t>
      </w:r>
    </w:p>
    <w:tbl>
      <w:tblPr>
        <w:tblW w:w="2312" w:type="dxa"/>
        <w:jc w:val="left"/>
        <w:tblInd w:w="0" w:type="dxa"/>
        <w:tblLayout w:type="fixed"/>
        <w:tblCellMar>
          <w:top w:w="28" w:type="dxa"/>
          <w:left w:w="28" w:type="dxa"/>
          <w:bottom w:w="28" w:type="dxa"/>
          <w:right w:w="28" w:type="dxa"/>
        </w:tblCellMar>
      </w:tblPr>
      <w:tblGrid>
        <w:gridCol w:w="571"/>
        <w:gridCol w:w="1741"/>
      </w:tblGrid>
      <w:tr>
        <w:trPr/>
        <w:tc>
          <w:tcPr>
            <w:tcW w:w="57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23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Richard T. Allorto, Jr.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T. Allorto, Jr.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29" w:name="pnnt-ex32_1.htm"/>
      <w:bookmarkStart w:id="30" w:name="kspnntex32_1"/>
      <w:bookmarkEnd w:id="29"/>
      <w:bookmarkEnd w:id="30"/>
      <w:r>
        <w:rPr>
          <w:rFonts w:ascii="Times New Roman" w:hAnsi="Times New Roman"/>
          <w:b/>
          <w:color w:val="000000"/>
          <w:sz w:val="16"/>
        </w:rPr>
        <w:t>EXHIBIT 32.1</w:t>
      </w:r>
      <w:r>
        <w:br w:type="page"/>
      </w:r>
    </w:p>
    <w:p>
      <w:pPr>
        <w:pStyle w:val="TextBody"/>
        <w:bidi w:val="0"/>
        <w:spacing w:before="160" w:after="283"/>
        <w:jc w:val="center"/>
        <w:rPr>
          <w:rFonts w:ascii="Times New Roman" w:hAnsi="Times New Roman"/>
          <w:sz w:val="20"/>
        </w:rPr>
      </w:pPr>
      <w:r>
        <w:rPr>
          <w:rFonts w:ascii="Times New Roman" w:hAnsi="Times New Roman"/>
          <w:b/>
          <w:color w:val="000000"/>
          <w:sz w:val="16"/>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w:t>
      </w:r>
    </w:p>
    <w:p>
      <w:pPr>
        <w:pStyle w:val="TextBody"/>
        <w:bidi w:val="0"/>
        <w:jc w:val="center"/>
        <w:rPr>
          <w:rFonts w:ascii="Times New Roman" w:hAnsi="Times New Roman"/>
          <w:b/>
          <w:color w:val="000000"/>
          <w:sz w:val="16"/>
        </w:rPr>
      </w:pPr>
      <w:r>
        <w:rPr>
          <w:rFonts w:ascii="Times New Roman" w:hAnsi="Times New Roman"/>
          <w:b/>
          <w:color w:val="000000"/>
          <w:sz w:val="16"/>
        </w:rPr>
        <w:t>SECTION 906 OF THE SARBANES-OXLEY ACT OF 2002 (18 U.S.C. 1350)</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In connection with this Report on Form 10-Q for the three months ended December 31, 2023 (the “Report”) of PennantPark Investment Corporation (the “Registrant”), as filed with the Securities and Exchange Commission on the date hereof, I, Arthur H. Penn, Chief Executive Officer of the Registrant, hereby certify, to the best of my knowledge, that:</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(1) The Report fully complies with the requirements of Section 13(a) or 15(d) of the Securities Exchange Act of 1934, as amended; and</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(2) The information contained in the Report fairly presents, in all material respects, the financial condition and results of operations of the Registrant.</w:t>
      </w:r>
    </w:p>
    <w:p>
      <w:pPr>
        <w:pStyle w:val="TextBody"/>
        <w:bidi w:val="0"/>
        <w:jc w:val="left"/>
        <w:rPr/>
      </w:pPr>
      <w:r>
        <w:rPr/>
        <w:t> </w:t>
      </w:r>
    </w:p>
    <w:tbl>
      <w:tblPr>
        <w:tblW w:w="2518" w:type="dxa"/>
        <w:jc w:val="left"/>
        <w:tblInd w:w="0" w:type="dxa"/>
        <w:tblLayout w:type="fixed"/>
        <w:tblCellMar>
          <w:top w:w="28" w:type="dxa"/>
          <w:left w:w="28" w:type="dxa"/>
          <w:bottom w:w="28" w:type="dxa"/>
          <w:right w:w="28" w:type="dxa"/>
        </w:tblCellMar>
      </w:tblPr>
      <w:tblGrid>
        <w:gridCol w:w="571"/>
        <w:gridCol w:w="146"/>
        <w:gridCol w:w="180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Arthur H. Penn</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46"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Arthur H. Penn</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w:t>
            </w:r>
          </w:p>
        </w:tc>
        <w:tc>
          <w:tcPr>
            <w:tcW w:w="146"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146"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7, 2024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31" w:name="pnnt-ex32_2.htm"/>
      <w:bookmarkStart w:id="32" w:name="kspnntex32_2"/>
      <w:bookmarkEnd w:id="31"/>
      <w:bookmarkEnd w:id="32"/>
      <w:r>
        <w:rPr>
          <w:rFonts w:ascii="Times New Roman" w:hAnsi="Times New Roman"/>
          <w:b/>
          <w:color w:val="000000"/>
          <w:sz w:val="16"/>
        </w:rPr>
        <w:t>EXHIBIT 32.2</w:t>
      </w:r>
      <w:r>
        <w:br w:type="page"/>
      </w:r>
    </w:p>
    <w:p>
      <w:pPr>
        <w:pStyle w:val="TextBody"/>
        <w:bidi w:val="0"/>
        <w:spacing w:before="160" w:after="283"/>
        <w:jc w:val="center"/>
        <w:rPr>
          <w:rFonts w:ascii="Times New Roman" w:hAnsi="Times New Roman"/>
          <w:b/>
          <w:color w:val="000000"/>
          <w:sz w:val="16"/>
        </w:rPr>
      </w:pPr>
      <w:r>
        <w:rPr>
          <w:rFonts w:ascii="Times New Roman" w:hAnsi="Times New Roman"/>
          <w:b/>
          <w:color w:val="000000"/>
          <w:sz w:val="16"/>
        </w:rPr>
        <w:t>CERTIFICATION OF CHIEF FINANCIAL OFFICER</w:t>
      </w:r>
    </w:p>
    <w:p>
      <w:pPr>
        <w:pStyle w:val="TextBody"/>
        <w:bidi w:val="0"/>
        <w:jc w:val="center"/>
        <w:rPr>
          <w:rFonts w:ascii="Times New Roman" w:hAnsi="Times New Roman"/>
          <w:b/>
          <w:color w:val="000000"/>
          <w:sz w:val="16"/>
        </w:rPr>
      </w:pPr>
      <w:r>
        <w:rPr>
          <w:rFonts w:ascii="Times New Roman" w:hAnsi="Times New Roman"/>
          <w:b/>
          <w:color w:val="000000"/>
          <w:sz w:val="16"/>
        </w:rPr>
        <w:t>PURSUANT TO</w:t>
      </w:r>
    </w:p>
    <w:p>
      <w:pPr>
        <w:pStyle w:val="TextBody"/>
        <w:bidi w:val="0"/>
        <w:jc w:val="center"/>
        <w:rPr>
          <w:rFonts w:ascii="Times New Roman" w:hAnsi="Times New Roman"/>
          <w:b/>
          <w:color w:val="000000"/>
          <w:sz w:val="16"/>
        </w:rPr>
      </w:pPr>
      <w:r>
        <w:rPr>
          <w:rFonts w:ascii="Times New Roman" w:hAnsi="Times New Roman"/>
          <w:b/>
          <w:color w:val="000000"/>
          <w:sz w:val="16"/>
        </w:rPr>
        <w:t>SECTION 906 OF THE SARBANES-OXLEY ACT OF 2002 (18 U.S.C. 1350)</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In connection with this Report on Form 10-Q for the three months ended December 31, 2023 (the “Report”) of PennantPark Investment Corporation (the “Registrant”), as filed with the Securities and Exchange Commission on the date hereof, I, Richard T. Allorto, Jr., Chief Financial Officer of the Registrant, hereby certify, to the best of my knowledge, that:</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(1) The Report fully complies with the requirements of Section 13(a) or 15(d) of the Securities Exchange Act of 1934, as amended; and</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(2) The information contained in the Report fairly presents, in all material respects, the financial condition and results of operations of the Registrant.</w:t>
      </w:r>
    </w:p>
    <w:p>
      <w:pPr>
        <w:pStyle w:val="TextBody"/>
        <w:bidi w:val="0"/>
        <w:jc w:val="left"/>
        <w:rPr/>
      </w:pPr>
      <w:r>
        <w:rPr/>
        <w:t> </w:t>
      </w:r>
    </w:p>
    <w:tbl>
      <w:tblPr>
        <w:tblW w:w="2458" w:type="dxa"/>
        <w:jc w:val="left"/>
        <w:tblInd w:w="0" w:type="dxa"/>
        <w:tblLayout w:type="fixed"/>
        <w:tblCellMar>
          <w:top w:w="28" w:type="dxa"/>
          <w:left w:w="28" w:type="dxa"/>
          <w:bottom w:w="28" w:type="dxa"/>
          <w:right w:w="28" w:type="dxa"/>
        </w:tblCellMar>
      </w:tblPr>
      <w:tblGrid>
        <w:gridCol w:w="571"/>
        <w:gridCol w:w="146"/>
        <w:gridCol w:w="174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Richard T. Allorto, Jr.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Richard T. Allorto, Jr.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Title:</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r>
        <w:trPr/>
        <w:tc>
          <w:tcPr>
            <w:tcW w:w="5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7, 2024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83414/000119312507075646/dex99a.htm" TargetMode="External"/><Relationship Id="rId3" Type="http://schemas.openxmlformats.org/officeDocument/2006/relationships/hyperlink" Target="https://www.sec.gov/Archives/edgar/data/1383414/000156459020024172/pnnt-ex32_163.htm" TargetMode="External"/><Relationship Id="rId4" Type="http://schemas.openxmlformats.org/officeDocument/2006/relationships/hyperlink" Target="https://www.sec.gov/Archives/edgar/data/1383414/000119312508072557/dex99d1.htm" TargetMode="External"/><Relationship Id="rId5" Type="http://schemas.openxmlformats.org/officeDocument/2006/relationships/hyperlink" Target="https://www.sec.gov/Archives/edgar/data/1383414/000138341411000013/pnntprivacypolicy09201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45398</Words>
  <Characters>255237</Characters>
  <CharactersWithSpaces>313373</CharactersWithSpaces>
  <Paragraphs>35428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